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Bdr>
          <w:bottom w:val="double" w:sz="6" w:space="1" w:color="auto"/>
        </w:pBdr>
        <w:spacing w:line="320" w:lineRule="exact"/>
        <w:jc w:val="center"/>
        <w:rPr>
          <w:rFonts w:ascii="Calibri" w:hAnsi="Calibri"/>
          <w:b/>
          <w:i/>
          <w:caps/>
          <w:sz w:val="22"/>
          <w:szCs w:val="22"/>
        </w:rPr>
      </w:pPr>
      <w:bookmarkStart w:id="0" w:name="_GoBack"/>
      <w:bookmarkEnd w:id="0"/>
    </w:p>
    <w:p>
      <w:pPr>
        <w:spacing w:line="320" w:lineRule="exact"/>
        <w:rPr>
          <w:rFonts w:ascii="Calibri" w:hAnsi="Calibri"/>
          <w:b/>
          <w:caps/>
          <w:sz w:val="22"/>
          <w:szCs w:val="22"/>
        </w:rPr>
      </w:pPr>
    </w:p>
    <w:p>
      <w:pPr>
        <w:spacing w:line="320" w:lineRule="exact"/>
        <w:jc w:val="both"/>
        <w:rPr>
          <w:rFonts w:ascii="Calibri" w:hAnsi="Calibri"/>
          <w:b/>
          <w:bCs/>
          <w:smallCaps/>
          <w:color w:val="000000"/>
          <w:sz w:val="22"/>
          <w:szCs w:val="22"/>
        </w:rPr>
      </w:pPr>
      <w:r>
        <w:rPr>
          <w:rFonts w:ascii="Calibri" w:hAnsi="Calibri"/>
          <w:b/>
          <w:caps/>
          <w:sz w:val="22"/>
          <w:szCs w:val="22"/>
        </w:rPr>
        <w:t>INSTRUMENTO PARTICULAR DE Escritura DE Emissão PÚBLICA de debêntureS simples, Não ConversívEIS em Ações, em Série única, da espécie QUIROGRAFÁRIA, COM GARANTIA REAL ADICIONAL, da DÉCIMA SEGUNDA Emissão da LOG COMMERCIAL PROPERTIES E PARTICIPAÇÕES S.A.</w:t>
      </w:r>
    </w:p>
    <w:p>
      <w:pPr>
        <w:spacing w:line="320" w:lineRule="exact"/>
        <w:jc w:val="center"/>
        <w:rPr>
          <w:rFonts w:ascii="Calibri" w:hAnsi="Calibri"/>
          <w:b/>
          <w:bCs/>
          <w:color w:val="000000"/>
          <w:sz w:val="22"/>
          <w:szCs w:val="22"/>
        </w:rPr>
      </w:pPr>
      <w:r>
        <w:rPr>
          <w:rFonts w:ascii="Calibri" w:hAnsi="Calibri"/>
          <w:b/>
          <w:bCs/>
          <w:color w:val="000000"/>
          <w:sz w:val="22"/>
          <w:szCs w:val="22"/>
        </w:rPr>
        <w:t xml:space="preserve"> </w:t>
      </w:r>
    </w:p>
    <w:p>
      <w:pPr>
        <w:spacing w:line="320" w:lineRule="exact"/>
        <w:jc w:val="center"/>
        <w:rPr>
          <w:rFonts w:ascii="Calibri" w:hAnsi="Calibri"/>
          <w:bCs/>
          <w:color w:val="000000"/>
          <w:sz w:val="22"/>
          <w:szCs w:val="22"/>
        </w:rPr>
      </w:pPr>
      <w:bookmarkStart w:id="1" w:name="_DV_M1"/>
      <w:bookmarkEnd w:id="1"/>
      <w:r>
        <w:rPr>
          <w:rFonts w:ascii="Calibri" w:hAnsi="Calibri"/>
          <w:bCs/>
          <w:color w:val="000000"/>
          <w:sz w:val="22"/>
          <w:szCs w:val="22"/>
        </w:rPr>
        <w:t>entre</w:t>
      </w:r>
    </w:p>
    <w:p>
      <w:pPr>
        <w:spacing w:line="320" w:lineRule="exact"/>
        <w:jc w:val="center"/>
        <w:rPr>
          <w:rFonts w:ascii="Calibri" w:hAnsi="Calibri"/>
          <w:color w:val="000000"/>
          <w:sz w:val="22"/>
          <w:szCs w:val="22"/>
        </w:rPr>
      </w:pPr>
    </w:p>
    <w:p>
      <w:pPr>
        <w:spacing w:line="320" w:lineRule="exact"/>
        <w:jc w:val="center"/>
        <w:rPr>
          <w:rFonts w:ascii="Calibri" w:hAnsi="Calibri"/>
          <w:color w:val="000000"/>
          <w:sz w:val="22"/>
          <w:szCs w:val="22"/>
        </w:rPr>
      </w:pPr>
    </w:p>
    <w:p>
      <w:pPr>
        <w:spacing w:line="320" w:lineRule="exact"/>
        <w:jc w:val="center"/>
        <w:rPr>
          <w:rFonts w:ascii="Calibri" w:hAnsi="Calibri"/>
          <w:b/>
          <w:caps/>
          <w:sz w:val="22"/>
          <w:szCs w:val="22"/>
        </w:rPr>
      </w:pPr>
      <w:bookmarkStart w:id="2" w:name="_DV_M2"/>
      <w:bookmarkEnd w:id="2"/>
      <w:r>
        <w:rPr>
          <w:rFonts w:ascii="Calibri" w:hAnsi="Calibri"/>
          <w:b/>
          <w:bCs/>
          <w:caps/>
          <w:sz w:val="22"/>
          <w:szCs w:val="22"/>
        </w:rPr>
        <w:t>Log Commercial Properties e participações S.A.</w:t>
      </w:r>
    </w:p>
    <w:p>
      <w:pPr>
        <w:spacing w:line="320" w:lineRule="exact"/>
        <w:jc w:val="center"/>
        <w:rPr>
          <w:rFonts w:ascii="Calibri" w:hAnsi="Calibri"/>
          <w:bCs/>
          <w:sz w:val="22"/>
          <w:szCs w:val="22"/>
        </w:rPr>
      </w:pPr>
      <w:bookmarkStart w:id="3" w:name="_DV_M3"/>
      <w:bookmarkEnd w:id="3"/>
      <w:r>
        <w:rPr>
          <w:rFonts w:ascii="Calibri" w:hAnsi="Calibri"/>
          <w:bCs/>
          <w:sz w:val="22"/>
          <w:szCs w:val="22"/>
        </w:rPr>
        <w:t xml:space="preserve">EMISSORA </w:t>
      </w:r>
    </w:p>
    <w:p>
      <w:pPr>
        <w:spacing w:line="320" w:lineRule="exact"/>
        <w:jc w:val="center"/>
        <w:rPr>
          <w:rFonts w:ascii="Calibri" w:hAnsi="Calibri"/>
          <w:sz w:val="22"/>
          <w:szCs w:val="22"/>
        </w:rPr>
      </w:pPr>
    </w:p>
    <w:p>
      <w:pPr>
        <w:spacing w:line="320" w:lineRule="exact"/>
        <w:jc w:val="center"/>
        <w:rPr>
          <w:rFonts w:ascii="Calibri" w:hAnsi="Calibri"/>
          <w:sz w:val="22"/>
          <w:szCs w:val="22"/>
        </w:rPr>
      </w:pPr>
    </w:p>
    <w:p>
      <w:pPr>
        <w:spacing w:line="320" w:lineRule="exact"/>
        <w:jc w:val="center"/>
        <w:rPr>
          <w:rFonts w:ascii="Calibri" w:hAnsi="Calibri"/>
          <w:b/>
          <w:smallCaps/>
          <w:sz w:val="22"/>
          <w:szCs w:val="22"/>
          <w:highlight w:val="yellow"/>
        </w:rPr>
      </w:pPr>
      <w:bookmarkStart w:id="4" w:name="_DV_M4"/>
      <w:bookmarkStart w:id="5" w:name="_DV_M5"/>
      <w:bookmarkStart w:id="6" w:name="_DV_M6"/>
      <w:bookmarkStart w:id="7" w:name="_DV_M7"/>
      <w:bookmarkStart w:id="8" w:name="_DV_M9"/>
      <w:bookmarkStart w:id="9" w:name="_DV_M10"/>
      <w:bookmarkStart w:id="10" w:name="_DV_M11"/>
      <w:bookmarkStart w:id="11" w:name="_DV_M12"/>
      <w:bookmarkEnd w:id="4"/>
      <w:bookmarkEnd w:id="5"/>
      <w:bookmarkEnd w:id="6"/>
      <w:bookmarkEnd w:id="7"/>
      <w:bookmarkEnd w:id="8"/>
      <w:bookmarkEnd w:id="9"/>
      <w:bookmarkEnd w:id="10"/>
      <w:bookmarkEnd w:id="11"/>
      <w:r>
        <w:rPr>
          <w:rFonts w:ascii="Calibri" w:hAnsi="Calibri" w:cs="Calibri"/>
          <w:b/>
          <w:sz w:val="22"/>
          <w:szCs w:val="22"/>
        </w:rPr>
        <w:t>OLIVEIRA TRUST DISTRIBUIDORA DE TÍTULOS E VALORES MOBILIÁRIOS S.A.</w:t>
      </w:r>
    </w:p>
    <w:p>
      <w:pPr>
        <w:spacing w:line="320" w:lineRule="exact"/>
        <w:jc w:val="center"/>
        <w:rPr>
          <w:rFonts w:ascii="Calibri" w:hAnsi="Calibri"/>
          <w:bCs/>
          <w:sz w:val="22"/>
          <w:szCs w:val="22"/>
        </w:rPr>
      </w:pPr>
      <w:r>
        <w:rPr>
          <w:rFonts w:ascii="Calibri" w:hAnsi="Calibri"/>
          <w:bCs/>
          <w:sz w:val="22"/>
          <w:szCs w:val="22"/>
        </w:rPr>
        <w:t>AGENTE FIDUCIÁRIO</w:t>
      </w:r>
    </w:p>
    <w:p>
      <w:pPr>
        <w:spacing w:line="320" w:lineRule="exact"/>
        <w:jc w:val="center"/>
        <w:rPr>
          <w:rFonts w:ascii="Calibri" w:hAnsi="Calibri"/>
          <w:b/>
          <w:bCs/>
          <w:sz w:val="22"/>
          <w:szCs w:val="22"/>
        </w:rPr>
      </w:pPr>
    </w:p>
    <w:p>
      <w:pPr>
        <w:spacing w:line="320" w:lineRule="exact"/>
        <w:jc w:val="center"/>
        <w:rPr>
          <w:rFonts w:ascii="Calibri" w:hAnsi="Calibri"/>
          <w:b/>
          <w:smallCaps/>
          <w:sz w:val="22"/>
          <w:szCs w:val="22"/>
          <w:highlight w:val="yellow"/>
        </w:rPr>
      </w:pPr>
    </w:p>
    <w:p>
      <w:pPr>
        <w:spacing w:line="320" w:lineRule="exact"/>
        <w:jc w:val="center"/>
        <w:rPr>
          <w:rFonts w:ascii="Calibri" w:hAnsi="Calibri"/>
          <w:b/>
          <w:smallCaps/>
          <w:sz w:val="22"/>
          <w:szCs w:val="22"/>
          <w:highlight w:val="yellow"/>
        </w:rPr>
      </w:pPr>
    </w:p>
    <w:p>
      <w:pPr>
        <w:spacing w:line="320" w:lineRule="exact"/>
        <w:jc w:val="center"/>
        <w:rPr>
          <w:rFonts w:ascii="Calibri" w:hAnsi="Calibri"/>
          <w:b/>
          <w:smallCaps/>
          <w:sz w:val="22"/>
          <w:szCs w:val="22"/>
          <w:highlight w:val="yellow"/>
        </w:rPr>
      </w:pPr>
      <w:r>
        <w:rPr>
          <w:rFonts w:asciiTheme="minorHAnsi" w:hAnsiTheme="minorHAnsi" w:cstheme="minorHAnsi"/>
          <w:b/>
          <w:color w:val="000000"/>
          <w:sz w:val="22"/>
          <w:szCs w:val="22"/>
        </w:rPr>
        <w:t>GOIÂNIA I INCORPORAÇÕES IMOBILIÁRIAS SPE LTDA.</w:t>
      </w:r>
      <w:r>
        <w:rPr>
          <w:rFonts w:ascii="Calibri" w:hAnsi="Calibri"/>
          <w:b/>
          <w:smallCaps/>
          <w:sz w:val="22"/>
          <w:szCs w:val="22"/>
          <w:highlight w:val="yellow"/>
        </w:rPr>
        <w:t xml:space="preserve"> </w:t>
      </w:r>
    </w:p>
    <w:p>
      <w:pPr>
        <w:spacing w:line="320" w:lineRule="exact"/>
        <w:jc w:val="center"/>
        <w:rPr>
          <w:rFonts w:ascii="Calibri" w:hAnsi="Calibri"/>
          <w:b/>
          <w:smallCaps/>
          <w:sz w:val="22"/>
          <w:szCs w:val="22"/>
        </w:rPr>
      </w:pPr>
      <w:r>
        <w:rPr>
          <w:rFonts w:ascii="Calibri" w:hAnsi="Calibri"/>
          <w:b/>
          <w:smallCaps/>
          <w:sz w:val="22"/>
          <w:szCs w:val="22"/>
        </w:rPr>
        <w:t>e</w:t>
      </w:r>
    </w:p>
    <w:p>
      <w:pPr>
        <w:spacing w:line="320" w:lineRule="exact"/>
        <w:jc w:val="center"/>
        <w:rPr>
          <w:rFonts w:ascii="Calibri" w:hAnsi="Calibri"/>
          <w:b/>
          <w:smallCaps/>
          <w:sz w:val="22"/>
          <w:szCs w:val="22"/>
        </w:rPr>
      </w:pPr>
      <w:r>
        <w:rPr>
          <w:rFonts w:ascii="Calibri" w:hAnsi="Calibri"/>
          <w:b/>
          <w:sz w:val="22"/>
          <w:szCs w:val="22"/>
        </w:rPr>
        <w:t>LOG SÃO JOSÉ DOS PINHAIS I SPE LTDA.</w:t>
      </w:r>
    </w:p>
    <w:p>
      <w:pPr>
        <w:spacing w:line="320" w:lineRule="exact"/>
        <w:jc w:val="center"/>
        <w:rPr>
          <w:rFonts w:ascii="Calibri" w:hAnsi="Calibri"/>
          <w:b/>
          <w:smallCaps/>
          <w:sz w:val="22"/>
          <w:szCs w:val="22"/>
        </w:rPr>
      </w:pPr>
    </w:p>
    <w:p>
      <w:pPr>
        <w:spacing w:line="320" w:lineRule="exact"/>
        <w:jc w:val="center"/>
        <w:rPr>
          <w:rFonts w:ascii="Calibri" w:hAnsi="Calibri"/>
          <w:bCs/>
          <w:sz w:val="22"/>
          <w:szCs w:val="22"/>
        </w:rPr>
      </w:pPr>
      <w:r>
        <w:rPr>
          <w:rFonts w:ascii="Calibri" w:hAnsi="Calibri"/>
          <w:bCs/>
          <w:sz w:val="22"/>
          <w:szCs w:val="22"/>
        </w:rPr>
        <w:t>INTERVENIENTES</w:t>
      </w:r>
    </w:p>
    <w:p>
      <w:pPr>
        <w:spacing w:line="320" w:lineRule="exact"/>
        <w:jc w:val="center"/>
        <w:rPr>
          <w:rFonts w:ascii="Calibri" w:hAnsi="Calibri"/>
          <w:b/>
          <w:bCs/>
          <w:color w:val="000000"/>
          <w:sz w:val="22"/>
          <w:szCs w:val="22"/>
        </w:rPr>
      </w:pPr>
    </w:p>
    <w:p>
      <w:pPr>
        <w:spacing w:line="320" w:lineRule="exact"/>
        <w:jc w:val="center"/>
        <w:rPr>
          <w:rFonts w:ascii="Calibri" w:hAnsi="Calibri"/>
          <w:b/>
          <w:bCs/>
          <w:color w:val="000000"/>
          <w:sz w:val="22"/>
          <w:szCs w:val="22"/>
        </w:rPr>
      </w:pPr>
    </w:p>
    <w:p>
      <w:pPr>
        <w:spacing w:line="320" w:lineRule="exact"/>
        <w:jc w:val="center"/>
        <w:rPr>
          <w:rFonts w:ascii="Calibri" w:hAnsi="Calibri"/>
          <w:b/>
          <w:bCs/>
          <w:color w:val="000000"/>
          <w:sz w:val="22"/>
          <w:szCs w:val="22"/>
        </w:rPr>
      </w:pPr>
    </w:p>
    <w:p>
      <w:pPr>
        <w:spacing w:line="320" w:lineRule="exact"/>
        <w:jc w:val="center"/>
        <w:rPr>
          <w:rFonts w:ascii="Calibri" w:hAnsi="Calibri"/>
          <w:b/>
          <w:bCs/>
          <w:color w:val="000000"/>
          <w:sz w:val="22"/>
          <w:szCs w:val="22"/>
        </w:rPr>
      </w:pPr>
    </w:p>
    <w:p>
      <w:pPr>
        <w:spacing w:line="320" w:lineRule="exact"/>
        <w:jc w:val="center"/>
        <w:rPr>
          <w:rFonts w:ascii="Calibri" w:hAnsi="Calibri"/>
          <w:b/>
          <w:bCs/>
          <w:color w:val="000000"/>
          <w:sz w:val="22"/>
          <w:szCs w:val="22"/>
        </w:rPr>
      </w:pPr>
    </w:p>
    <w:p>
      <w:pPr>
        <w:spacing w:line="320" w:lineRule="exact"/>
        <w:jc w:val="center"/>
        <w:rPr>
          <w:rFonts w:ascii="Calibri" w:hAnsi="Calibri"/>
          <w:b/>
          <w:bCs/>
          <w:color w:val="000000"/>
          <w:sz w:val="22"/>
          <w:szCs w:val="22"/>
        </w:rPr>
      </w:pPr>
      <w:bookmarkStart w:id="12" w:name="_DV_M13"/>
      <w:bookmarkStart w:id="13" w:name="_DV_M14"/>
      <w:bookmarkEnd w:id="12"/>
      <w:bookmarkEnd w:id="13"/>
      <w:r>
        <w:rPr>
          <w:rFonts w:ascii="Calibri" w:hAnsi="Calibri"/>
          <w:b/>
          <w:bCs/>
          <w:color w:val="000000"/>
          <w:sz w:val="22"/>
          <w:szCs w:val="22"/>
        </w:rPr>
        <w:t>_______________________________</w:t>
      </w:r>
    </w:p>
    <w:p>
      <w:pPr>
        <w:spacing w:line="320" w:lineRule="exact"/>
        <w:jc w:val="center"/>
        <w:rPr>
          <w:rFonts w:ascii="Calibri" w:hAnsi="Calibri"/>
          <w:b/>
          <w:bCs/>
          <w:color w:val="000000"/>
          <w:sz w:val="22"/>
          <w:szCs w:val="22"/>
        </w:rPr>
      </w:pPr>
    </w:p>
    <w:p>
      <w:pPr>
        <w:spacing w:line="320" w:lineRule="exact"/>
        <w:jc w:val="center"/>
        <w:rPr>
          <w:rFonts w:ascii="Calibri" w:hAnsi="Calibri"/>
          <w:b/>
          <w:bCs/>
          <w:color w:val="000000"/>
          <w:sz w:val="22"/>
          <w:szCs w:val="22"/>
        </w:rPr>
      </w:pPr>
      <w:r>
        <w:rPr>
          <w:rFonts w:ascii="Calibri" w:hAnsi="Calibri"/>
          <w:b/>
          <w:smallCaps/>
          <w:sz w:val="22"/>
          <w:szCs w:val="22"/>
        </w:rPr>
        <w:t>22</w:t>
      </w:r>
      <w:r>
        <w:rPr>
          <w:rFonts w:ascii="Calibri" w:hAnsi="Calibri"/>
          <w:b/>
          <w:bCs/>
          <w:color w:val="000000"/>
          <w:sz w:val="22"/>
          <w:szCs w:val="22"/>
        </w:rPr>
        <w:t xml:space="preserve"> de </w:t>
      </w:r>
      <w:r>
        <w:rPr>
          <w:rFonts w:ascii="Calibri" w:hAnsi="Calibri"/>
          <w:b/>
          <w:sz w:val="22"/>
          <w:szCs w:val="22"/>
        </w:rPr>
        <w:t xml:space="preserve">dezembro </w:t>
      </w:r>
      <w:r>
        <w:rPr>
          <w:rFonts w:ascii="Calibri" w:hAnsi="Calibri"/>
          <w:b/>
          <w:bCs/>
          <w:color w:val="000000"/>
          <w:sz w:val="22"/>
          <w:szCs w:val="22"/>
        </w:rPr>
        <w:t>de 2017</w:t>
      </w:r>
    </w:p>
    <w:p>
      <w:pPr>
        <w:spacing w:line="320" w:lineRule="exact"/>
        <w:jc w:val="center"/>
        <w:rPr>
          <w:rFonts w:ascii="Calibri" w:hAnsi="Calibri"/>
          <w:b/>
          <w:bCs/>
          <w:sz w:val="22"/>
          <w:szCs w:val="22"/>
        </w:rPr>
      </w:pPr>
      <w:r>
        <w:rPr>
          <w:rFonts w:ascii="Calibri" w:hAnsi="Calibri"/>
          <w:b/>
          <w:bCs/>
          <w:color w:val="000000"/>
          <w:sz w:val="22"/>
          <w:szCs w:val="22"/>
        </w:rPr>
        <w:t>________________________________</w:t>
      </w:r>
    </w:p>
    <w:p>
      <w:pPr>
        <w:pStyle w:val="Cabealho"/>
        <w:spacing w:line="320" w:lineRule="exact"/>
        <w:jc w:val="both"/>
        <w:rPr>
          <w:rFonts w:ascii="Calibri" w:hAnsi="Calibri"/>
          <w:b/>
          <w:caps/>
          <w:lang w:val="pt-BR"/>
        </w:rPr>
      </w:pPr>
    </w:p>
    <w:p>
      <w:pPr>
        <w:pStyle w:val="Cabealho"/>
        <w:spacing w:line="320" w:lineRule="exact"/>
        <w:jc w:val="both"/>
        <w:rPr>
          <w:rFonts w:ascii="Calibri" w:hAnsi="Calibri"/>
          <w:b/>
          <w:caps/>
          <w:lang w:val="pt-BR"/>
        </w:rPr>
      </w:pPr>
    </w:p>
    <w:p>
      <w:pPr>
        <w:pStyle w:val="Cabealho"/>
        <w:spacing w:line="320" w:lineRule="exact"/>
        <w:jc w:val="both"/>
        <w:rPr>
          <w:rFonts w:ascii="Calibri" w:hAnsi="Calibri"/>
          <w:b/>
          <w:caps/>
          <w:lang w:val="pt-BR"/>
        </w:rPr>
      </w:pPr>
    </w:p>
    <w:p>
      <w:pPr>
        <w:pStyle w:val="Cabealho"/>
        <w:spacing w:line="320" w:lineRule="exact"/>
        <w:jc w:val="both"/>
        <w:rPr>
          <w:rFonts w:ascii="Calibri" w:hAnsi="Calibri"/>
          <w:b/>
          <w:caps/>
          <w:lang w:val="pt-BR"/>
        </w:rPr>
      </w:pPr>
    </w:p>
    <w:p>
      <w:pPr>
        <w:pStyle w:val="Cabealho"/>
        <w:pBdr>
          <w:bottom w:val="double" w:sz="6" w:space="1" w:color="auto"/>
        </w:pBdr>
        <w:spacing w:line="320" w:lineRule="exact"/>
        <w:jc w:val="both"/>
        <w:rPr>
          <w:rFonts w:ascii="Calibri" w:hAnsi="Calibri"/>
          <w:b/>
          <w:caps/>
        </w:rPr>
      </w:pPr>
    </w:p>
    <w:p>
      <w:pPr>
        <w:spacing w:line="320" w:lineRule="exact"/>
        <w:jc w:val="both"/>
        <w:rPr>
          <w:rFonts w:ascii="Calibri" w:hAnsi="Calibri"/>
          <w:b/>
          <w:bCs/>
          <w:smallCaps/>
          <w:color w:val="000000"/>
          <w:sz w:val="22"/>
          <w:szCs w:val="22"/>
        </w:rPr>
      </w:pPr>
      <w:r>
        <w:rPr>
          <w:rFonts w:ascii="Calibri" w:hAnsi="Calibri"/>
          <w:b/>
          <w:caps/>
          <w:sz w:val="22"/>
          <w:szCs w:val="22"/>
        </w:rPr>
        <w:br w:type="page"/>
      </w:r>
      <w:r>
        <w:rPr>
          <w:rFonts w:ascii="Calibri" w:hAnsi="Calibri"/>
          <w:b/>
          <w:caps/>
          <w:sz w:val="22"/>
          <w:szCs w:val="22"/>
        </w:rPr>
        <w:lastRenderedPageBreak/>
        <w:t>INSTRUMENTO PARTICULAR DE Escritura DE Emissão PÚBLICA de debêntureS simples, Não ConversívEIS em Ações, em Série única, da espécie QUIROGRAFÁRIA, COM GARANTIA REAL ADICIONAL, da DÉCIMA SEGUNDA Emissão da LOG COMMERCIAL PROPERTIES E PARTICIPAÇÕES S.A.</w:t>
      </w:r>
    </w:p>
    <w:p>
      <w:pPr>
        <w:spacing w:line="320" w:lineRule="exact"/>
        <w:jc w:val="both"/>
        <w:rPr>
          <w:rFonts w:ascii="Calibri" w:hAnsi="Calibri"/>
          <w:b/>
          <w:bCs/>
          <w:smallCaps/>
          <w:color w:val="000000"/>
          <w:sz w:val="22"/>
          <w:szCs w:val="22"/>
        </w:rPr>
      </w:pPr>
    </w:p>
    <w:p>
      <w:pPr>
        <w:spacing w:line="320" w:lineRule="exact"/>
        <w:jc w:val="both"/>
        <w:rPr>
          <w:rFonts w:ascii="Calibri" w:hAnsi="Calibri"/>
          <w:b/>
          <w:bCs/>
          <w:smallCaps/>
          <w:color w:val="000000"/>
          <w:sz w:val="22"/>
          <w:szCs w:val="22"/>
        </w:rPr>
      </w:pPr>
    </w:p>
    <w:p>
      <w:pPr>
        <w:suppressAutoHyphens/>
        <w:spacing w:line="320" w:lineRule="exact"/>
        <w:jc w:val="both"/>
        <w:rPr>
          <w:rFonts w:ascii="Calibri" w:hAnsi="Calibri"/>
          <w:sz w:val="22"/>
          <w:szCs w:val="22"/>
        </w:rPr>
      </w:pPr>
      <w:r>
        <w:rPr>
          <w:rFonts w:ascii="Calibri" w:hAnsi="Calibri"/>
          <w:sz w:val="22"/>
          <w:szCs w:val="22"/>
        </w:rPr>
        <w:t>Pelo presente instrumento particular, as partes abaixo qualificadas:</w:t>
      </w:r>
    </w:p>
    <w:p>
      <w:pPr>
        <w:spacing w:line="320" w:lineRule="exact"/>
        <w:jc w:val="both"/>
        <w:rPr>
          <w:rFonts w:ascii="Calibri" w:hAnsi="Calibri"/>
          <w:sz w:val="22"/>
          <w:szCs w:val="22"/>
        </w:rPr>
      </w:pPr>
    </w:p>
    <w:p>
      <w:pPr>
        <w:spacing w:line="320" w:lineRule="exact"/>
        <w:jc w:val="both"/>
        <w:rPr>
          <w:rFonts w:ascii="Calibri" w:hAnsi="Calibri"/>
          <w:sz w:val="22"/>
          <w:szCs w:val="22"/>
        </w:rPr>
      </w:pPr>
      <w:r>
        <w:rPr>
          <w:rFonts w:ascii="Calibri" w:hAnsi="Calibri"/>
          <w:b/>
          <w:caps/>
          <w:sz w:val="22"/>
          <w:szCs w:val="22"/>
        </w:rPr>
        <w:t>Log Commercial Properties E PARTICIPAÇÕES S.A.</w:t>
      </w:r>
      <w:r>
        <w:rPr>
          <w:rFonts w:ascii="Calibri" w:hAnsi="Calibri"/>
          <w:caps/>
          <w:sz w:val="22"/>
          <w:szCs w:val="22"/>
        </w:rPr>
        <w:t>,</w:t>
      </w:r>
      <w:r>
        <w:rPr>
          <w:rFonts w:ascii="Calibri" w:hAnsi="Calibri"/>
          <w:sz w:val="22"/>
          <w:szCs w:val="22"/>
        </w:rPr>
        <w:t xml:space="preserve"> sociedade por ações, com registro de companhia aberta perante a Comissão de Valores Mobiliários (“</w:t>
      </w:r>
      <w:r>
        <w:rPr>
          <w:rFonts w:ascii="Calibri" w:hAnsi="Calibri"/>
          <w:sz w:val="22"/>
          <w:szCs w:val="22"/>
          <w:u w:val="single"/>
        </w:rPr>
        <w:t>CVM</w:t>
      </w:r>
      <w:r>
        <w:rPr>
          <w:rFonts w:ascii="Calibri" w:hAnsi="Calibri"/>
          <w:sz w:val="22"/>
          <w:szCs w:val="22"/>
        </w:rPr>
        <w:t xml:space="preserve">”), com sede na Cidade de Belo Horizonte, no Estado de Minas Gerais, na Avenida Professor Mario Werneck, nº 621, 10º andar, CEP 30455-610, inscrita no </w:t>
      </w:r>
      <w:r>
        <w:rPr>
          <w:rFonts w:ascii="Calibri" w:eastAsia="MS Mincho" w:hAnsi="Calibri"/>
          <w:color w:val="000000"/>
          <w:sz w:val="22"/>
          <w:szCs w:val="22"/>
        </w:rPr>
        <w:t>Cadastro Nacional de Pessoas Jurídicas do Ministério da Fazenda (“</w:t>
      </w:r>
      <w:r>
        <w:rPr>
          <w:rFonts w:ascii="Calibri" w:eastAsia="MS Mincho" w:hAnsi="Calibri"/>
          <w:color w:val="000000"/>
          <w:sz w:val="22"/>
          <w:szCs w:val="22"/>
          <w:u w:val="single"/>
        </w:rPr>
        <w:t>CNPJ/MF</w:t>
      </w:r>
      <w:r>
        <w:rPr>
          <w:rFonts w:ascii="Calibri" w:eastAsia="MS Mincho" w:hAnsi="Calibri"/>
          <w:color w:val="000000"/>
          <w:sz w:val="22"/>
          <w:szCs w:val="22"/>
        </w:rPr>
        <w:t>”)</w:t>
      </w:r>
      <w:r>
        <w:rPr>
          <w:rFonts w:ascii="Calibri" w:hAnsi="Calibri"/>
          <w:sz w:val="22"/>
          <w:szCs w:val="22"/>
        </w:rPr>
        <w:t xml:space="preserve"> sob o nº </w:t>
      </w:r>
      <w:r>
        <w:rPr>
          <w:rFonts w:ascii="Calibri" w:hAnsi="Calibri"/>
          <w:caps/>
          <w:sz w:val="22"/>
          <w:szCs w:val="22"/>
        </w:rPr>
        <w:t>09.041.168/0001-10</w:t>
      </w:r>
      <w:r>
        <w:rPr>
          <w:rFonts w:ascii="Calibri" w:hAnsi="Calibri"/>
          <w:sz w:val="22"/>
          <w:szCs w:val="22"/>
        </w:rPr>
        <w:t>, e no NIRE 31.300.027.261 neste ato representada na forma de seu Estatuto Social, por Sergio Fischer Teixeira de Souza, brasileiro, casado, engenheiro, portador da Cédula de Identidade RG nº M 6.951.238 SSP/MG, inscrito no CPF/MF sob o nº 029.016.536-93, residente e domiciliado na Capital do Estado de Minas Gerais, com endereço comercial na Avenida Professor Mário Werneck, 621, 10º andar, Estoril, CEP 30.455-610 e Felipe Enck Gonçalves, brasileiro, casado, economista, portador da Cédula de Identidade RG nº MG-5.483.375 SSP/MG, inscrito no CPF/MF sob nº 039.979.726-21, residente e domiciliado na Capital do Estado de Minas Gerais, com endereço comercial na Avenida Professor Mário Werneck, 621, 10º andar, Estoril, CEP 30.455-610 (“</w:t>
      </w:r>
      <w:r>
        <w:rPr>
          <w:rFonts w:ascii="Calibri" w:hAnsi="Calibri"/>
          <w:sz w:val="22"/>
          <w:szCs w:val="22"/>
          <w:u w:val="single"/>
        </w:rPr>
        <w:t>Emissora</w:t>
      </w:r>
      <w:r>
        <w:rPr>
          <w:rFonts w:ascii="Calibri" w:hAnsi="Calibri"/>
          <w:sz w:val="22"/>
          <w:szCs w:val="22"/>
        </w:rPr>
        <w:t xml:space="preserve">”); </w:t>
      </w:r>
    </w:p>
    <w:p>
      <w:pPr>
        <w:spacing w:line="320" w:lineRule="exact"/>
        <w:jc w:val="both"/>
        <w:rPr>
          <w:rFonts w:ascii="Calibri" w:hAnsi="Calibri"/>
          <w:sz w:val="22"/>
          <w:szCs w:val="22"/>
        </w:rPr>
      </w:pPr>
    </w:p>
    <w:p>
      <w:pPr>
        <w:spacing w:line="320" w:lineRule="exact"/>
        <w:jc w:val="both"/>
        <w:rPr>
          <w:rFonts w:ascii="Calibri" w:hAnsi="Calibri"/>
          <w:b/>
          <w:sz w:val="22"/>
          <w:szCs w:val="22"/>
        </w:rPr>
      </w:pPr>
      <w:r>
        <w:rPr>
          <w:rFonts w:ascii="Calibri" w:hAnsi="Calibri" w:cs="Calibri"/>
          <w:b/>
          <w:sz w:val="22"/>
          <w:szCs w:val="22"/>
        </w:rPr>
        <w:t>OLIVEIRA TRUST DISTRIBUIDORA DE TÍTULOS E VALORES MOBILIÁRIOS S.A.</w:t>
      </w:r>
      <w:r>
        <w:rPr>
          <w:rFonts w:ascii="Calibri" w:eastAsia="MS Mincho" w:hAnsi="Calibri" w:cs="Calibri"/>
          <w:color w:val="000000"/>
          <w:sz w:val="22"/>
          <w:szCs w:val="22"/>
        </w:rPr>
        <w:t>, instituição financeira, com sede na Cidade do Rio de Janeiro, Estado do Rio de Janeiro, na Avenida das Américas, nº 3.434, Bloco 7 – grupo 201, CEP 22640-102</w:t>
      </w:r>
      <w:r>
        <w:rPr>
          <w:rFonts w:ascii="Calibri" w:hAnsi="Calibri" w:cs="Calibri"/>
          <w:sz w:val="22"/>
          <w:szCs w:val="22"/>
        </w:rPr>
        <w:t>,</w:t>
      </w:r>
      <w:r>
        <w:rPr>
          <w:rFonts w:ascii="Calibri" w:eastAsia="MS Mincho" w:hAnsi="Calibri" w:cs="Calibri"/>
          <w:color w:val="000000"/>
          <w:sz w:val="22"/>
          <w:szCs w:val="22"/>
        </w:rPr>
        <w:t xml:space="preserve"> inscrita no CNPJ/MF sob o nº 36.113.876/0001-91, NIRE 33300273875 neste ato representada na forma de seu Estatuto Social</w:t>
      </w:r>
      <w:r>
        <w:rPr>
          <w:rFonts w:asciiTheme="minorHAnsi" w:hAnsiTheme="minorHAnsi" w:cstheme="minorHAnsi"/>
          <w:sz w:val="22"/>
          <w:szCs w:val="22"/>
        </w:rPr>
        <w:t>, neste</w:t>
      </w:r>
      <w:r>
        <w:rPr>
          <w:rFonts w:ascii="Calibri" w:hAnsi="Calibri"/>
          <w:sz w:val="22"/>
          <w:szCs w:val="22"/>
        </w:rPr>
        <w:t xml:space="preserve"> ato representada na forma de seus atos constitutivos, por Fernando Nunes Luís, brasileiro divorciado, advogado, portador do documento n.º 43.805.316-3 expedido pelo SSP-SP e inscrito no CPF/MF sob o n.º 311.177.888-65 e Marcelo Takeshi Yano de Andrade, brasileiro, solteiro, advogado, portador do documento n.º 27.272.909-7 expedido pelo SSP-SP, inscrito no CPF/MF sob o n.º 313.854.188-77, ambos com escritório no endereço supra (“</w:t>
      </w:r>
      <w:r>
        <w:rPr>
          <w:rFonts w:ascii="Calibri" w:hAnsi="Calibri"/>
          <w:sz w:val="22"/>
          <w:szCs w:val="22"/>
          <w:u w:val="single"/>
        </w:rPr>
        <w:t>Agente Fiduciário</w:t>
      </w:r>
      <w:r>
        <w:rPr>
          <w:rFonts w:ascii="Calibri" w:hAnsi="Calibri"/>
          <w:sz w:val="22"/>
          <w:szCs w:val="22"/>
        </w:rPr>
        <w:t>”), na qualidade de representante dos titulares das Debêntures (“</w:t>
      </w:r>
      <w:r>
        <w:rPr>
          <w:rFonts w:ascii="Calibri" w:hAnsi="Calibri"/>
          <w:sz w:val="22"/>
          <w:szCs w:val="22"/>
          <w:u w:val="single"/>
        </w:rPr>
        <w:t>Debenturistas</w:t>
      </w:r>
      <w:r>
        <w:rPr>
          <w:rFonts w:ascii="Calibri" w:hAnsi="Calibri"/>
          <w:sz w:val="22"/>
          <w:szCs w:val="22"/>
        </w:rPr>
        <w:t>”); e</w:t>
      </w:r>
    </w:p>
    <w:p>
      <w:pPr>
        <w:spacing w:line="320" w:lineRule="exact"/>
        <w:jc w:val="both"/>
        <w:rPr>
          <w:rFonts w:ascii="Calibri" w:hAnsi="Calibri"/>
          <w:sz w:val="22"/>
          <w:szCs w:val="22"/>
        </w:rPr>
      </w:pPr>
    </w:p>
    <w:p>
      <w:pPr>
        <w:spacing w:line="320" w:lineRule="exact"/>
        <w:jc w:val="both"/>
        <w:rPr>
          <w:rFonts w:ascii="Calibri" w:hAnsi="Calibri"/>
          <w:sz w:val="22"/>
          <w:szCs w:val="22"/>
        </w:rPr>
      </w:pPr>
      <w:r>
        <w:rPr>
          <w:rFonts w:ascii="Calibri" w:hAnsi="Calibri"/>
          <w:sz w:val="22"/>
          <w:szCs w:val="22"/>
        </w:rPr>
        <w:t>na qualidade de intervenientes anuentes</w:t>
      </w:r>
    </w:p>
    <w:p>
      <w:pPr>
        <w:spacing w:line="320" w:lineRule="exact"/>
        <w:jc w:val="both"/>
        <w:rPr>
          <w:rFonts w:ascii="Calibri" w:hAnsi="Calibri"/>
          <w:sz w:val="22"/>
          <w:szCs w:val="22"/>
        </w:rPr>
      </w:pPr>
    </w:p>
    <w:p>
      <w:pPr>
        <w:spacing w:line="320" w:lineRule="exact"/>
        <w:jc w:val="both"/>
        <w:rPr>
          <w:rFonts w:ascii="Calibri" w:hAnsi="Calibri"/>
          <w:sz w:val="22"/>
          <w:szCs w:val="22"/>
        </w:rPr>
      </w:pPr>
      <w:r>
        <w:rPr>
          <w:rFonts w:asciiTheme="minorHAnsi" w:hAnsiTheme="minorHAnsi" w:cstheme="minorHAnsi"/>
          <w:b/>
          <w:color w:val="000000"/>
          <w:sz w:val="22"/>
          <w:szCs w:val="22"/>
        </w:rPr>
        <w:t>GOIÂNIA I INCORPORAÇÕES IMOBILIÁRIAS SPE LTDA</w:t>
      </w:r>
      <w:r>
        <w:rPr>
          <w:rFonts w:asciiTheme="minorHAnsi" w:hAnsiTheme="minorHAnsi" w:cstheme="minorHAnsi"/>
          <w:color w:val="000000"/>
          <w:sz w:val="22"/>
          <w:szCs w:val="22"/>
        </w:rPr>
        <w:t>.</w:t>
      </w:r>
      <w:r>
        <w:rPr>
          <w:rFonts w:asciiTheme="minorHAnsi" w:hAnsiTheme="minorHAnsi" w:cstheme="minorHAnsi"/>
          <w:sz w:val="22"/>
          <w:szCs w:val="22"/>
        </w:rPr>
        <w:t xml:space="preserve">, sociedade limitada, com sede na cidade de </w:t>
      </w:r>
      <w:r>
        <w:rPr>
          <w:rFonts w:asciiTheme="minorHAnsi" w:hAnsiTheme="minorHAnsi" w:cstheme="minorHAnsi"/>
          <w:color w:val="000000"/>
          <w:sz w:val="22"/>
          <w:szCs w:val="22"/>
        </w:rPr>
        <w:t>Goiânia</w:t>
      </w:r>
      <w:r>
        <w:rPr>
          <w:rFonts w:asciiTheme="minorHAnsi" w:hAnsiTheme="minorHAnsi" w:cstheme="minorHAnsi"/>
          <w:sz w:val="22"/>
          <w:szCs w:val="22"/>
        </w:rPr>
        <w:t xml:space="preserve">, Estado de Goiás, na Rua 9, nº 1.278, sala 07, Galeria Via 9 Oeste, Setor Oeste, CEP 74110-100, inscrita no CNPJ/MF sob nº </w:t>
      </w:r>
      <w:r>
        <w:rPr>
          <w:rFonts w:asciiTheme="minorHAnsi" w:hAnsiTheme="minorHAnsi" w:cstheme="minorHAnsi"/>
          <w:color w:val="000000"/>
          <w:sz w:val="22"/>
          <w:szCs w:val="22"/>
        </w:rPr>
        <w:t>13.405.157/0001</w:t>
      </w:r>
      <w:r>
        <w:rPr>
          <w:rFonts w:asciiTheme="minorHAnsi" w:hAnsiTheme="minorHAnsi" w:cstheme="minorHAnsi"/>
          <w:sz w:val="22"/>
          <w:szCs w:val="22"/>
        </w:rPr>
        <w:t xml:space="preserve">, NIRE 52.202.912.950, neste ato representada na forma de seus atos constitutivos, </w:t>
      </w:r>
      <w:r>
        <w:rPr>
          <w:rFonts w:ascii="Calibri" w:hAnsi="Calibri"/>
          <w:sz w:val="22"/>
          <w:szCs w:val="22"/>
        </w:rPr>
        <w:t xml:space="preserve">por Sergio Fischer Teixeira de Souza, brasileiro, casado, </w:t>
      </w:r>
      <w:r>
        <w:rPr>
          <w:rFonts w:ascii="Calibri" w:hAnsi="Calibri"/>
          <w:sz w:val="22"/>
          <w:szCs w:val="22"/>
        </w:rPr>
        <w:lastRenderedPageBreak/>
        <w:t>engenheiro, portador da Cédula de Identidade RG nº M 6.951.238 SSP/MG, inscrito no CPF/MF sob o nº 029.016.536-93, residente e domiciliado na Capital do Estado de Minas Gerais, com endereço comercial na Avenida Professor Mário Werneck, 621, 10º andar, Estoril, CEP 30.455-610 e Felipe Enck Gonçalves, brasileiro, casado, economista, portador da Cédula de Identidade RG nº MG-5.483.375 SSP/MG, inscrito no CPF/MF sob nº 039.979.726-21, residente e domiciliado na Capital do Estado de Minas Gerais, com endereço comercial na Avenida Professor Mário Werneck, 621, 10º andar, Estoril, CEP 30.455-610</w:t>
      </w:r>
      <w:r>
        <w:rPr>
          <w:rFonts w:asciiTheme="minorHAnsi" w:hAnsiTheme="minorHAnsi" w:cstheme="minorHAnsi"/>
          <w:sz w:val="22"/>
          <w:szCs w:val="22"/>
        </w:rPr>
        <w:t xml:space="preserve"> (“</w:t>
      </w:r>
      <w:r>
        <w:rPr>
          <w:rFonts w:asciiTheme="minorHAnsi" w:hAnsiTheme="minorHAnsi" w:cstheme="minorHAnsi"/>
          <w:sz w:val="22"/>
          <w:szCs w:val="22"/>
          <w:u w:val="single"/>
        </w:rPr>
        <w:t>SPE Goiânia</w:t>
      </w:r>
      <w:r>
        <w:rPr>
          <w:rFonts w:asciiTheme="minorHAnsi" w:hAnsiTheme="minorHAnsi" w:cstheme="minorHAnsi"/>
          <w:sz w:val="22"/>
          <w:szCs w:val="22"/>
        </w:rPr>
        <w:t>”);</w:t>
      </w:r>
      <w:r>
        <w:rPr>
          <w:rFonts w:ascii="Calibri" w:hAnsi="Calibri"/>
          <w:sz w:val="22"/>
          <w:szCs w:val="22"/>
        </w:rPr>
        <w:t xml:space="preserve"> </w:t>
      </w:r>
    </w:p>
    <w:p>
      <w:pPr>
        <w:spacing w:line="320" w:lineRule="exact"/>
        <w:jc w:val="both"/>
        <w:rPr>
          <w:rFonts w:ascii="Calibri" w:hAnsi="Calibri"/>
          <w:sz w:val="22"/>
          <w:szCs w:val="22"/>
          <w:highlight w:val="yellow"/>
        </w:rPr>
      </w:pPr>
    </w:p>
    <w:p>
      <w:pPr>
        <w:spacing w:line="320" w:lineRule="exact"/>
        <w:jc w:val="both"/>
        <w:rPr>
          <w:rFonts w:ascii="Calibri" w:hAnsi="Calibri"/>
          <w:sz w:val="22"/>
          <w:szCs w:val="22"/>
        </w:rPr>
      </w:pPr>
      <w:r>
        <w:rPr>
          <w:rFonts w:ascii="Calibri" w:hAnsi="Calibri"/>
          <w:b/>
          <w:sz w:val="22"/>
          <w:szCs w:val="22"/>
        </w:rPr>
        <w:t>LOG SÃO JOSÉ DOS PINHAIS I SPE LTDA</w:t>
      </w:r>
      <w:r>
        <w:rPr>
          <w:rFonts w:ascii="Calibri" w:hAnsi="Calibri"/>
          <w:sz w:val="22"/>
          <w:szCs w:val="22"/>
        </w:rPr>
        <w:t>., com sede na cidade de São José dos Pinhais, Estado do Paraná, na Alameda Bom Pastor, nº 3.586, Bairro Ouro Fino, CEP: 83.015-140 inscrita no CNPJ/MF sob nº 15.528.335/0001-54, neste ato representada na forma de seus atos constitutivos, por Sergio Fischer Teixeira de Souza, brasileiro, casado, engenheiro, portador da Cédula de Identidade RG nº M 6.951.238 SSP/MG, inscrito no CPF/MF sob o nº 029.016.536-93, NIRE 41.207.330.925 residente e domiciliado na Capital do Estado de Minas Gerais, com endereço comercial na Avenida Professor Mário Werneck, 621, 10º andar, Estoril, CEP 30.455-610 e Felipe Enck Gonçalves, brasileiro, casado, economista, portador da Cédula de Identidade RG nº MG-5.483.375 SSP/MG, inscrito no CPF/MF sob nº 039.979.726-21, residente e domiciliado na Capital do Estado de Minas Gerais, com endereço comercial na Avenida Professor Mário Werneck, 621, 10º andar, Estoril, CEP 30.455-610 (“</w:t>
      </w:r>
      <w:r>
        <w:rPr>
          <w:rFonts w:ascii="Calibri" w:hAnsi="Calibri"/>
          <w:sz w:val="22"/>
          <w:szCs w:val="22"/>
          <w:u w:val="single"/>
        </w:rPr>
        <w:t>SPE São José</w:t>
      </w:r>
      <w:r>
        <w:rPr>
          <w:rFonts w:ascii="Calibri" w:hAnsi="Calibri"/>
          <w:sz w:val="22"/>
          <w:szCs w:val="22"/>
        </w:rPr>
        <w:t>” e, em conjunto com a SPE Goiânia, “</w:t>
      </w:r>
      <w:r>
        <w:rPr>
          <w:rFonts w:ascii="Calibri" w:hAnsi="Calibri"/>
          <w:sz w:val="22"/>
          <w:szCs w:val="22"/>
          <w:u w:val="single"/>
        </w:rPr>
        <w:t>Intervenientes</w:t>
      </w:r>
      <w:r>
        <w:rPr>
          <w:rFonts w:ascii="Calibri" w:hAnsi="Calibri"/>
          <w:sz w:val="22"/>
          <w:szCs w:val="22"/>
        </w:rPr>
        <w:t xml:space="preserve">”); </w:t>
      </w:r>
    </w:p>
    <w:p>
      <w:pPr>
        <w:spacing w:line="320" w:lineRule="exact"/>
        <w:jc w:val="both"/>
        <w:rPr>
          <w:rFonts w:ascii="Calibri" w:hAnsi="Calibri"/>
          <w:sz w:val="22"/>
          <w:szCs w:val="22"/>
        </w:rPr>
      </w:pPr>
    </w:p>
    <w:p>
      <w:pPr>
        <w:spacing w:line="320" w:lineRule="exact"/>
        <w:jc w:val="both"/>
        <w:rPr>
          <w:rFonts w:ascii="Calibri" w:hAnsi="Calibri"/>
          <w:sz w:val="22"/>
          <w:szCs w:val="22"/>
        </w:rPr>
      </w:pPr>
      <w:r>
        <w:rPr>
          <w:rFonts w:ascii="Calibri" w:hAnsi="Calibri"/>
          <w:sz w:val="22"/>
          <w:szCs w:val="22"/>
        </w:rPr>
        <w:t>Individualmente denominadas “</w:t>
      </w:r>
      <w:r>
        <w:rPr>
          <w:rFonts w:ascii="Calibri" w:hAnsi="Calibri"/>
          <w:sz w:val="22"/>
          <w:szCs w:val="22"/>
          <w:u w:val="single"/>
        </w:rPr>
        <w:t>Parte</w:t>
      </w:r>
      <w:r>
        <w:rPr>
          <w:rFonts w:ascii="Calibri" w:hAnsi="Calibri"/>
          <w:sz w:val="22"/>
          <w:szCs w:val="22"/>
        </w:rPr>
        <w:t>”, em conjunto denominadas “Partes”,</w:t>
      </w:r>
    </w:p>
    <w:p>
      <w:pPr>
        <w:spacing w:line="320" w:lineRule="exact"/>
        <w:jc w:val="both"/>
        <w:rPr>
          <w:rFonts w:ascii="Calibri" w:hAnsi="Calibri"/>
          <w:sz w:val="22"/>
          <w:szCs w:val="22"/>
        </w:rPr>
      </w:pPr>
    </w:p>
    <w:p>
      <w:pPr>
        <w:spacing w:line="320" w:lineRule="exact"/>
        <w:jc w:val="both"/>
        <w:rPr>
          <w:rFonts w:ascii="Calibri" w:hAnsi="Calibri"/>
          <w:sz w:val="22"/>
          <w:szCs w:val="22"/>
        </w:rPr>
      </w:pPr>
      <w:r>
        <w:rPr>
          <w:rFonts w:ascii="Calibri" w:hAnsi="Calibri"/>
          <w:b/>
          <w:sz w:val="22"/>
          <w:szCs w:val="22"/>
        </w:rPr>
        <w:t xml:space="preserve">RESOLVEM </w:t>
      </w:r>
      <w:r>
        <w:rPr>
          <w:rFonts w:ascii="Calibri" w:hAnsi="Calibri"/>
          <w:sz w:val="22"/>
          <w:szCs w:val="22"/>
        </w:rPr>
        <w:t>as Partes celebrar o presente “</w:t>
      </w:r>
      <w:bookmarkStart w:id="14" w:name="OLE_LINK1"/>
      <w:bookmarkStart w:id="15" w:name="OLE_LINK3"/>
      <w:r>
        <w:rPr>
          <w:rFonts w:ascii="Calibri" w:hAnsi="Calibri"/>
          <w:sz w:val="22"/>
          <w:szCs w:val="22"/>
        </w:rPr>
        <w:t>Instrumento Particular de Escritura de Emissão Pública de Debêntures Simples, Não Conversíveis em Ações, em Série Única, da Espécie Quirografária, com Garantia Real Adicional, da Décima Segunda Emissão da Log</w:t>
      </w:r>
      <w:bookmarkEnd w:id="14"/>
      <w:bookmarkEnd w:id="15"/>
      <w:r>
        <w:rPr>
          <w:rFonts w:ascii="Calibri" w:hAnsi="Calibri"/>
          <w:sz w:val="22"/>
          <w:szCs w:val="22"/>
        </w:rPr>
        <w:t xml:space="preserve"> Commercial Properties e Participações S.A.” (“</w:t>
      </w:r>
      <w:r>
        <w:rPr>
          <w:rFonts w:ascii="Calibri" w:hAnsi="Calibri"/>
          <w:sz w:val="22"/>
          <w:szCs w:val="22"/>
          <w:u w:val="single"/>
        </w:rPr>
        <w:t>Escritura</w:t>
      </w:r>
      <w:r>
        <w:rPr>
          <w:rFonts w:ascii="Calibri" w:hAnsi="Calibri"/>
          <w:sz w:val="22"/>
          <w:szCs w:val="22"/>
        </w:rPr>
        <w:t>”), nos termos e condições abaixo.</w:t>
      </w:r>
    </w:p>
    <w:p>
      <w:pPr>
        <w:spacing w:line="320" w:lineRule="exact"/>
        <w:jc w:val="both"/>
        <w:rPr>
          <w:rFonts w:ascii="Calibri" w:hAnsi="Calibri"/>
          <w:sz w:val="22"/>
          <w:szCs w:val="22"/>
        </w:rPr>
      </w:pPr>
    </w:p>
    <w:p>
      <w:pPr>
        <w:keepLines/>
        <w:numPr>
          <w:ilvl w:val="0"/>
          <w:numId w:val="9"/>
        </w:numPr>
        <w:tabs>
          <w:tab w:val="left" w:pos="284"/>
        </w:tabs>
        <w:spacing w:line="320" w:lineRule="exact"/>
        <w:ind w:left="284" w:hanging="284"/>
        <w:jc w:val="both"/>
        <w:rPr>
          <w:rFonts w:ascii="Calibri" w:hAnsi="Calibri"/>
          <w:b/>
          <w:sz w:val="22"/>
          <w:szCs w:val="22"/>
        </w:rPr>
      </w:pPr>
      <w:r>
        <w:rPr>
          <w:rFonts w:ascii="Calibri" w:hAnsi="Calibri"/>
          <w:b/>
          <w:sz w:val="22"/>
          <w:szCs w:val="22"/>
        </w:rPr>
        <w:tab/>
      </w:r>
      <w:r>
        <w:rPr>
          <w:rFonts w:ascii="Calibri" w:hAnsi="Calibri"/>
          <w:b/>
          <w:sz w:val="22"/>
          <w:szCs w:val="22"/>
        </w:rPr>
        <w:tab/>
        <w:t>AUTORIZAÇÕES</w:t>
      </w:r>
    </w:p>
    <w:p>
      <w:pPr>
        <w:keepLines/>
        <w:spacing w:line="320" w:lineRule="exact"/>
        <w:jc w:val="both"/>
        <w:rPr>
          <w:rFonts w:ascii="Calibri" w:hAnsi="Calibri"/>
          <w:sz w:val="22"/>
          <w:szCs w:val="22"/>
        </w:rPr>
      </w:pPr>
    </w:p>
    <w:p>
      <w:pPr>
        <w:keepLines/>
        <w:numPr>
          <w:ilvl w:val="1"/>
          <w:numId w:val="9"/>
        </w:numPr>
        <w:tabs>
          <w:tab w:val="left" w:pos="1418"/>
        </w:tabs>
        <w:spacing w:line="320" w:lineRule="exact"/>
        <w:ind w:left="0" w:firstLine="0"/>
        <w:jc w:val="both"/>
        <w:rPr>
          <w:rFonts w:ascii="Calibri" w:hAnsi="Calibri"/>
          <w:sz w:val="22"/>
          <w:szCs w:val="22"/>
        </w:rPr>
      </w:pPr>
      <w:r>
        <w:rPr>
          <w:rFonts w:ascii="Calibri" w:hAnsi="Calibri"/>
          <w:sz w:val="22"/>
          <w:szCs w:val="22"/>
        </w:rPr>
        <w:t xml:space="preserve">Nos termos do artigo 59 da Lei nº 6.404, de </w:t>
      </w:r>
      <w:smartTag w:uri="urn:schemas-microsoft-com:office:smarttags" w:element="date">
        <w:smartTagPr>
          <w:attr w:name="Year" w:val="1976"/>
          <w:attr w:name="Day" w:val="15"/>
          <w:attr w:name="Month" w:val="12"/>
          <w:attr w:name="ls" w:val="trans"/>
        </w:smartTagPr>
        <w:r>
          <w:rPr>
            <w:rFonts w:ascii="Calibri" w:hAnsi="Calibri"/>
            <w:sz w:val="22"/>
            <w:szCs w:val="22"/>
          </w:rPr>
          <w:t>15 de dezembro de 1976</w:t>
        </w:r>
      </w:smartTag>
      <w:r>
        <w:rPr>
          <w:rFonts w:ascii="Calibri" w:hAnsi="Calibri"/>
          <w:sz w:val="22"/>
          <w:szCs w:val="22"/>
        </w:rPr>
        <w:t>, conforme alterada (“</w:t>
      </w:r>
      <w:r>
        <w:rPr>
          <w:rFonts w:ascii="Calibri" w:hAnsi="Calibri"/>
          <w:sz w:val="22"/>
          <w:szCs w:val="22"/>
          <w:u w:val="single"/>
        </w:rPr>
        <w:t>Lei das Sociedades por Ações</w:t>
      </w:r>
      <w:r>
        <w:rPr>
          <w:rFonts w:ascii="Calibri" w:hAnsi="Calibri"/>
          <w:sz w:val="22"/>
          <w:szCs w:val="22"/>
        </w:rPr>
        <w:t>”) e do Estatuto Social da Emissora, a emissão das Debêntures (“</w:t>
      </w:r>
      <w:r>
        <w:rPr>
          <w:rFonts w:ascii="Calibri" w:hAnsi="Calibri"/>
          <w:sz w:val="22"/>
          <w:szCs w:val="22"/>
          <w:u w:val="single"/>
        </w:rPr>
        <w:t>Emissão</w:t>
      </w:r>
      <w:r>
        <w:rPr>
          <w:rFonts w:ascii="Calibri" w:hAnsi="Calibri"/>
          <w:sz w:val="22"/>
          <w:szCs w:val="22"/>
        </w:rPr>
        <w:t xml:space="preserve">”) foi autorizada pela reunião do conselho de administração da Emissora realizada em 22 de dezembro de </w:t>
      </w:r>
      <w:r>
        <w:rPr>
          <w:rFonts w:ascii="Calibri" w:hAnsi="Calibri"/>
          <w:caps/>
          <w:sz w:val="22"/>
          <w:szCs w:val="22"/>
        </w:rPr>
        <w:t>2017</w:t>
      </w:r>
      <w:r>
        <w:rPr>
          <w:rFonts w:ascii="Calibri" w:hAnsi="Calibri"/>
          <w:sz w:val="22"/>
          <w:szCs w:val="22"/>
        </w:rPr>
        <w:t xml:space="preserve"> (“</w:t>
      </w:r>
      <w:r>
        <w:rPr>
          <w:rFonts w:ascii="Calibri" w:hAnsi="Calibri"/>
          <w:sz w:val="22"/>
          <w:szCs w:val="22"/>
          <w:u w:val="single"/>
        </w:rPr>
        <w:t>RCA</w:t>
      </w:r>
      <w:r>
        <w:rPr>
          <w:rFonts w:ascii="Calibri" w:hAnsi="Calibri"/>
          <w:sz w:val="22"/>
          <w:szCs w:val="22"/>
        </w:rPr>
        <w:t>”).</w:t>
      </w:r>
    </w:p>
    <w:p>
      <w:pPr>
        <w:keepLines/>
        <w:spacing w:line="320" w:lineRule="exact"/>
        <w:jc w:val="both"/>
        <w:rPr>
          <w:rFonts w:ascii="Calibri" w:hAnsi="Calibri"/>
          <w:sz w:val="22"/>
          <w:szCs w:val="22"/>
        </w:rPr>
      </w:pPr>
    </w:p>
    <w:p>
      <w:pPr>
        <w:keepLines/>
        <w:numPr>
          <w:ilvl w:val="1"/>
          <w:numId w:val="9"/>
        </w:numPr>
        <w:tabs>
          <w:tab w:val="left" w:pos="1418"/>
        </w:tabs>
        <w:spacing w:line="320" w:lineRule="exact"/>
        <w:ind w:left="0" w:firstLine="0"/>
        <w:jc w:val="both"/>
        <w:rPr>
          <w:rFonts w:ascii="Calibri" w:hAnsi="Calibri"/>
          <w:sz w:val="22"/>
          <w:szCs w:val="22"/>
        </w:rPr>
      </w:pPr>
      <w:r>
        <w:rPr>
          <w:rFonts w:ascii="Calibri" w:hAnsi="Calibri"/>
          <w:sz w:val="22"/>
          <w:szCs w:val="22"/>
        </w:rPr>
        <w:t>A Alienação Fiduciária de Imóveis (conforme abaixo definido) e a Cessão Fiduciária (conforme abaixo definido) (“</w:t>
      </w:r>
      <w:r>
        <w:rPr>
          <w:rFonts w:ascii="Calibri" w:hAnsi="Calibri"/>
          <w:sz w:val="22"/>
          <w:szCs w:val="22"/>
          <w:u w:val="single"/>
        </w:rPr>
        <w:t>Garantias</w:t>
      </w:r>
      <w:r>
        <w:rPr>
          <w:rFonts w:ascii="Calibri" w:hAnsi="Calibri"/>
          <w:sz w:val="22"/>
          <w:szCs w:val="22"/>
        </w:rPr>
        <w:t xml:space="preserve">”) outorgadas pelas Intervenientes foram autorizadas pela reunião de sócios da SPE Goiânia e pela reunião de sócios da SPE São José, ambas realizadas em 22 de dezembro de </w:t>
      </w:r>
      <w:r>
        <w:rPr>
          <w:rFonts w:ascii="Calibri" w:hAnsi="Calibri"/>
          <w:caps/>
          <w:sz w:val="22"/>
          <w:szCs w:val="22"/>
        </w:rPr>
        <w:t>2017.</w:t>
      </w:r>
    </w:p>
    <w:p>
      <w:pPr>
        <w:keepLines/>
        <w:spacing w:line="320" w:lineRule="exact"/>
        <w:jc w:val="both"/>
        <w:rPr>
          <w:rFonts w:ascii="Calibri" w:hAnsi="Calibri"/>
          <w:sz w:val="22"/>
          <w:szCs w:val="22"/>
        </w:rPr>
      </w:pPr>
      <w:r>
        <w:rPr>
          <w:rFonts w:ascii="Calibri" w:hAnsi="Calibri"/>
          <w:sz w:val="22"/>
          <w:szCs w:val="22"/>
        </w:rPr>
        <w:t xml:space="preserve"> </w:t>
      </w:r>
    </w:p>
    <w:p>
      <w:pPr>
        <w:keepLines/>
        <w:numPr>
          <w:ilvl w:val="0"/>
          <w:numId w:val="9"/>
        </w:numPr>
        <w:tabs>
          <w:tab w:val="left" w:pos="284"/>
        </w:tabs>
        <w:spacing w:line="320" w:lineRule="exact"/>
        <w:ind w:left="284" w:hanging="284"/>
        <w:jc w:val="both"/>
        <w:rPr>
          <w:rFonts w:ascii="Calibri" w:hAnsi="Calibri"/>
          <w:b/>
          <w:sz w:val="22"/>
          <w:szCs w:val="22"/>
        </w:rPr>
      </w:pPr>
      <w:r>
        <w:rPr>
          <w:rFonts w:ascii="Calibri" w:hAnsi="Calibri"/>
          <w:b/>
          <w:sz w:val="22"/>
          <w:szCs w:val="22"/>
        </w:rPr>
        <w:lastRenderedPageBreak/>
        <w:tab/>
      </w:r>
      <w:r>
        <w:rPr>
          <w:rFonts w:ascii="Calibri" w:hAnsi="Calibri"/>
          <w:b/>
          <w:sz w:val="22"/>
          <w:szCs w:val="22"/>
        </w:rPr>
        <w:tab/>
        <w:t xml:space="preserve">DOS REQUISITOS </w:t>
      </w:r>
    </w:p>
    <w:p>
      <w:pPr>
        <w:spacing w:line="320" w:lineRule="exact"/>
        <w:jc w:val="both"/>
        <w:rPr>
          <w:rFonts w:ascii="Calibri" w:hAnsi="Calibri"/>
          <w:sz w:val="22"/>
          <w:szCs w:val="22"/>
        </w:rPr>
      </w:pPr>
    </w:p>
    <w:p>
      <w:pPr>
        <w:keepLines/>
        <w:numPr>
          <w:ilvl w:val="1"/>
          <w:numId w:val="9"/>
        </w:numPr>
        <w:tabs>
          <w:tab w:val="left" w:pos="1418"/>
        </w:tabs>
        <w:spacing w:line="320" w:lineRule="exact"/>
        <w:ind w:left="0" w:firstLine="0"/>
        <w:jc w:val="both"/>
        <w:rPr>
          <w:rFonts w:ascii="Calibri" w:hAnsi="Calibri"/>
          <w:sz w:val="22"/>
          <w:szCs w:val="22"/>
        </w:rPr>
      </w:pPr>
      <w:r>
        <w:rPr>
          <w:rFonts w:ascii="Calibri" w:hAnsi="Calibri"/>
          <w:sz w:val="22"/>
          <w:szCs w:val="22"/>
        </w:rPr>
        <w:tab/>
        <w:t>A presente Emissão será realizada com observância dos seguintes requisitos:</w:t>
      </w:r>
    </w:p>
    <w:p>
      <w:pPr>
        <w:spacing w:line="320" w:lineRule="exact"/>
        <w:jc w:val="both"/>
        <w:rPr>
          <w:rFonts w:ascii="Calibri" w:hAnsi="Calibri"/>
          <w:sz w:val="22"/>
          <w:szCs w:val="22"/>
        </w:rPr>
      </w:pPr>
    </w:p>
    <w:p>
      <w:pPr>
        <w:numPr>
          <w:ilvl w:val="2"/>
          <w:numId w:val="9"/>
        </w:numPr>
        <w:tabs>
          <w:tab w:val="left" w:pos="1134"/>
        </w:tabs>
        <w:spacing w:line="320" w:lineRule="exact"/>
        <w:ind w:hanging="1080"/>
        <w:jc w:val="both"/>
        <w:rPr>
          <w:rFonts w:ascii="Calibri" w:hAnsi="Calibri"/>
          <w:b/>
          <w:sz w:val="22"/>
          <w:szCs w:val="22"/>
        </w:rPr>
      </w:pPr>
      <w:r>
        <w:rPr>
          <w:rFonts w:ascii="Calibri" w:hAnsi="Calibri"/>
          <w:b/>
          <w:sz w:val="22"/>
          <w:szCs w:val="22"/>
        </w:rPr>
        <w:tab/>
      </w:r>
      <w:r>
        <w:rPr>
          <w:rFonts w:ascii="Calibri" w:hAnsi="Calibri"/>
          <w:b/>
          <w:sz w:val="22"/>
          <w:szCs w:val="22"/>
        </w:rPr>
        <w:tab/>
        <w:t xml:space="preserve">Arquivamento e Publicação das deliberações </w:t>
      </w:r>
    </w:p>
    <w:p>
      <w:pPr>
        <w:spacing w:line="320" w:lineRule="exact"/>
        <w:jc w:val="both"/>
        <w:rPr>
          <w:rFonts w:ascii="Calibri" w:hAnsi="Calibri"/>
          <w:i/>
          <w:sz w:val="22"/>
          <w:szCs w:val="22"/>
        </w:rPr>
      </w:pPr>
    </w:p>
    <w:p>
      <w:pPr>
        <w:numPr>
          <w:ilvl w:val="3"/>
          <w:numId w:val="9"/>
        </w:numPr>
        <w:spacing w:line="320" w:lineRule="exact"/>
        <w:ind w:left="0" w:firstLine="0"/>
        <w:jc w:val="both"/>
        <w:rPr>
          <w:rFonts w:ascii="Calibri" w:hAnsi="Calibri"/>
          <w:sz w:val="22"/>
          <w:szCs w:val="22"/>
        </w:rPr>
      </w:pPr>
      <w:r>
        <w:rPr>
          <w:rFonts w:ascii="Calibri" w:hAnsi="Calibri"/>
          <w:sz w:val="22"/>
          <w:szCs w:val="22"/>
        </w:rPr>
        <w:tab/>
        <w:t>A ata da RCA será arquivada na Junta Comercial do Estado de Minas Gerais (“</w:t>
      </w:r>
      <w:r>
        <w:rPr>
          <w:rFonts w:ascii="Calibri" w:hAnsi="Calibri"/>
          <w:sz w:val="22"/>
          <w:szCs w:val="22"/>
          <w:u w:val="single"/>
        </w:rPr>
        <w:t>JUCE</w:t>
      </w:r>
      <w:r>
        <w:rPr>
          <w:rFonts w:ascii="Calibri" w:hAnsi="Calibri"/>
          <w:caps/>
          <w:sz w:val="22"/>
          <w:szCs w:val="22"/>
          <w:u w:val="single"/>
        </w:rPr>
        <w:t>MG</w:t>
      </w:r>
      <w:r>
        <w:rPr>
          <w:rFonts w:ascii="Calibri" w:hAnsi="Calibri"/>
          <w:caps/>
          <w:sz w:val="22"/>
          <w:szCs w:val="22"/>
        </w:rPr>
        <w:t>”)</w:t>
      </w:r>
      <w:r>
        <w:rPr>
          <w:rFonts w:ascii="Calibri" w:hAnsi="Calibri"/>
          <w:sz w:val="22"/>
          <w:szCs w:val="22"/>
        </w:rPr>
        <w:t xml:space="preserve"> e publicada no Diário Oficial do Estado de Minas Gerais (“</w:t>
      </w:r>
      <w:r>
        <w:rPr>
          <w:rFonts w:ascii="Calibri" w:hAnsi="Calibri"/>
          <w:sz w:val="22"/>
          <w:szCs w:val="22"/>
          <w:u w:val="single"/>
        </w:rPr>
        <w:t>DOEMG</w:t>
      </w:r>
      <w:r>
        <w:rPr>
          <w:rFonts w:ascii="Calibri" w:hAnsi="Calibri"/>
          <w:sz w:val="22"/>
          <w:szCs w:val="22"/>
        </w:rPr>
        <w:t>”) e no jornal “Hoje em Dia”, nos termos do artigo 62, inciso I, e do artigo 289 da Lei nº 6.404, de 15 de dezembro de 1976, conforme alterada (“</w:t>
      </w:r>
      <w:r>
        <w:rPr>
          <w:rFonts w:ascii="Calibri" w:hAnsi="Calibri"/>
          <w:sz w:val="22"/>
          <w:szCs w:val="22"/>
          <w:u w:val="single"/>
        </w:rPr>
        <w:t>Lei das Sociedades por Ações</w:t>
      </w:r>
      <w:r>
        <w:rPr>
          <w:rFonts w:ascii="Calibri" w:hAnsi="Calibri"/>
          <w:sz w:val="22"/>
          <w:szCs w:val="22"/>
        </w:rPr>
        <w:t xml:space="preserve">”). </w:t>
      </w:r>
    </w:p>
    <w:p>
      <w:pPr>
        <w:spacing w:line="320" w:lineRule="exact"/>
        <w:jc w:val="both"/>
      </w:pPr>
    </w:p>
    <w:p>
      <w:pPr>
        <w:numPr>
          <w:ilvl w:val="3"/>
          <w:numId w:val="9"/>
        </w:numPr>
        <w:tabs>
          <w:tab w:val="left" w:pos="1418"/>
        </w:tabs>
        <w:spacing w:line="320" w:lineRule="exact"/>
        <w:ind w:left="0" w:firstLine="0"/>
        <w:jc w:val="both"/>
        <w:rPr>
          <w:rFonts w:ascii="Calibri" w:hAnsi="Calibri"/>
          <w:sz w:val="22"/>
          <w:szCs w:val="22"/>
        </w:rPr>
      </w:pPr>
      <w:r>
        <w:rPr>
          <w:rFonts w:ascii="Calibri" w:hAnsi="Calibri"/>
          <w:sz w:val="22"/>
          <w:szCs w:val="22"/>
        </w:rPr>
        <w:t xml:space="preserve">Os atos societários que eventualmente venham a ser praticados no âmbito da presente Emissão deverão igualmente ser arquivados pela Emissora na JUCEMG e, no caso da Emissora apenas, serão publicados no DOEMG e no jornal Hoje em Dia ou outro jornal eleito pelos acionistas da Emissora para a publicação de seus atos societários, conforme legislação em vigor, devendo a publicação ocorrer em até 5 (cinco) dias corridos contados da data de sua realização. </w:t>
      </w:r>
    </w:p>
    <w:p>
      <w:pPr>
        <w:spacing w:line="320" w:lineRule="exact"/>
        <w:jc w:val="both"/>
        <w:rPr>
          <w:rFonts w:ascii="Calibri" w:hAnsi="Calibri"/>
          <w:sz w:val="22"/>
          <w:szCs w:val="22"/>
        </w:rPr>
      </w:pPr>
    </w:p>
    <w:p>
      <w:pPr>
        <w:numPr>
          <w:ilvl w:val="2"/>
          <w:numId w:val="9"/>
        </w:numPr>
        <w:spacing w:line="320" w:lineRule="exact"/>
        <w:ind w:left="0" w:firstLine="0"/>
        <w:jc w:val="both"/>
        <w:rPr>
          <w:rFonts w:ascii="Calibri" w:hAnsi="Calibri"/>
          <w:b/>
          <w:sz w:val="22"/>
          <w:szCs w:val="22"/>
        </w:rPr>
      </w:pPr>
      <w:r>
        <w:rPr>
          <w:rFonts w:ascii="Calibri" w:hAnsi="Calibri"/>
          <w:b/>
          <w:sz w:val="22"/>
          <w:szCs w:val="22"/>
        </w:rPr>
        <w:tab/>
        <w:t xml:space="preserve">Arquivamento da Escritura </w:t>
      </w:r>
    </w:p>
    <w:p>
      <w:pPr>
        <w:spacing w:line="320" w:lineRule="exact"/>
        <w:jc w:val="both"/>
        <w:rPr>
          <w:rFonts w:ascii="Calibri" w:hAnsi="Calibri"/>
          <w:sz w:val="22"/>
          <w:szCs w:val="22"/>
        </w:rPr>
      </w:pPr>
    </w:p>
    <w:p>
      <w:pPr>
        <w:numPr>
          <w:ilvl w:val="3"/>
          <w:numId w:val="9"/>
        </w:numPr>
        <w:spacing w:line="320" w:lineRule="exact"/>
        <w:ind w:left="0" w:firstLine="0"/>
        <w:jc w:val="both"/>
        <w:rPr>
          <w:rFonts w:ascii="Calibri" w:hAnsi="Calibri"/>
          <w:sz w:val="22"/>
          <w:szCs w:val="22"/>
        </w:rPr>
      </w:pPr>
      <w:r>
        <w:rPr>
          <w:rFonts w:ascii="Calibri" w:hAnsi="Calibri"/>
          <w:sz w:val="22"/>
          <w:szCs w:val="22"/>
        </w:rPr>
        <w:tab/>
        <w:t>Esta Escritura e seus eventuais aditamentos deverão ser inscritos na JUCEMG, de acordo com o disposto no artigo 62, inciso II, e parágrafo 3º da Lei das Sociedades por Ações. Vias originais desta Escritura e de eventuais aditamentos, devidamente assinados, deverão ser enviadas pela Emissora para registro na JUCEMG em até 3 (três) dias úteis de sua celebração.</w:t>
      </w:r>
    </w:p>
    <w:p>
      <w:pPr>
        <w:spacing w:line="320" w:lineRule="exact"/>
        <w:jc w:val="both"/>
        <w:rPr>
          <w:rFonts w:ascii="Calibri" w:hAnsi="Calibri"/>
          <w:sz w:val="22"/>
          <w:szCs w:val="22"/>
        </w:rPr>
      </w:pPr>
    </w:p>
    <w:p>
      <w:pPr>
        <w:numPr>
          <w:ilvl w:val="3"/>
          <w:numId w:val="9"/>
        </w:numPr>
        <w:spacing w:line="320" w:lineRule="exact"/>
        <w:ind w:left="0" w:firstLine="0"/>
        <w:jc w:val="both"/>
        <w:rPr>
          <w:rFonts w:ascii="Calibri" w:hAnsi="Calibri"/>
          <w:sz w:val="22"/>
          <w:szCs w:val="22"/>
        </w:rPr>
      </w:pPr>
      <w:r>
        <w:rPr>
          <w:rFonts w:ascii="Calibri" w:hAnsi="Calibri"/>
          <w:sz w:val="22"/>
          <w:szCs w:val="22"/>
        </w:rPr>
        <w:t xml:space="preserve"> </w:t>
      </w:r>
      <w:r>
        <w:rPr>
          <w:rFonts w:ascii="Calibri" w:hAnsi="Calibri"/>
          <w:sz w:val="22"/>
          <w:szCs w:val="22"/>
        </w:rPr>
        <w:tab/>
        <w:t xml:space="preserve">A Emissora deverá enviar ao Agente Fiduciário os respectivos comprovantes de registro da Escritura e/ou de seus eventuais aditamentos na JUCEMG em até 10 (dez) dias úteis contados da data de celebração de tal documento, salvo em caso de atraso em razão de greve dos funcionários e servidores da JUCEMG. </w:t>
      </w:r>
    </w:p>
    <w:p>
      <w:pPr>
        <w:spacing w:line="320" w:lineRule="exact"/>
        <w:jc w:val="both"/>
        <w:rPr>
          <w:rFonts w:ascii="Calibri" w:hAnsi="Calibri"/>
          <w:sz w:val="22"/>
          <w:szCs w:val="22"/>
        </w:rPr>
      </w:pPr>
    </w:p>
    <w:p>
      <w:pPr>
        <w:numPr>
          <w:ilvl w:val="2"/>
          <w:numId w:val="9"/>
        </w:numPr>
        <w:tabs>
          <w:tab w:val="left" w:pos="1418"/>
        </w:tabs>
        <w:spacing w:line="320" w:lineRule="exact"/>
        <w:ind w:left="0" w:firstLine="0"/>
        <w:jc w:val="both"/>
        <w:rPr>
          <w:rFonts w:ascii="Calibri" w:hAnsi="Calibri"/>
          <w:b/>
          <w:sz w:val="22"/>
          <w:szCs w:val="22"/>
        </w:rPr>
      </w:pPr>
      <w:r>
        <w:rPr>
          <w:rFonts w:ascii="Calibri" w:hAnsi="Calibri"/>
          <w:b/>
          <w:sz w:val="22"/>
          <w:szCs w:val="22"/>
        </w:rPr>
        <w:t xml:space="preserve">Depósito para distribuição, negociação e custódia eletrônica. </w:t>
      </w:r>
    </w:p>
    <w:p>
      <w:pPr>
        <w:spacing w:line="320" w:lineRule="exact"/>
        <w:jc w:val="both"/>
        <w:rPr>
          <w:rFonts w:ascii="Calibri" w:hAnsi="Calibri"/>
          <w:b/>
          <w:sz w:val="22"/>
          <w:szCs w:val="22"/>
        </w:rPr>
      </w:pPr>
    </w:p>
    <w:p>
      <w:pPr>
        <w:numPr>
          <w:ilvl w:val="3"/>
          <w:numId w:val="10"/>
        </w:numPr>
        <w:tabs>
          <w:tab w:val="left" w:pos="1418"/>
        </w:tabs>
        <w:spacing w:line="320" w:lineRule="exact"/>
        <w:ind w:left="0" w:firstLine="0"/>
        <w:jc w:val="both"/>
        <w:rPr>
          <w:rFonts w:ascii="Calibri" w:hAnsi="Calibri" w:cs="Calibri"/>
          <w:b/>
          <w:sz w:val="22"/>
          <w:szCs w:val="22"/>
        </w:rPr>
      </w:pPr>
      <w:r>
        <w:rPr>
          <w:rFonts w:ascii="Calibri" w:hAnsi="Calibri" w:cs="Calibri"/>
          <w:sz w:val="22"/>
          <w:szCs w:val="22"/>
        </w:rPr>
        <w:t>As Debêntures serão depositadas para (a) distribuição pública no mercado primário por meio do MDA - Módulo de Distribuição de Ativos (“</w:t>
      </w:r>
      <w:r>
        <w:rPr>
          <w:rFonts w:ascii="Calibri" w:hAnsi="Calibri" w:cs="Calibri"/>
          <w:sz w:val="22"/>
          <w:szCs w:val="22"/>
          <w:u w:val="single"/>
        </w:rPr>
        <w:t>MDA</w:t>
      </w:r>
      <w:r>
        <w:rPr>
          <w:rFonts w:ascii="Calibri" w:hAnsi="Calibri" w:cs="Calibri"/>
          <w:sz w:val="22"/>
          <w:szCs w:val="22"/>
        </w:rPr>
        <w:t>”), administrado e operacionalizado pela B3 S.A. – Brasil, Bolsa, Balcão – Unidade CETIP UTVM (“</w:t>
      </w:r>
      <w:r>
        <w:rPr>
          <w:rFonts w:ascii="Calibri" w:hAnsi="Calibri" w:cs="Calibri"/>
          <w:sz w:val="22"/>
          <w:szCs w:val="22"/>
          <w:u w:val="single"/>
        </w:rPr>
        <w:t>B3</w:t>
      </w:r>
      <w:r>
        <w:rPr>
          <w:rFonts w:ascii="Calibri" w:hAnsi="Calibri" w:cs="Calibri"/>
          <w:sz w:val="22"/>
          <w:szCs w:val="22"/>
        </w:rPr>
        <w:t>”), sendo a distribuição liquidada financeiramente por meio da B3; e (b) negociação no mercado secundário por meio do CETIP21 – Títulos e Valores Mobiliários (“</w:t>
      </w:r>
      <w:r>
        <w:rPr>
          <w:rFonts w:ascii="Calibri" w:hAnsi="Calibri" w:cs="Calibri"/>
          <w:sz w:val="22"/>
          <w:szCs w:val="22"/>
          <w:u w:val="single"/>
        </w:rPr>
        <w:t>CETIP21</w:t>
      </w:r>
      <w:r>
        <w:rPr>
          <w:rFonts w:ascii="Calibri" w:hAnsi="Calibri" w:cs="Calibri"/>
          <w:sz w:val="22"/>
          <w:szCs w:val="22"/>
        </w:rPr>
        <w:t xml:space="preserve">”), administrado e operacionalizado pela B3, sendo as negociações liquidadas financeiramente e as Debêntures custodiadas eletronicamente na B3. As Debêntures somente poderão ser subscritas e integralizadas por Investidores Profissionais (conforme definidos abaixo) e negociadas depois de decorridos 90 (noventa) dias contados da </w:t>
      </w:r>
      <w:r>
        <w:rPr>
          <w:rFonts w:ascii="Calibri" w:hAnsi="Calibri" w:cs="Calibri"/>
          <w:sz w:val="22"/>
          <w:szCs w:val="22"/>
        </w:rPr>
        <w:lastRenderedPageBreak/>
        <w:t>respectiva subscrição, nos termos dos artigos 13 e 15 da Instrução CVM nº 476, de 16 de janeiro de 2009, conforme alterada (“</w:t>
      </w:r>
      <w:r>
        <w:rPr>
          <w:rFonts w:ascii="Calibri" w:hAnsi="Calibri" w:cs="Calibri"/>
          <w:sz w:val="22"/>
          <w:szCs w:val="22"/>
          <w:u w:val="single"/>
        </w:rPr>
        <w:t xml:space="preserve">Instrução CVM </w:t>
      </w:r>
      <w:smartTag w:uri="urn:schemas-microsoft-com:office:smarttags" w:element="metricconverter">
        <w:smartTagPr>
          <w:attr w:name="ProductID" w:val="476”"/>
        </w:smartTagPr>
        <w:r>
          <w:rPr>
            <w:rFonts w:ascii="Calibri" w:hAnsi="Calibri" w:cs="Calibri"/>
            <w:sz w:val="22"/>
            <w:szCs w:val="22"/>
            <w:u w:val="single"/>
          </w:rPr>
          <w:t>476</w:t>
        </w:r>
        <w:r>
          <w:rPr>
            <w:rFonts w:ascii="Calibri" w:hAnsi="Calibri" w:cs="Calibri"/>
            <w:sz w:val="22"/>
            <w:szCs w:val="22"/>
          </w:rPr>
          <w:t>”</w:t>
        </w:r>
      </w:smartTag>
      <w:r>
        <w:rPr>
          <w:rFonts w:ascii="Calibri" w:hAnsi="Calibri" w:cs="Calibri"/>
          <w:sz w:val="22"/>
          <w:szCs w:val="22"/>
        </w:rPr>
        <w:t>), condicionado, ainda, à observância do cumprimento, pela Emissora, das obrigações descritas no artigo 17 da Instrução CVM 476.</w:t>
      </w:r>
    </w:p>
    <w:p>
      <w:pPr>
        <w:tabs>
          <w:tab w:val="left" w:pos="1418"/>
        </w:tabs>
        <w:spacing w:line="320" w:lineRule="exact"/>
        <w:jc w:val="both"/>
        <w:rPr>
          <w:rFonts w:ascii="Calibri" w:hAnsi="Calibri" w:cs="Calibri"/>
          <w:sz w:val="22"/>
          <w:szCs w:val="22"/>
        </w:rPr>
      </w:pPr>
    </w:p>
    <w:p>
      <w:pPr>
        <w:numPr>
          <w:ilvl w:val="2"/>
          <w:numId w:val="9"/>
        </w:numPr>
        <w:tabs>
          <w:tab w:val="left" w:pos="1418"/>
        </w:tabs>
        <w:spacing w:line="320" w:lineRule="exact"/>
        <w:ind w:left="0" w:firstLine="0"/>
        <w:jc w:val="both"/>
        <w:rPr>
          <w:rFonts w:ascii="Calibri" w:hAnsi="Calibri" w:cs="Calibri"/>
          <w:b/>
          <w:sz w:val="22"/>
          <w:szCs w:val="22"/>
        </w:rPr>
      </w:pPr>
      <w:r>
        <w:rPr>
          <w:rFonts w:ascii="Calibri" w:hAnsi="Calibri"/>
          <w:b/>
          <w:sz w:val="22"/>
          <w:szCs w:val="22"/>
        </w:rPr>
        <w:t>Registro das Garantias</w:t>
      </w:r>
      <w:r>
        <w:t>.</w:t>
      </w:r>
    </w:p>
    <w:p>
      <w:pPr>
        <w:tabs>
          <w:tab w:val="left" w:pos="1418"/>
        </w:tabs>
        <w:spacing w:line="320" w:lineRule="exact"/>
        <w:jc w:val="both"/>
        <w:rPr>
          <w:rFonts w:ascii="Calibri" w:hAnsi="Calibri" w:cs="Calibri"/>
          <w:b/>
          <w:sz w:val="22"/>
          <w:szCs w:val="22"/>
        </w:rPr>
      </w:pPr>
    </w:p>
    <w:p>
      <w:pPr>
        <w:numPr>
          <w:ilvl w:val="3"/>
          <w:numId w:val="9"/>
        </w:numPr>
        <w:tabs>
          <w:tab w:val="left" w:pos="1418"/>
        </w:tabs>
        <w:spacing w:line="320" w:lineRule="exact"/>
        <w:ind w:left="0" w:firstLine="0"/>
        <w:jc w:val="both"/>
        <w:rPr>
          <w:rFonts w:ascii="Calibri" w:hAnsi="Calibri" w:cs="Calibri"/>
          <w:b/>
          <w:sz w:val="22"/>
          <w:szCs w:val="22"/>
        </w:rPr>
      </w:pPr>
      <w:r>
        <w:rPr>
          <w:rFonts w:ascii="Calibri" w:hAnsi="Calibri" w:cs="Calibri"/>
          <w:sz w:val="22"/>
          <w:szCs w:val="22"/>
        </w:rPr>
        <w:t>A Cessão Fiduciária (conforme definido abaixo) deverá ser registrada nos competentes Cartórios de Registro de Títulos e Documentos das comarcas da cidade de Goiânia, estado de Goiás, da cidade de São José dos Pinhais, estado do Paraná, da cidade do Rio de Janeiro, Estado do Rio de Janeiro e da cidade de Belo Horizonte, Estado de Minas Gerais, observados os prazos e condições previstos no Contrato de Cessão Fiduciária (conforme definido abaixo).</w:t>
      </w:r>
    </w:p>
    <w:p>
      <w:pPr>
        <w:tabs>
          <w:tab w:val="left" w:pos="1418"/>
        </w:tabs>
        <w:spacing w:line="320" w:lineRule="exact"/>
        <w:jc w:val="both"/>
        <w:rPr>
          <w:rFonts w:ascii="Calibri" w:hAnsi="Calibri" w:cs="Calibri"/>
          <w:b/>
          <w:sz w:val="22"/>
          <w:szCs w:val="22"/>
        </w:rPr>
      </w:pPr>
    </w:p>
    <w:p>
      <w:pPr>
        <w:numPr>
          <w:ilvl w:val="3"/>
          <w:numId w:val="9"/>
        </w:numPr>
        <w:tabs>
          <w:tab w:val="left" w:pos="1418"/>
        </w:tabs>
        <w:spacing w:line="320" w:lineRule="exact"/>
        <w:ind w:left="0" w:firstLine="0"/>
        <w:jc w:val="both"/>
        <w:rPr>
          <w:rFonts w:ascii="Calibri" w:hAnsi="Calibri" w:cs="Calibri"/>
          <w:b/>
          <w:sz w:val="22"/>
          <w:szCs w:val="22"/>
        </w:rPr>
      </w:pPr>
      <w:r>
        <w:rPr>
          <w:rFonts w:ascii="Calibri" w:hAnsi="Calibri" w:cs="Calibri"/>
          <w:sz w:val="22"/>
          <w:szCs w:val="22"/>
        </w:rPr>
        <w:t>A Alienação Fiduciária de Imóveis (conforme definido abaixo) deverá ser registrada nos competentes Cartórios de Registro de Imóveis das comarcas cidade de Goiânia, estado de Goiás e da cidade de São José dos Pinhais, estado do Paraná, observados os prazos e condições previstos na Escritura de Alienação Fiduciária (conforme definido abaixo).</w:t>
      </w:r>
    </w:p>
    <w:p>
      <w:pPr>
        <w:spacing w:line="320" w:lineRule="exact"/>
        <w:jc w:val="both"/>
        <w:rPr>
          <w:rFonts w:ascii="Calibri" w:hAnsi="Calibri"/>
          <w:b/>
          <w:sz w:val="22"/>
          <w:szCs w:val="22"/>
        </w:rPr>
      </w:pPr>
    </w:p>
    <w:p>
      <w:pPr>
        <w:numPr>
          <w:ilvl w:val="2"/>
          <w:numId w:val="9"/>
        </w:numPr>
        <w:tabs>
          <w:tab w:val="left" w:pos="1418"/>
        </w:tabs>
        <w:spacing w:line="320" w:lineRule="exact"/>
        <w:ind w:left="0" w:firstLine="0"/>
        <w:jc w:val="both"/>
        <w:rPr>
          <w:rFonts w:ascii="Calibri" w:hAnsi="Calibri"/>
          <w:b/>
          <w:sz w:val="22"/>
          <w:szCs w:val="22"/>
        </w:rPr>
      </w:pPr>
      <w:r>
        <w:rPr>
          <w:rFonts w:ascii="Calibri" w:hAnsi="Calibri"/>
          <w:b/>
          <w:sz w:val="22"/>
          <w:szCs w:val="22"/>
        </w:rPr>
        <w:t>Registro da Oferta Restrita</w:t>
      </w:r>
    </w:p>
    <w:p>
      <w:pPr>
        <w:pStyle w:val="PargrafodaLista"/>
        <w:widowControl w:val="0"/>
        <w:tabs>
          <w:tab w:val="left" w:pos="1418"/>
        </w:tabs>
        <w:spacing w:line="320" w:lineRule="exact"/>
        <w:ind w:left="0"/>
        <w:contextualSpacing/>
        <w:jc w:val="both"/>
      </w:pPr>
    </w:p>
    <w:p>
      <w:pPr>
        <w:pStyle w:val="PargrafodaLista"/>
        <w:widowControl w:val="0"/>
        <w:numPr>
          <w:ilvl w:val="3"/>
          <w:numId w:val="11"/>
        </w:numPr>
        <w:tabs>
          <w:tab w:val="left" w:pos="1418"/>
        </w:tabs>
        <w:spacing w:line="320" w:lineRule="exact"/>
        <w:ind w:left="0" w:firstLine="0"/>
        <w:contextualSpacing/>
        <w:jc w:val="both"/>
      </w:pPr>
      <w:r>
        <w:t>As Debêntures serão objeto de distribuição pública com esforços restritos de distribuição, nos termos da Instrução CVM 476 (“</w:t>
      </w:r>
      <w:r>
        <w:rPr>
          <w:u w:val="single"/>
        </w:rPr>
        <w:t>Oferta Restrita</w:t>
      </w:r>
      <w:r>
        <w:t xml:space="preserve">”). Nos termos do artigo 6º da Instrução CVM </w:t>
      </w:r>
      <w:smartTag w:uri="urn:schemas-microsoft-com:office:smarttags" w:element="metricconverter">
        <w:smartTagPr>
          <w:attr w:name="ProductID" w:val="476, a"/>
        </w:smartTagPr>
        <w:r>
          <w:t>476, a</w:t>
        </w:r>
      </w:smartTag>
      <w:r>
        <w:t xml:space="preserve"> Oferta Restrita está automaticamente dispensada de registro perante a CVM.</w:t>
      </w:r>
    </w:p>
    <w:p>
      <w:pPr>
        <w:pStyle w:val="PargrafodaLista"/>
        <w:widowControl w:val="0"/>
        <w:tabs>
          <w:tab w:val="left" w:pos="1134"/>
        </w:tabs>
        <w:spacing w:line="320" w:lineRule="exact"/>
        <w:ind w:left="0"/>
      </w:pPr>
      <w:r>
        <w:t xml:space="preserve"> </w:t>
      </w:r>
    </w:p>
    <w:p>
      <w:pPr>
        <w:pStyle w:val="PargrafodaLista"/>
        <w:widowControl w:val="0"/>
        <w:numPr>
          <w:ilvl w:val="3"/>
          <w:numId w:val="11"/>
        </w:numPr>
        <w:tabs>
          <w:tab w:val="left" w:pos="1276"/>
        </w:tabs>
        <w:spacing w:line="320" w:lineRule="exact"/>
        <w:ind w:left="0" w:firstLine="0"/>
        <w:contextualSpacing/>
        <w:jc w:val="both"/>
      </w:pPr>
      <w:r>
        <w:rPr>
          <w:i/>
        </w:rPr>
        <w:t xml:space="preserve"> </w:t>
      </w:r>
      <w:r>
        <w:t>Por se tratar de oferta para distribuição pública com esforços restritos de distribuição e sem a utilização de prospecto, a Oferta Restrita será registrada na ANBIMA, exclusivamente para fins de informar a base de dados da ANBIMA, nos termos do “</w:t>
      </w:r>
      <w:r>
        <w:rPr>
          <w:i/>
        </w:rPr>
        <w:t>Código ANBIMA de Regulação e Melhores Práticas para as Ofertas Públicas de Distribuição e Aquisição de Valores Mobiliários</w:t>
      </w:r>
      <w:r>
        <w:t>” atualmente em vigor, condicionado à expedição, até a data de envio da comunicação de encerramento da Oferta Restrita, de diretrizes do Conselho de Regulação e Melhores Práticas da ANBIMA.</w:t>
      </w:r>
    </w:p>
    <w:p>
      <w:pPr>
        <w:spacing w:line="320" w:lineRule="exact"/>
        <w:jc w:val="both"/>
        <w:rPr>
          <w:rFonts w:ascii="Calibri" w:hAnsi="Calibri"/>
          <w:sz w:val="22"/>
          <w:szCs w:val="22"/>
        </w:rPr>
      </w:pPr>
    </w:p>
    <w:p>
      <w:pPr>
        <w:numPr>
          <w:ilvl w:val="0"/>
          <w:numId w:val="11"/>
        </w:numPr>
        <w:tabs>
          <w:tab w:val="left" w:pos="1418"/>
        </w:tabs>
        <w:spacing w:line="320" w:lineRule="exact"/>
        <w:jc w:val="both"/>
        <w:rPr>
          <w:rFonts w:ascii="Calibri" w:hAnsi="Calibri"/>
          <w:b/>
          <w:sz w:val="22"/>
          <w:szCs w:val="22"/>
        </w:rPr>
      </w:pPr>
      <w:r>
        <w:rPr>
          <w:rFonts w:ascii="Calibri" w:hAnsi="Calibri"/>
          <w:b/>
          <w:sz w:val="22"/>
          <w:szCs w:val="22"/>
        </w:rPr>
        <w:tab/>
        <w:t xml:space="preserve">OBJETO SOCIAL DA EMISSORA </w:t>
      </w:r>
    </w:p>
    <w:p>
      <w:pPr>
        <w:tabs>
          <w:tab w:val="left" w:pos="1418"/>
        </w:tabs>
        <w:spacing w:line="320" w:lineRule="exact"/>
        <w:ind w:left="540"/>
        <w:jc w:val="both"/>
        <w:rPr>
          <w:rFonts w:ascii="Calibri" w:hAnsi="Calibri"/>
          <w:b/>
          <w:sz w:val="22"/>
          <w:szCs w:val="22"/>
        </w:rPr>
      </w:pPr>
    </w:p>
    <w:p>
      <w:pPr>
        <w:pStyle w:val="PargrafodaLista"/>
        <w:widowControl w:val="0"/>
        <w:numPr>
          <w:ilvl w:val="1"/>
          <w:numId w:val="11"/>
        </w:numPr>
        <w:tabs>
          <w:tab w:val="left" w:pos="1418"/>
        </w:tabs>
        <w:spacing w:line="320" w:lineRule="exact"/>
        <w:ind w:left="0" w:firstLine="0"/>
        <w:contextualSpacing/>
        <w:jc w:val="both"/>
        <w:rPr>
          <w:b/>
        </w:rPr>
      </w:pPr>
      <w:r>
        <w:t xml:space="preserve">A Emissora tem por objeto a administração de bens próprios, a prestação de serviços de engenharia e de construção de imóveis residenciais e/ou comerciais, a incorporação, construção, comercialização e locação de imóveis próprios ou de terceiros, residenciais e/ou comerciais, bem como a participação em outras sociedades, na qualidade de sócia e/ou acionista.  </w:t>
      </w:r>
    </w:p>
    <w:p>
      <w:pPr>
        <w:spacing w:line="320" w:lineRule="exact"/>
        <w:jc w:val="both"/>
        <w:rPr>
          <w:rFonts w:ascii="Calibri" w:hAnsi="Calibri"/>
          <w:b/>
          <w:sz w:val="22"/>
          <w:szCs w:val="22"/>
        </w:rPr>
      </w:pPr>
    </w:p>
    <w:p>
      <w:pPr>
        <w:numPr>
          <w:ilvl w:val="0"/>
          <w:numId w:val="11"/>
        </w:numPr>
        <w:tabs>
          <w:tab w:val="left" w:pos="1418"/>
        </w:tabs>
        <w:spacing w:line="320" w:lineRule="exact"/>
        <w:ind w:left="1418" w:hanging="1418"/>
        <w:jc w:val="both"/>
        <w:rPr>
          <w:smallCaps/>
          <w:spacing w:val="-2"/>
          <w:u w:val="single"/>
        </w:rPr>
      </w:pPr>
      <w:r>
        <w:rPr>
          <w:rFonts w:ascii="Calibri" w:hAnsi="Calibri"/>
          <w:b/>
          <w:sz w:val="22"/>
          <w:szCs w:val="22"/>
        </w:rPr>
        <w:t>DESTINAÇÃO DOS RECURSOS</w:t>
      </w:r>
      <w:r>
        <w:rPr>
          <w:smallCaps/>
          <w:spacing w:val="-2"/>
          <w:u w:val="single"/>
        </w:rPr>
        <w:t xml:space="preserve"> </w:t>
      </w:r>
    </w:p>
    <w:p>
      <w:pPr>
        <w:tabs>
          <w:tab w:val="left" w:pos="1418"/>
        </w:tabs>
        <w:spacing w:line="320" w:lineRule="exact"/>
        <w:ind w:left="540"/>
        <w:jc w:val="both"/>
        <w:rPr>
          <w:smallCaps/>
          <w:spacing w:val="-2"/>
          <w:u w:val="single"/>
        </w:rPr>
      </w:pPr>
    </w:p>
    <w:p>
      <w:pPr>
        <w:pStyle w:val="PargrafodaLista"/>
        <w:widowControl w:val="0"/>
        <w:numPr>
          <w:ilvl w:val="1"/>
          <w:numId w:val="11"/>
        </w:numPr>
        <w:tabs>
          <w:tab w:val="left" w:pos="1418"/>
        </w:tabs>
        <w:spacing w:line="320" w:lineRule="exact"/>
        <w:ind w:left="0" w:firstLine="0"/>
        <w:contextualSpacing/>
        <w:jc w:val="both"/>
      </w:pPr>
      <w:r>
        <w:t>Os recursos líquidos obtidos pela Emissora com a Oferta Restrita serão utilizados no curso normal dos negócios da Emissora, para reforço de caixa da Emissora e reperfilamento de sua dívida.</w:t>
      </w:r>
    </w:p>
    <w:p>
      <w:pPr>
        <w:spacing w:line="320" w:lineRule="exact"/>
        <w:jc w:val="both"/>
        <w:rPr>
          <w:rFonts w:ascii="Calibri" w:hAnsi="Calibri"/>
          <w:b/>
          <w:sz w:val="22"/>
          <w:szCs w:val="22"/>
        </w:rPr>
      </w:pPr>
    </w:p>
    <w:p>
      <w:pPr>
        <w:numPr>
          <w:ilvl w:val="0"/>
          <w:numId w:val="11"/>
        </w:numPr>
        <w:tabs>
          <w:tab w:val="left" w:pos="1418"/>
        </w:tabs>
        <w:spacing w:line="320" w:lineRule="exact"/>
        <w:ind w:left="1418" w:hanging="1418"/>
        <w:jc w:val="both"/>
        <w:rPr>
          <w:b/>
          <w:sz w:val="22"/>
          <w:szCs w:val="22"/>
        </w:rPr>
      </w:pPr>
      <w:r>
        <w:rPr>
          <w:rFonts w:ascii="Calibri" w:hAnsi="Calibri"/>
          <w:b/>
          <w:sz w:val="22"/>
          <w:szCs w:val="22"/>
        </w:rPr>
        <w:t>CARACTERÍSTICAS DA OFERTA RESTRITA</w:t>
      </w:r>
    </w:p>
    <w:p>
      <w:pPr>
        <w:tabs>
          <w:tab w:val="left" w:pos="1418"/>
        </w:tabs>
        <w:spacing w:line="320" w:lineRule="exact"/>
        <w:ind w:left="540"/>
        <w:jc w:val="both"/>
        <w:rPr>
          <w:b/>
          <w:sz w:val="22"/>
          <w:szCs w:val="22"/>
        </w:rPr>
      </w:pPr>
    </w:p>
    <w:p>
      <w:pPr>
        <w:pStyle w:val="PargrafodaLista"/>
        <w:widowControl w:val="0"/>
        <w:numPr>
          <w:ilvl w:val="1"/>
          <w:numId w:val="11"/>
        </w:numPr>
        <w:tabs>
          <w:tab w:val="left" w:pos="1418"/>
        </w:tabs>
        <w:spacing w:line="320" w:lineRule="exact"/>
        <w:ind w:left="0" w:firstLine="0"/>
        <w:contextualSpacing/>
        <w:jc w:val="both"/>
      </w:pPr>
      <w:r>
        <w:t>A Oferta Restrita será realizada com a intermediação de instituição financeira integrante do sistema de distribuição de valores mobiliários (“</w:t>
      </w:r>
      <w:r>
        <w:rPr>
          <w:u w:val="single"/>
        </w:rPr>
        <w:t>Coordenador Líder</w:t>
      </w:r>
      <w:r>
        <w:t>”), sob o regime de garantia firme de distribuição para a totalidade das Debêntures, nos termos do “</w:t>
      </w:r>
      <w:r>
        <w:rPr>
          <w:i/>
        </w:rPr>
        <w:t>Contrato de Coordenação, Colocação e Distribuição Pública de Debêntures Simples, Não Conversíveis em Ações, em Série Única, da Espécie Quirografária, com Garantia Real Adicional, da Décima Segunda Emissão da LOG COMMERCIAL PROPERTIES E PARTICIPAÇÕES S.A.</w:t>
      </w:r>
      <w:r>
        <w:t>”, a ser celebrado entre a Emissora e o Coordenador Líder (“</w:t>
      </w:r>
      <w:r>
        <w:rPr>
          <w:u w:val="single"/>
        </w:rPr>
        <w:t>Contrato de Distribuição</w:t>
      </w:r>
      <w:r>
        <w:t>”).</w:t>
      </w:r>
    </w:p>
    <w:p>
      <w:pPr>
        <w:pStyle w:val="PargrafodaLista"/>
        <w:widowControl w:val="0"/>
        <w:spacing w:line="320" w:lineRule="exact"/>
        <w:ind w:left="567"/>
      </w:pPr>
    </w:p>
    <w:p>
      <w:pPr>
        <w:pStyle w:val="PargrafodaLista"/>
        <w:widowControl w:val="0"/>
        <w:numPr>
          <w:ilvl w:val="1"/>
          <w:numId w:val="11"/>
        </w:numPr>
        <w:tabs>
          <w:tab w:val="left" w:pos="1418"/>
        </w:tabs>
        <w:spacing w:line="320" w:lineRule="exact"/>
        <w:ind w:left="0" w:firstLine="0"/>
        <w:contextualSpacing/>
        <w:jc w:val="both"/>
      </w:pPr>
      <w:r>
        <w:t xml:space="preserve">Em observância ao disposto na Instrução CVM </w:t>
      </w:r>
      <w:smartTag w:uri="urn:schemas-microsoft-com:office:smarttags" w:element="metricconverter">
        <w:smartTagPr>
          <w:attr w:name="ProductID" w:val="476, a"/>
        </w:smartTagPr>
        <w:r>
          <w:t>476, a</w:t>
        </w:r>
      </w:smartTag>
      <w:r>
        <w:t xml:space="preserve"> Oferta Restrita será destinada exclusivamente a Investidores Profissionais (conforme definidos abaixo), observado que (i) somente será permitida a procura de, no máximo, 75 (setenta e cinco) Investidores Profissionais; e (ii) as Debêntures somente poderão ser subscritas ou adquiridas por, no máximo, 50 (cinquenta) Investidores Profissionais.</w:t>
      </w:r>
    </w:p>
    <w:p>
      <w:pPr>
        <w:pStyle w:val="PargrafodaLista"/>
        <w:widowControl w:val="0"/>
        <w:spacing w:line="320" w:lineRule="exact"/>
        <w:ind w:left="567"/>
      </w:pPr>
    </w:p>
    <w:p>
      <w:pPr>
        <w:pStyle w:val="PargrafodaLista"/>
        <w:widowControl w:val="0"/>
        <w:numPr>
          <w:ilvl w:val="1"/>
          <w:numId w:val="11"/>
        </w:numPr>
        <w:tabs>
          <w:tab w:val="left" w:pos="1418"/>
        </w:tabs>
        <w:spacing w:line="320" w:lineRule="exact"/>
        <w:ind w:left="0" w:firstLine="0"/>
        <w:contextualSpacing/>
        <w:jc w:val="both"/>
      </w:pPr>
      <w:r>
        <w:t>Nos termos da Instrução CVM nº 539, de 13 de novembro de 2013, conforme alterada, inclusive pela Instrução CVM nº 554, de 17 de dezembro de 2014 (“</w:t>
      </w:r>
      <w:r>
        <w:rPr>
          <w:u w:val="single"/>
        </w:rPr>
        <w:t>Instrução CVM 539</w:t>
      </w:r>
      <w:r>
        <w:t>” e “</w:t>
      </w:r>
      <w:r>
        <w:rPr>
          <w:u w:val="single"/>
        </w:rPr>
        <w:t>Instrução CVM 554</w:t>
      </w:r>
      <w:r>
        <w:t>”, respectivamente), e para fins da Oferta Restrita, serão considerados investidores profissionais (“</w:t>
      </w:r>
      <w:r>
        <w:rPr>
          <w:u w:val="single"/>
        </w:rPr>
        <w:t>Investidores Profissionais</w:t>
      </w:r>
      <w:r>
        <w:t xml:space="preserve">”): (i) instituições financeiras e demais instituições autorizadas a funcionar pelo Banco Central do Brasil; (ii) companhias seguradoras e sociedades de capitalização; (iii) entidades abertas e fechadas de previdência complementar; (iv) pessoas naturais ou jurídicas que possuam investimentos financeiros em valor superior a R$10.000.000,00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 Os regimes próprios de previdência social instituídos pela União, pelos Estados, pelo Distrito Federal ou por Municípios são considerados Investidores Profissionais ou Investidores Qualificados (conforme definidos abaixo) apenas se reconhecidos como tais conforme regulamentação específica do Ministério da Previdência Social. </w:t>
      </w:r>
    </w:p>
    <w:p>
      <w:pPr>
        <w:pStyle w:val="PargrafodaLista"/>
        <w:widowControl w:val="0"/>
        <w:spacing w:line="320" w:lineRule="exact"/>
        <w:ind w:left="567"/>
      </w:pPr>
    </w:p>
    <w:p>
      <w:pPr>
        <w:pStyle w:val="PargrafodaLista"/>
        <w:widowControl w:val="0"/>
        <w:numPr>
          <w:ilvl w:val="1"/>
          <w:numId w:val="11"/>
        </w:numPr>
        <w:tabs>
          <w:tab w:val="left" w:pos="1418"/>
        </w:tabs>
        <w:spacing w:line="320" w:lineRule="exact"/>
        <w:ind w:left="0" w:firstLine="0"/>
        <w:contextualSpacing/>
        <w:jc w:val="both"/>
      </w:pPr>
      <w:r>
        <w:lastRenderedPageBreak/>
        <w:t>A colocação das Debêntures será realizada de acordo com os procedimentos da B3.</w:t>
      </w:r>
    </w:p>
    <w:p>
      <w:pPr>
        <w:pStyle w:val="PargrafodaLista"/>
        <w:widowControl w:val="0"/>
        <w:spacing w:line="320" w:lineRule="exact"/>
        <w:ind w:left="567"/>
      </w:pPr>
    </w:p>
    <w:p>
      <w:pPr>
        <w:pStyle w:val="PargrafodaLista"/>
        <w:widowControl w:val="0"/>
        <w:numPr>
          <w:ilvl w:val="1"/>
          <w:numId w:val="11"/>
        </w:numPr>
        <w:tabs>
          <w:tab w:val="left" w:pos="1418"/>
        </w:tabs>
        <w:spacing w:line="320" w:lineRule="exact"/>
        <w:ind w:left="0" w:firstLine="0"/>
        <w:contextualSpacing/>
        <w:jc w:val="both"/>
      </w:pPr>
      <w:r>
        <w:t>Cada Investidor Profissional assinará declaração atestando estar ciente de que, dentre outras declarações, (i) a Oferta Restrita não foi registrada perante a CVM; (ii) as Debêntures estão sujeitas a restrições de negociação previstas na regulamentação aplicável e nesta Escritura</w:t>
      </w:r>
      <w:bookmarkStart w:id="16" w:name="_DV_C9"/>
      <w:r>
        <w:t>; e (iii) efetuou sua própria análise sobre constituição, suficiência e exequibilidade das garantia</w:t>
      </w:r>
      <w:bookmarkEnd w:id="16"/>
      <w:r>
        <w:t>s.</w:t>
      </w:r>
    </w:p>
    <w:p>
      <w:pPr>
        <w:pStyle w:val="PargrafodaLista"/>
        <w:widowControl w:val="0"/>
        <w:spacing w:line="320" w:lineRule="exact"/>
        <w:ind w:left="567"/>
      </w:pPr>
    </w:p>
    <w:p>
      <w:pPr>
        <w:pStyle w:val="PargrafodaLista"/>
        <w:widowControl w:val="0"/>
        <w:numPr>
          <w:ilvl w:val="1"/>
          <w:numId w:val="11"/>
        </w:numPr>
        <w:tabs>
          <w:tab w:val="left" w:pos="1418"/>
        </w:tabs>
        <w:spacing w:line="320" w:lineRule="exact"/>
        <w:ind w:left="0" w:firstLine="0"/>
        <w:contextualSpacing/>
        <w:jc w:val="both"/>
      </w:pPr>
      <w:r>
        <w:t>Não será constituído fundo de sustentação de liquidez ou firmado contrato de garantia de liquidez para as Debêntures, bem como não será firmado contrato de estabilização de preço das Debêntures no mercado secundário.</w:t>
      </w:r>
    </w:p>
    <w:p>
      <w:pPr>
        <w:pStyle w:val="PargrafodaLista"/>
        <w:widowControl w:val="0"/>
        <w:spacing w:line="320" w:lineRule="exact"/>
        <w:ind w:left="567"/>
      </w:pPr>
    </w:p>
    <w:p>
      <w:pPr>
        <w:pStyle w:val="PargrafodaLista"/>
        <w:widowControl w:val="0"/>
        <w:numPr>
          <w:ilvl w:val="1"/>
          <w:numId w:val="11"/>
        </w:numPr>
        <w:tabs>
          <w:tab w:val="left" w:pos="1418"/>
        </w:tabs>
        <w:spacing w:line="320" w:lineRule="exact"/>
        <w:ind w:left="0" w:firstLine="0"/>
        <w:contextualSpacing/>
        <w:jc w:val="both"/>
      </w:pPr>
      <w:r>
        <w:rPr>
          <w:b/>
        </w:rPr>
        <w:t>Forma e Preço de Subscrição.</w:t>
      </w:r>
      <w:r>
        <w:t xml:space="preserve"> As Debêntures serão subscritas na data de sua efetiva subscrição e integralização (“</w:t>
      </w:r>
      <w:r>
        <w:rPr>
          <w:u w:val="single"/>
        </w:rPr>
        <w:t>Data de Integralização</w:t>
      </w:r>
      <w:r>
        <w:t>”), pelo Valor Nominal Unitário (conforme definido abaixo) na primeira Data de Integralização e, a partir de então, pelo Valor Nominal Unitário acrescido dos Juros Remuneratórios (conforme definido abaixo), observado que será permitida a subscrição das Debêntures com ágio ou deságio. (“</w:t>
      </w:r>
      <w:r>
        <w:rPr>
          <w:u w:val="single"/>
        </w:rPr>
        <w:t>Preço de Subscrição</w:t>
      </w:r>
      <w:r>
        <w:t>”).</w:t>
      </w:r>
      <w:r>
        <w:rPr>
          <w:rFonts w:asciiTheme="majorHAnsi" w:hAnsiTheme="majorHAnsi"/>
        </w:rPr>
        <w:t xml:space="preserve"> </w:t>
      </w:r>
    </w:p>
    <w:p>
      <w:pPr>
        <w:pStyle w:val="PargrafodaLista"/>
        <w:widowControl w:val="0"/>
        <w:spacing w:line="320" w:lineRule="exact"/>
        <w:ind w:left="567"/>
      </w:pPr>
    </w:p>
    <w:p>
      <w:pPr>
        <w:pStyle w:val="PargrafodaLista"/>
        <w:widowControl w:val="0"/>
        <w:numPr>
          <w:ilvl w:val="1"/>
          <w:numId w:val="11"/>
        </w:numPr>
        <w:tabs>
          <w:tab w:val="left" w:pos="1418"/>
        </w:tabs>
        <w:spacing w:line="320" w:lineRule="exact"/>
        <w:ind w:left="0" w:firstLine="0"/>
        <w:contextualSpacing/>
        <w:jc w:val="both"/>
      </w:pPr>
      <w:r>
        <w:rPr>
          <w:b/>
        </w:rPr>
        <w:t>Prazo de Subscrição</w:t>
      </w:r>
      <w:r>
        <w:t>. As Debêntures serão subscritas, a qualquer tempo, em até 6 (seis) meses contados da data de início de distribuição, observado o disposto nos artigos 7-A e 8º, parágrafo 2º, da Instrução CVM 476, pelo Valor Nominal Unitário (conforme abaixo definido).</w:t>
      </w:r>
    </w:p>
    <w:p>
      <w:pPr>
        <w:pStyle w:val="PargrafodaLista"/>
        <w:spacing w:line="320" w:lineRule="exact"/>
      </w:pPr>
    </w:p>
    <w:p>
      <w:pPr>
        <w:pStyle w:val="PargrafodaLista"/>
        <w:widowControl w:val="0"/>
        <w:numPr>
          <w:ilvl w:val="1"/>
          <w:numId w:val="11"/>
        </w:numPr>
        <w:tabs>
          <w:tab w:val="left" w:pos="1418"/>
        </w:tabs>
        <w:spacing w:line="320" w:lineRule="exact"/>
        <w:ind w:left="0" w:firstLine="0"/>
        <w:contextualSpacing/>
        <w:jc w:val="both"/>
      </w:pPr>
      <w:r>
        <w:rPr>
          <w:b/>
        </w:rPr>
        <w:t>Forma de Integralização.</w:t>
      </w:r>
      <w:r>
        <w:t xml:space="preserve"> As Debêntures serão integralizadas à vista, no ato da subscrição, em moeda corrente nacional e de acordo com os procedimentos da B3.</w:t>
      </w:r>
    </w:p>
    <w:p>
      <w:pPr>
        <w:spacing w:line="320" w:lineRule="exact"/>
        <w:jc w:val="both"/>
        <w:rPr>
          <w:rFonts w:ascii="Calibri" w:hAnsi="Calibri"/>
          <w:b/>
          <w:sz w:val="22"/>
          <w:szCs w:val="22"/>
        </w:rPr>
      </w:pPr>
    </w:p>
    <w:p>
      <w:pPr>
        <w:numPr>
          <w:ilvl w:val="0"/>
          <w:numId w:val="11"/>
        </w:numPr>
        <w:tabs>
          <w:tab w:val="left" w:pos="1418"/>
        </w:tabs>
        <w:spacing w:line="320" w:lineRule="exact"/>
        <w:ind w:left="1418" w:hanging="1418"/>
        <w:jc w:val="both"/>
        <w:rPr>
          <w:rFonts w:ascii="Calibri" w:hAnsi="Calibri"/>
          <w:b/>
          <w:sz w:val="22"/>
          <w:szCs w:val="22"/>
        </w:rPr>
      </w:pPr>
      <w:r>
        <w:rPr>
          <w:rFonts w:ascii="Calibri" w:hAnsi="Calibri"/>
          <w:b/>
          <w:sz w:val="22"/>
          <w:szCs w:val="22"/>
        </w:rPr>
        <w:t>CARACTERÍSTICAS DAS DEBÊNTURES</w:t>
      </w:r>
    </w:p>
    <w:p>
      <w:pPr>
        <w:spacing w:line="320" w:lineRule="exact"/>
        <w:jc w:val="both"/>
        <w:rPr>
          <w:rFonts w:ascii="Calibri" w:hAnsi="Calibri"/>
          <w:b/>
          <w:sz w:val="22"/>
          <w:szCs w:val="22"/>
        </w:rPr>
      </w:pPr>
    </w:p>
    <w:p>
      <w:pPr>
        <w:numPr>
          <w:ilvl w:val="1"/>
          <w:numId w:val="11"/>
        </w:numPr>
        <w:tabs>
          <w:tab w:val="left" w:pos="1418"/>
        </w:tabs>
        <w:spacing w:line="320" w:lineRule="exact"/>
        <w:ind w:left="0" w:firstLine="0"/>
        <w:jc w:val="both"/>
        <w:rPr>
          <w:rFonts w:ascii="Calibri" w:hAnsi="Calibri"/>
          <w:sz w:val="22"/>
          <w:szCs w:val="22"/>
        </w:rPr>
      </w:pPr>
      <w:r>
        <w:rPr>
          <w:rFonts w:ascii="Calibri" w:hAnsi="Calibri"/>
          <w:b/>
          <w:sz w:val="22"/>
          <w:szCs w:val="22"/>
        </w:rPr>
        <w:t>Número da Emissão.</w:t>
      </w:r>
      <w:r>
        <w:rPr>
          <w:rFonts w:ascii="Calibri" w:hAnsi="Calibri"/>
          <w:sz w:val="22"/>
          <w:szCs w:val="22"/>
        </w:rPr>
        <w:t xml:space="preserve"> Para todos os fins, a presente Escritura representa a 12ª (décima segunda) emissão de debêntures da Emissora.</w:t>
      </w:r>
    </w:p>
    <w:p>
      <w:pPr>
        <w:spacing w:line="320" w:lineRule="exact"/>
        <w:jc w:val="both"/>
        <w:rPr>
          <w:rFonts w:ascii="Calibri" w:hAnsi="Calibri"/>
          <w:sz w:val="22"/>
          <w:szCs w:val="22"/>
        </w:rPr>
      </w:pPr>
    </w:p>
    <w:p>
      <w:pPr>
        <w:numPr>
          <w:ilvl w:val="1"/>
          <w:numId w:val="11"/>
        </w:numPr>
        <w:spacing w:line="320" w:lineRule="exact"/>
        <w:jc w:val="both"/>
        <w:rPr>
          <w:rFonts w:ascii="Calibri" w:hAnsi="Calibri"/>
          <w:b/>
          <w:sz w:val="22"/>
          <w:szCs w:val="22"/>
        </w:rPr>
      </w:pPr>
      <w:r>
        <w:rPr>
          <w:rFonts w:ascii="Calibri" w:hAnsi="Calibri"/>
          <w:b/>
          <w:sz w:val="22"/>
          <w:szCs w:val="22"/>
        </w:rPr>
        <w:tab/>
      </w:r>
      <w:r>
        <w:rPr>
          <w:rFonts w:ascii="Calibri" w:hAnsi="Calibri"/>
          <w:b/>
          <w:sz w:val="22"/>
          <w:szCs w:val="22"/>
        </w:rPr>
        <w:tab/>
        <w:t>Número de Séries.</w:t>
      </w:r>
      <w:r>
        <w:rPr>
          <w:rFonts w:ascii="Calibri" w:eastAsia="Arial Unicode MS" w:hAnsi="Calibri"/>
          <w:sz w:val="22"/>
          <w:szCs w:val="22"/>
        </w:rPr>
        <w:t xml:space="preserve"> A Emissão</w:t>
      </w:r>
      <w:r>
        <w:rPr>
          <w:rFonts w:ascii="Calibri" w:hAnsi="Calibri"/>
          <w:sz w:val="22"/>
          <w:szCs w:val="22"/>
        </w:rPr>
        <w:t xml:space="preserve"> </w:t>
      </w:r>
      <w:r>
        <w:rPr>
          <w:rFonts w:ascii="Calibri" w:eastAsia="Arial Unicode MS" w:hAnsi="Calibri"/>
          <w:sz w:val="22"/>
          <w:szCs w:val="22"/>
        </w:rPr>
        <w:t>será realizada em série única</w:t>
      </w:r>
      <w:r>
        <w:rPr>
          <w:rFonts w:ascii="Calibri" w:hAnsi="Calibri"/>
          <w:sz w:val="22"/>
          <w:szCs w:val="22"/>
        </w:rPr>
        <w:t>.</w:t>
      </w:r>
    </w:p>
    <w:p>
      <w:pPr>
        <w:spacing w:line="320" w:lineRule="exact"/>
        <w:jc w:val="both"/>
        <w:rPr>
          <w:rFonts w:ascii="Calibri" w:hAnsi="Calibri"/>
          <w:sz w:val="22"/>
          <w:szCs w:val="22"/>
        </w:rPr>
      </w:pPr>
    </w:p>
    <w:p>
      <w:pPr>
        <w:numPr>
          <w:ilvl w:val="1"/>
          <w:numId w:val="11"/>
        </w:numPr>
        <w:tabs>
          <w:tab w:val="left" w:pos="1418"/>
        </w:tabs>
        <w:spacing w:line="320" w:lineRule="exact"/>
        <w:ind w:left="0" w:firstLine="0"/>
        <w:jc w:val="both"/>
        <w:rPr>
          <w:rFonts w:ascii="Calibri" w:hAnsi="Calibri" w:cs="Calibri"/>
          <w:sz w:val="22"/>
          <w:szCs w:val="22"/>
        </w:rPr>
      </w:pPr>
      <w:r>
        <w:rPr>
          <w:rFonts w:ascii="Calibri" w:hAnsi="Calibri" w:cs="Calibri"/>
          <w:sz w:val="22"/>
          <w:szCs w:val="22"/>
        </w:rPr>
        <w:tab/>
      </w:r>
      <w:r>
        <w:rPr>
          <w:rFonts w:ascii="Calibri" w:hAnsi="Calibri" w:cs="Calibri"/>
          <w:b/>
          <w:sz w:val="22"/>
          <w:szCs w:val="22"/>
        </w:rPr>
        <w:t>Montante da Emissão</w:t>
      </w:r>
      <w:r>
        <w:rPr>
          <w:rFonts w:ascii="Calibri" w:hAnsi="Calibri" w:cs="Calibri"/>
          <w:sz w:val="22"/>
          <w:szCs w:val="22"/>
        </w:rPr>
        <w:t>. O montante total da Emissão será de R$ 100.000.000,00 (cem milhões de reais), na Data de Emissão de Debêntures (conforme definida abaixo) (“</w:t>
      </w:r>
      <w:r>
        <w:rPr>
          <w:rFonts w:ascii="Calibri" w:hAnsi="Calibri" w:cs="Calibri"/>
          <w:sz w:val="22"/>
          <w:szCs w:val="22"/>
          <w:u w:val="single"/>
        </w:rPr>
        <w:t>Valor da Emissão</w:t>
      </w:r>
      <w:r>
        <w:rPr>
          <w:rFonts w:ascii="Calibri" w:hAnsi="Calibri" w:cs="Calibri"/>
          <w:sz w:val="22"/>
          <w:szCs w:val="22"/>
        </w:rPr>
        <w:t xml:space="preserve">”). </w:t>
      </w:r>
    </w:p>
    <w:p>
      <w:pPr>
        <w:spacing w:line="320" w:lineRule="exact"/>
        <w:jc w:val="both"/>
        <w:rPr>
          <w:rFonts w:ascii="Calibri" w:hAnsi="Calibri" w:cs="Calibri"/>
          <w:sz w:val="22"/>
          <w:szCs w:val="22"/>
        </w:rPr>
      </w:pPr>
    </w:p>
    <w:p>
      <w:pPr>
        <w:numPr>
          <w:ilvl w:val="1"/>
          <w:numId w:val="11"/>
        </w:numPr>
        <w:tabs>
          <w:tab w:val="left" w:pos="1418"/>
        </w:tabs>
        <w:spacing w:line="320" w:lineRule="exact"/>
        <w:ind w:left="1418" w:hanging="1418"/>
        <w:jc w:val="both"/>
        <w:rPr>
          <w:rFonts w:ascii="Calibri" w:hAnsi="Calibri" w:cs="Calibri"/>
          <w:sz w:val="22"/>
          <w:szCs w:val="22"/>
        </w:rPr>
      </w:pPr>
      <w:r>
        <w:rPr>
          <w:rFonts w:ascii="Calibri" w:hAnsi="Calibri" w:cs="Calibri"/>
          <w:b/>
          <w:sz w:val="22"/>
          <w:szCs w:val="22"/>
        </w:rPr>
        <w:t>Quantidade</w:t>
      </w:r>
      <w:r>
        <w:rPr>
          <w:rFonts w:ascii="Calibri" w:hAnsi="Calibri" w:cs="Calibri"/>
          <w:sz w:val="22"/>
          <w:szCs w:val="22"/>
        </w:rPr>
        <w:t>. Serão emitidas 10.000</w:t>
      </w:r>
      <w:r>
        <w:rPr>
          <w:rFonts w:ascii="Calibri" w:hAnsi="Calibri" w:cs="Calibri"/>
          <w:caps/>
          <w:sz w:val="22"/>
          <w:szCs w:val="22"/>
        </w:rPr>
        <w:t xml:space="preserve"> </w:t>
      </w:r>
      <w:r>
        <w:rPr>
          <w:rFonts w:ascii="Calibri" w:hAnsi="Calibri" w:cs="Calibri"/>
          <w:sz w:val="22"/>
          <w:szCs w:val="22"/>
        </w:rPr>
        <w:t xml:space="preserve">(dez mil) Debêntures. </w:t>
      </w:r>
    </w:p>
    <w:p>
      <w:pPr>
        <w:spacing w:line="320" w:lineRule="exact"/>
        <w:jc w:val="both"/>
        <w:rPr>
          <w:rFonts w:ascii="Calibri" w:hAnsi="Calibri" w:cs="Calibri"/>
          <w:sz w:val="22"/>
          <w:szCs w:val="22"/>
        </w:rPr>
      </w:pPr>
    </w:p>
    <w:p>
      <w:pPr>
        <w:numPr>
          <w:ilvl w:val="1"/>
          <w:numId w:val="11"/>
        </w:numPr>
        <w:tabs>
          <w:tab w:val="left" w:pos="1418"/>
        </w:tabs>
        <w:spacing w:line="320" w:lineRule="exact"/>
        <w:ind w:left="0" w:firstLine="0"/>
        <w:jc w:val="both"/>
        <w:rPr>
          <w:rFonts w:ascii="Calibri" w:hAnsi="Calibri" w:cs="Calibri"/>
          <w:sz w:val="22"/>
          <w:szCs w:val="22"/>
        </w:rPr>
      </w:pPr>
      <w:bookmarkStart w:id="17" w:name="OLE_LINK5"/>
      <w:bookmarkStart w:id="18" w:name="OLE_LINK6"/>
      <w:r>
        <w:rPr>
          <w:rFonts w:ascii="Calibri" w:hAnsi="Calibri" w:cs="Calibri"/>
          <w:b/>
          <w:sz w:val="22"/>
          <w:szCs w:val="22"/>
        </w:rPr>
        <w:t>Valor Nominal Unitário.</w:t>
      </w:r>
      <w:r>
        <w:rPr>
          <w:rFonts w:ascii="Calibri" w:hAnsi="Calibri" w:cs="Calibri"/>
          <w:sz w:val="22"/>
          <w:szCs w:val="22"/>
        </w:rPr>
        <w:t xml:space="preserve"> O valor nominal unitário das Debêntures será de R$10.000,00 (dez mil reais) (“</w:t>
      </w:r>
      <w:r>
        <w:rPr>
          <w:rFonts w:ascii="Calibri" w:hAnsi="Calibri" w:cs="Calibri"/>
          <w:sz w:val="22"/>
          <w:szCs w:val="22"/>
          <w:u w:val="single"/>
        </w:rPr>
        <w:t>Valor Nominal Unitário</w:t>
      </w:r>
      <w:r>
        <w:rPr>
          <w:rFonts w:ascii="Calibri" w:hAnsi="Calibri" w:cs="Calibri"/>
          <w:sz w:val="22"/>
          <w:szCs w:val="22"/>
        </w:rPr>
        <w:t>”).</w:t>
      </w:r>
    </w:p>
    <w:p>
      <w:pPr>
        <w:tabs>
          <w:tab w:val="left" w:pos="1418"/>
        </w:tabs>
        <w:spacing w:line="320" w:lineRule="exact"/>
        <w:jc w:val="both"/>
        <w:rPr>
          <w:rFonts w:ascii="Calibri" w:hAnsi="Calibri" w:cs="Calibri"/>
          <w:sz w:val="22"/>
          <w:szCs w:val="22"/>
        </w:rPr>
      </w:pPr>
    </w:p>
    <w:p>
      <w:pPr>
        <w:numPr>
          <w:ilvl w:val="1"/>
          <w:numId w:val="11"/>
        </w:numPr>
        <w:tabs>
          <w:tab w:val="left" w:pos="1418"/>
        </w:tabs>
        <w:spacing w:line="320" w:lineRule="exact"/>
        <w:ind w:left="0" w:firstLine="0"/>
        <w:jc w:val="both"/>
        <w:rPr>
          <w:rFonts w:ascii="Calibri" w:hAnsi="Calibri" w:cs="Calibri"/>
          <w:sz w:val="22"/>
          <w:szCs w:val="22"/>
        </w:rPr>
      </w:pPr>
      <w:r>
        <w:rPr>
          <w:rFonts w:ascii="Calibri" w:hAnsi="Calibri" w:cs="Calibri"/>
          <w:b/>
          <w:sz w:val="22"/>
          <w:szCs w:val="22"/>
        </w:rPr>
        <w:t>Data de Emissão.</w:t>
      </w:r>
      <w:r>
        <w:rPr>
          <w:rFonts w:ascii="Calibri" w:hAnsi="Calibri" w:cs="Calibri"/>
          <w:sz w:val="22"/>
          <w:szCs w:val="22"/>
        </w:rPr>
        <w:t xml:space="preserve"> Para todos os fins e efeitos legais, a data de emissão das Debêntures será 25 de dezembro de 2017 (“</w:t>
      </w:r>
      <w:r>
        <w:rPr>
          <w:rFonts w:ascii="Calibri" w:hAnsi="Calibri" w:cs="Calibri"/>
          <w:sz w:val="22"/>
          <w:szCs w:val="22"/>
          <w:u w:val="single"/>
        </w:rPr>
        <w:t>Data de Emissão</w:t>
      </w:r>
      <w:r>
        <w:rPr>
          <w:rFonts w:ascii="Calibri" w:hAnsi="Calibri" w:cs="Calibri"/>
          <w:sz w:val="22"/>
          <w:szCs w:val="22"/>
        </w:rPr>
        <w:t>”).</w:t>
      </w:r>
    </w:p>
    <w:p>
      <w:pPr>
        <w:spacing w:line="320" w:lineRule="exact"/>
        <w:jc w:val="both"/>
        <w:rPr>
          <w:rFonts w:ascii="Calibri" w:hAnsi="Calibri" w:cs="Calibri"/>
          <w:i/>
          <w:sz w:val="22"/>
          <w:szCs w:val="22"/>
        </w:rPr>
      </w:pPr>
    </w:p>
    <w:p>
      <w:pPr>
        <w:numPr>
          <w:ilvl w:val="1"/>
          <w:numId w:val="11"/>
        </w:numPr>
        <w:tabs>
          <w:tab w:val="left" w:pos="1418"/>
        </w:tabs>
        <w:spacing w:line="320" w:lineRule="exact"/>
        <w:ind w:left="0" w:firstLine="0"/>
        <w:jc w:val="both"/>
        <w:rPr>
          <w:rFonts w:ascii="Calibri" w:hAnsi="Calibri" w:cs="Calibri"/>
          <w:sz w:val="22"/>
          <w:szCs w:val="22"/>
        </w:rPr>
      </w:pPr>
      <w:r>
        <w:rPr>
          <w:rFonts w:ascii="Calibri" w:hAnsi="Calibri" w:cs="Calibri"/>
          <w:b/>
          <w:sz w:val="22"/>
          <w:szCs w:val="22"/>
        </w:rPr>
        <w:t xml:space="preserve">Prazo e Data de Vencimento. </w:t>
      </w:r>
      <w:r>
        <w:rPr>
          <w:rFonts w:ascii="Calibri" w:hAnsi="Calibri" w:cs="Calibri"/>
          <w:sz w:val="22"/>
          <w:szCs w:val="22"/>
        </w:rPr>
        <w:t>O vencimento final das Debêntures ocorrerá ao término do prazo de 10 (dez) anos contados da Data de Emissão, vencendo, portanto, em 25 de dezembro de 2027 (“</w:t>
      </w:r>
      <w:r>
        <w:rPr>
          <w:rFonts w:ascii="Calibri" w:hAnsi="Calibri" w:cs="Calibri"/>
          <w:sz w:val="22"/>
          <w:szCs w:val="22"/>
          <w:u w:val="single"/>
        </w:rPr>
        <w:t>Data de Vencimento</w:t>
      </w:r>
      <w:r>
        <w:rPr>
          <w:rFonts w:ascii="Calibri" w:hAnsi="Calibri" w:cs="Calibri"/>
          <w:sz w:val="22"/>
          <w:szCs w:val="22"/>
        </w:rPr>
        <w:t xml:space="preserve">”), ressalvadas as hipóteses de vencimento antecipado e Resgate previstas nesta Escritura. Na </w:t>
      </w:r>
      <w:r>
        <w:rPr>
          <w:rFonts w:ascii="Calibri" w:eastAsia="Arial Unicode MS" w:hAnsi="Calibri" w:cs="Calibri"/>
          <w:sz w:val="22"/>
          <w:szCs w:val="22"/>
        </w:rPr>
        <w:t>ocasião do vencimento, a Emissora</w:t>
      </w:r>
      <w:r>
        <w:rPr>
          <w:rFonts w:ascii="Calibri" w:hAnsi="Calibri" w:cs="Calibri"/>
          <w:sz w:val="22"/>
          <w:szCs w:val="22"/>
        </w:rPr>
        <w:t xml:space="preserve"> </w:t>
      </w:r>
      <w:r>
        <w:rPr>
          <w:rFonts w:ascii="Calibri" w:eastAsia="Arial Unicode MS" w:hAnsi="Calibri" w:cs="Calibri"/>
          <w:sz w:val="22"/>
          <w:szCs w:val="22"/>
        </w:rPr>
        <w:t>obriga-se a proceder ao pagamento das Debêntures pelo saldo de seu Valor Nominal Unitário</w:t>
      </w:r>
      <w:r>
        <w:rPr>
          <w:rFonts w:ascii="Calibri" w:eastAsia="Arial Unicode MS" w:hAnsi="Calibri" w:cs="Calibri"/>
          <w:smallCaps/>
          <w:sz w:val="22"/>
          <w:szCs w:val="22"/>
        </w:rPr>
        <w:t>,</w:t>
      </w:r>
      <w:r>
        <w:rPr>
          <w:rFonts w:ascii="Calibri" w:eastAsia="Arial Unicode MS" w:hAnsi="Calibri" w:cs="Calibri"/>
          <w:sz w:val="22"/>
          <w:szCs w:val="22"/>
        </w:rPr>
        <w:t xml:space="preserve"> acrescido dos Juros Remuneratórios devidos (conforme definidos abaixo), em moeda corrente nacional, calculados na forma prevista nesta Escritura</w:t>
      </w:r>
      <w:r>
        <w:rPr>
          <w:rFonts w:ascii="Calibri" w:hAnsi="Calibri" w:cs="Calibri"/>
          <w:sz w:val="22"/>
          <w:szCs w:val="22"/>
        </w:rPr>
        <w:t xml:space="preserve">. </w:t>
      </w:r>
    </w:p>
    <w:p>
      <w:pPr>
        <w:spacing w:line="320" w:lineRule="exact"/>
        <w:jc w:val="both"/>
        <w:rPr>
          <w:rFonts w:ascii="Calibri" w:hAnsi="Calibri" w:cs="Calibri"/>
          <w:i/>
          <w:sz w:val="22"/>
          <w:szCs w:val="22"/>
        </w:rPr>
      </w:pPr>
    </w:p>
    <w:p>
      <w:pPr>
        <w:pStyle w:val="PargrafodaLista"/>
        <w:widowControl w:val="0"/>
        <w:numPr>
          <w:ilvl w:val="1"/>
          <w:numId w:val="11"/>
        </w:numPr>
        <w:tabs>
          <w:tab w:val="left" w:pos="1418"/>
        </w:tabs>
        <w:spacing w:line="320" w:lineRule="exact"/>
        <w:ind w:left="0" w:firstLine="0"/>
        <w:contextualSpacing/>
        <w:jc w:val="both"/>
        <w:rPr>
          <w:rFonts w:cs="Calibri"/>
        </w:rPr>
      </w:pPr>
      <w:bookmarkStart w:id="19" w:name="_Ref137548372"/>
      <w:bookmarkStart w:id="20" w:name="_Ref168458019"/>
      <w:bookmarkStart w:id="21" w:name="_Ref130363099"/>
      <w:r>
        <w:rPr>
          <w:rFonts w:cs="Calibri"/>
          <w:b/>
        </w:rPr>
        <w:t>Séries.</w:t>
      </w:r>
      <w:r>
        <w:rPr>
          <w:rFonts w:cs="Calibri"/>
        </w:rPr>
        <w:t xml:space="preserve"> </w:t>
      </w:r>
      <w:bookmarkEnd w:id="19"/>
      <w:bookmarkEnd w:id="20"/>
      <w:r>
        <w:rPr>
          <w:rFonts w:cs="Calibri"/>
        </w:rPr>
        <w:t>A Emissão será realizada em série única.</w:t>
      </w:r>
    </w:p>
    <w:p>
      <w:pPr>
        <w:pStyle w:val="PargrafodaLista"/>
        <w:tabs>
          <w:tab w:val="left" w:pos="1418"/>
        </w:tabs>
        <w:spacing w:line="320" w:lineRule="exact"/>
        <w:ind w:left="0"/>
        <w:rPr>
          <w:rFonts w:cs="Calibri"/>
        </w:rPr>
      </w:pPr>
    </w:p>
    <w:bookmarkEnd w:id="21"/>
    <w:p>
      <w:pPr>
        <w:pStyle w:val="PargrafodaLista"/>
        <w:widowControl w:val="0"/>
        <w:numPr>
          <w:ilvl w:val="1"/>
          <w:numId w:val="11"/>
        </w:numPr>
        <w:tabs>
          <w:tab w:val="left" w:pos="1418"/>
        </w:tabs>
        <w:spacing w:line="320" w:lineRule="exact"/>
        <w:ind w:left="0" w:firstLine="0"/>
        <w:contextualSpacing/>
        <w:jc w:val="both"/>
        <w:rPr>
          <w:rFonts w:cs="Calibri"/>
        </w:rPr>
      </w:pPr>
      <w:r>
        <w:rPr>
          <w:rFonts w:cs="Calibri"/>
          <w:b/>
        </w:rPr>
        <w:t>Forma.</w:t>
      </w:r>
      <w:r>
        <w:rPr>
          <w:rFonts w:cs="Calibri"/>
        </w:rPr>
        <w:t xml:space="preserve"> As Debêntures serão emitidas sob a forma nominativa, escritural, sem emissão de cautelas ou certificados, sendo que, para todos os fins de direito, a titularidade das Debêntures será comprovada pelo extrato emitido pelo Escriturador (conforme definido abaixo). Adicionalmente, será reconhecido como comprovante de titularidade o extrato expedido pela B3 em nome dos Debenturistas para as Debêntures custodiadas eletronicamente na B3.</w:t>
      </w:r>
    </w:p>
    <w:p>
      <w:pPr>
        <w:tabs>
          <w:tab w:val="left" w:pos="1418"/>
        </w:tabs>
        <w:spacing w:line="320" w:lineRule="exact"/>
        <w:jc w:val="both"/>
        <w:rPr>
          <w:rFonts w:ascii="Calibri" w:hAnsi="Calibri" w:cs="Calibri"/>
          <w:sz w:val="22"/>
          <w:szCs w:val="22"/>
        </w:rPr>
      </w:pPr>
    </w:p>
    <w:p>
      <w:pPr>
        <w:pStyle w:val="PargrafodaLista"/>
        <w:widowControl w:val="0"/>
        <w:numPr>
          <w:ilvl w:val="1"/>
          <w:numId w:val="11"/>
        </w:numPr>
        <w:tabs>
          <w:tab w:val="left" w:pos="1418"/>
        </w:tabs>
        <w:spacing w:line="320" w:lineRule="exact"/>
        <w:ind w:left="0" w:firstLine="0"/>
        <w:contextualSpacing/>
        <w:jc w:val="both"/>
        <w:rPr>
          <w:rFonts w:cs="Calibri"/>
        </w:rPr>
      </w:pPr>
      <w:r>
        <w:rPr>
          <w:rFonts w:cs="Calibri"/>
          <w:b/>
        </w:rPr>
        <w:t>Conversibilidade.</w:t>
      </w:r>
      <w:r>
        <w:rPr>
          <w:rFonts w:cs="Calibri"/>
        </w:rPr>
        <w:t xml:space="preserve"> As Debêntures não serão conversíveis em ações de emissão da Emissora.</w:t>
      </w:r>
    </w:p>
    <w:p>
      <w:pPr>
        <w:pStyle w:val="PargrafodaLista"/>
        <w:tabs>
          <w:tab w:val="left" w:pos="1418"/>
        </w:tabs>
        <w:spacing w:line="320" w:lineRule="exact"/>
        <w:ind w:left="0"/>
        <w:rPr>
          <w:rFonts w:cs="Calibri"/>
        </w:rPr>
      </w:pPr>
    </w:p>
    <w:p>
      <w:pPr>
        <w:pStyle w:val="PargrafodaLista"/>
        <w:widowControl w:val="0"/>
        <w:numPr>
          <w:ilvl w:val="1"/>
          <w:numId w:val="11"/>
        </w:numPr>
        <w:tabs>
          <w:tab w:val="left" w:pos="1418"/>
        </w:tabs>
        <w:spacing w:line="320" w:lineRule="exact"/>
        <w:ind w:left="0" w:firstLine="0"/>
        <w:contextualSpacing/>
        <w:jc w:val="both"/>
        <w:rPr>
          <w:rFonts w:cs="Calibri"/>
          <w:b/>
        </w:rPr>
      </w:pPr>
      <w:r>
        <w:rPr>
          <w:rFonts w:cs="Calibri"/>
          <w:b/>
        </w:rPr>
        <w:t>Espécie.</w:t>
      </w:r>
      <w:r>
        <w:rPr>
          <w:rFonts w:cs="Calibri"/>
        </w:rPr>
        <w:t xml:space="preserve"> As Debêntures serão da espécie quirografária, nos termos da Lei das Sociedades por Ações, com garantia adicional real prestada pelas Intervenientes nos seguintes termos:</w:t>
      </w:r>
    </w:p>
    <w:p>
      <w:pPr>
        <w:pStyle w:val="PargrafodaLista"/>
        <w:rPr>
          <w:rFonts w:cs="Calibri"/>
        </w:rPr>
      </w:pPr>
    </w:p>
    <w:p>
      <w:pPr>
        <w:pStyle w:val="PargrafodaLista"/>
        <w:widowControl w:val="0"/>
        <w:numPr>
          <w:ilvl w:val="0"/>
          <w:numId w:val="29"/>
        </w:numPr>
        <w:tabs>
          <w:tab w:val="left" w:pos="1418"/>
        </w:tabs>
        <w:spacing w:line="320" w:lineRule="exact"/>
        <w:contextualSpacing/>
        <w:jc w:val="both"/>
        <w:rPr>
          <w:rFonts w:cs="Calibri"/>
          <w:b/>
        </w:rPr>
      </w:pPr>
      <w:r>
        <w:t>Em garantia do integral e pontual cumprimento de todas as obrigações assumidas ou que venham a ser assumidas pela Emissora relativas às Debêntures e demais obrigações nos termos desta Escritura (“</w:t>
      </w:r>
      <w:r>
        <w:rPr>
          <w:u w:val="single"/>
        </w:rPr>
        <w:t>Obrigações Garantidas</w:t>
      </w:r>
      <w:r>
        <w:t>”), as Intervenientes, como cedentes, e o Agente Fiduciário, na qualidade de representante dos Debenturistas, celebrarão, o “</w:t>
      </w:r>
      <w:r>
        <w:rPr>
          <w:i/>
        </w:rPr>
        <w:t>instrumento Particular de Cessão Fiduciária de Direitos Creditórios e Outras Avenças, Sob Condição Suspensiva</w:t>
      </w:r>
      <w:r>
        <w:t>” (“</w:t>
      </w:r>
      <w:r>
        <w:rPr>
          <w:u w:val="single"/>
        </w:rPr>
        <w:t>Contrato de Cessão Fiduciária</w:t>
      </w:r>
      <w:r>
        <w:t>”), por meio do qual as Intervenientes, de forma irrevogável e irretratável, sob condição suspensiva, cederão fiduciariamente e se comprometerão a ceder fiduciariamente em garantia aos Debenturistas, nos termos do artigo 66-B, da Lei nº 4.728, de 14 de julho de 1965, conforme alterada (“</w:t>
      </w:r>
      <w:r>
        <w:rPr>
          <w:u w:val="single"/>
        </w:rPr>
        <w:t>Lei 4.728/1965</w:t>
      </w:r>
      <w:r>
        <w:t>”), dos artigos 1.361 e seguintes da Lei nº 10.406, de 10 de janeiro de 2002, conforme alterada (“</w:t>
      </w:r>
      <w:r>
        <w:rPr>
          <w:u w:val="single"/>
        </w:rPr>
        <w:t>Código Civil Brasileiro</w:t>
      </w:r>
      <w:r>
        <w:t xml:space="preserve">”), a propriedade fiduciária, a titularidade resolúvel e a posse indireta de: (a) a totalidade dos direitos creditórios </w:t>
      </w:r>
      <w:r>
        <w:lastRenderedPageBreak/>
        <w:t>decorrentes de aluguéis de determinados bens imóveis dos quais as Intervenientes são titulares, incluindo todos e quaisquer direitos, privilégios, preferências, prerrogativas e ações relacionados aos mencionados direitos creditórios, bem como toda e qualquer receita, multa de mora, penalidade e/ou indenização devidas às Intervenientes com relação aos referidos direitos creditórios (“Direitos Creditórios Alugueis”);  e (b) todos os direitos creditórios decorrentes da titularidade das contas correntes de titularidade das Intervenientes (“</w:t>
      </w:r>
      <w:r>
        <w:rPr>
          <w:u w:val="single"/>
        </w:rPr>
        <w:t>Contas Cedidas Fiduciariamente</w:t>
      </w:r>
      <w:r>
        <w:t>”), bem como aqueles  decorrentes do depósito da totalidade da liquidação financeira das parcelas dos Direitos Creditórios Alugueis, nos termos do Contrato de Cessão Fiduciária; e aqueles decorrentes das aplicações financeiras existentes ou feitas de tempos em tempos com os recursos depositados nas Contas Cedidas Fiduciariamente, incluindo todos os juros, atualização monetária, demais produtos, frutos e rendimentos, bem como recursos resultantes dos resgates desses investimentos e aplicações financeiras de titularidade das Intervenientes observado o disposto no Contrato de Cessão Fiduciária (“</w:t>
      </w:r>
      <w:r>
        <w:rPr>
          <w:u w:val="single"/>
        </w:rPr>
        <w:t>Direitos Creditórios Aplicações</w:t>
      </w:r>
      <w:r>
        <w:t>” e, em conjunto com Direitos Creditórios Alugueis, “</w:t>
      </w:r>
      <w:r>
        <w:rPr>
          <w:u w:val="single"/>
        </w:rPr>
        <w:t>Direitos Cedidos Fiduciariamente</w:t>
      </w:r>
      <w:r>
        <w:t>” e “</w:t>
      </w:r>
      <w:r>
        <w:rPr>
          <w:u w:val="single"/>
        </w:rPr>
        <w:t>Cessão Fiduciária</w:t>
      </w:r>
      <w:r>
        <w:t xml:space="preserve">”); </w:t>
      </w:r>
    </w:p>
    <w:p>
      <w:pPr>
        <w:pStyle w:val="PargrafodaLista"/>
        <w:widowControl w:val="0"/>
        <w:tabs>
          <w:tab w:val="left" w:pos="1418"/>
        </w:tabs>
        <w:spacing w:line="320" w:lineRule="exact"/>
        <w:ind w:left="1440"/>
        <w:contextualSpacing/>
        <w:jc w:val="both"/>
        <w:rPr>
          <w:rFonts w:cs="Calibri"/>
          <w:b/>
        </w:rPr>
      </w:pPr>
    </w:p>
    <w:p>
      <w:pPr>
        <w:pStyle w:val="PargrafodaLista"/>
        <w:widowControl w:val="0"/>
        <w:numPr>
          <w:ilvl w:val="0"/>
          <w:numId w:val="29"/>
        </w:numPr>
        <w:tabs>
          <w:tab w:val="left" w:pos="1418"/>
        </w:tabs>
        <w:spacing w:line="320" w:lineRule="exact"/>
        <w:contextualSpacing/>
        <w:jc w:val="both"/>
        <w:rPr>
          <w:rFonts w:cs="Calibri"/>
          <w:b/>
        </w:rPr>
      </w:pPr>
      <w:r>
        <w:t xml:space="preserve">Em garantia do integral cumprimento das Obrigações Garantidas, a SPE Goiânia  outorgará a alienação fiduciária do bem imóvel, objeto da matrícula de nº </w:t>
      </w:r>
      <w:r>
        <w:rPr>
          <w:color w:val="000000"/>
        </w:rPr>
        <w:t xml:space="preserve">28.670 </w:t>
      </w:r>
      <w:r>
        <w:t xml:space="preserve"> do  Cartório de Registro de Imóveis da 3ª circunscrição da Comarca de Goiânia, Estado de Goiás, de propriedade da SPE Goiânia(“</w:t>
      </w:r>
      <w:r>
        <w:rPr>
          <w:u w:val="single"/>
        </w:rPr>
        <w:t>Imóvel Goiânia”)</w:t>
      </w:r>
      <w:r>
        <w:t>, e a SPE São José outorgará a alienação fiduciária do bem imóvel, objeto das matrículas de nº 85.597, 85.598 e 85.599 do Cartório de Registro de Imóveis da 1ª Circunscrição da Comarca de São José dos Pinhais, Estado do Paraná, de propriedade da SPE São José (“</w:t>
      </w:r>
      <w:r>
        <w:rPr>
          <w:u w:val="single"/>
        </w:rPr>
        <w:t>Imóvel São José</w:t>
      </w:r>
      <w:r>
        <w:t>”, em conjunto com Imóvel Goiânia “</w:t>
      </w:r>
      <w:r>
        <w:rPr>
          <w:u w:val="single"/>
        </w:rPr>
        <w:t>Imóveis</w:t>
      </w:r>
      <w:r>
        <w:t>”), mediante a celebração, pelas Intervenientes, pela Emissora e pelo Agente Fiduciário, na qualidade de representante dos Debenturistas, da “Escritura Pública de Alienação Fiduciária de Bens Imóveis em Garantia e Outras Avenças Sob Condição Suspensiva" ("</w:t>
      </w:r>
      <w:r>
        <w:rPr>
          <w:u w:val="single"/>
        </w:rPr>
        <w:t>Escritura de Alienação Fiduciária de Imóveis</w:t>
      </w:r>
      <w:r>
        <w:t xml:space="preserve">"), por meio do qual as Intervenientes, de forma irrevogável e irretratável, sob condição suspensiva, alienarão fiduciariamente os Imóveis em garantia ao Agente Fiduciário, nos termos do artigo 1.361 e seguintes do Código Civil Brasileiro, e </w:t>
      </w:r>
      <w:r>
        <w:rPr>
          <w:rFonts w:cs="Arial"/>
        </w:rPr>
        <w:t>dos artigos 22 e seguintes da Lei nº 9.514, de 20 de novembro de 1997, conforme alterada,</w:t>
      </w:r>
      <w:r>
        <w:t xml:space="preserve"> observados os termos do Escritura de Alienação Fiduciária de Imóveis (“</w:t>
      </w:r>
      <w:r>
        <w:rPr>
          <w:u w:val="single"/>
        </w:rPr>
        <w:t>Alienação Fiduciária de Imóveis</w:t>
      </w:r>
      <w:r>
        <w:t>”, em conjunto com o Contrato de Cessão Fiduciária, “</w:t>
      </w:r>
      <w:r>
        <w:rPr>
          <w:u w:val="single"/>
        </w:rPr>
        <w:t>Contratos de Garantia</w:t>
      </w:r>
      <w:r>
        <w:t>”)</w:t>
      </w:r>
    </w:p>
    <w:p>
      <w:pPr>
        <w:spacing w:line="320" w:lineRule="exact"/>
        <w:jc w:val="both"/>
        <w:rPr>
          <w:rFonts w:ascii="Calibri" w:hAnsi="Calibri" w:cs="Calibri"/>
          <w:sz w:val="22"/>
          <w:szCs w:val="22"/>
        </w:rPr>
      </w:pPr>
    </w:p>
    <w:bookmarkEnd w:id="17"/>
    <w:bookmarkEnd w:id="18"/>
    <w:p>
      <w:pPr>
        <w:pStyle w:val="PargrafodaLista"/>
        <w:widowControl w:val="0"/>
        <w:numPr>
          <w:ilvl w:val="1"/>
          <w:numId w:val="11"/>
        </w:numPr>
        <w:tabs>
          <w:tab w:val="left" w:pos="1418"/>
        </w:tabs>
        <w:spacing w:line="320" w:lineRule="exact"/>
        <w:ind w:left="0" w:firstLine="0"/>
        <w:contextualSpacing/>
        <w:jc w:val="both"/>
        <w:rPr>
          <w:rFonts w:cs="Calibri"/>
        </w:rPr>
      </w:pPr>
      <w:r>
        <w:rPr>
          <w:rFonts w:cs="Calibri"/>
          <w:b/>
        </w:rPr>
        <w:t>Banco Liquidante.</w:t>
      </w:r>
      <w:r>
        <w:rPr>
          <w:rFonts w:cs="Calibri"/>
        </w:rPr>
        <w:t xml:space="preserve"> Banco Bradesco S.A., instituição financeira com sede na Cidade de Osasco, Estado de São Paulo na Avenida Yara, S/N, Cidade de Deus, Prédio Amarelo, 2º Andar, </w:t>
      </w:r>
      <w:r>
        <w:rPr>
          <w:rFonts w:cs="Calibri"/>
        </w:rPr>
        <w:lastRenderedPageBreak/>
        <w:t>inscrita no CNPJ/MF n.º 60.746.948/0001-12 (“</w:t>
      </w:r>
      <w:r>
        <w:rPr>
          <w:rFonts w:cs="Calibri"/>
          <w:u w:val="single"/>
        </w:rPr>
        <w:t>Banco Liquidante</w:t>
      </w:r>
      <w:r>
        <w:rPr>
          <w:rFonts w:cs="Calibri"/>
        </w:rPr>
        <w:t>”).</w:t>
      </w:r>
    </w:p>
    <w:p>
      <w:pPr>
        <w:pStyle w:val="PargrafodaLista"/>
        <w:spacing w:line="320" w:lineRule="exact"/>
        <w:rPr>
          <w:rFonts w:cs="Calibri"/>
        </w:rPr>
      </w:pPr>
    </w:p>
    <w:p>
      <w:pPr>
        <w:pStyle w:val="PargrafodaLista"/>
        <w:widowControl w:val="0"/>
        <w:numPr>
          <w:ilvl w:val="1"/>
          <w:numId w:val="11"/>
        </w:numPr>
        <w:tabs>
          <w:tab w:val="left" w:pos="1418"/>
        </w:tabs>
        <w:spacing w:line="320" w:lineRule="exact"/>
        <w:ind w:left="0" w:firstLine="0"/>
        <w:contextualSpacing/>
        <w:jc w:val="both"/>
        <w:rPr>
          <w:rFonts w:cs="Calibri"/>
        </w:rPr>
      </w:pPr>
      <w:r>
        <w:rPr>
          <w:rFonts w:cs="Calibri"/>
          <w:b/>
        </w:rPr>
        <w:t>Escriturador.</w:t>
      </w:r>
      <w:r>
        <w:rPr>
          <w:rFonts w:cs="Calibri"/>
        </w:rPr>
        <w:t xml:space="preserve"> Banco Bradesco S.A., instituição financeira com sede na Cidade de Osasco, Estado de São Paulo na Avenida Yara, S/N, Cidade de Deus, Prédio Amarelo, 2º Andar, inscrita no CNPJ/MF n.º 60.746.948/0001-12  (“</w:t>
      </w:r>
      <w:r>
        <w:rPr>
          <w:rFonts w:cs="Calibri"/>
          <w:u w:val="single"/>
        </w:rPr>
        <w:t>Escriturador</w:t>
      </w:r>
      <w:r>
        <w:rPr>
          <w:rFonts w:cs="Calibri"/>
        </w:rPr>
        <w:t>”).</w:t>
      </w:r>
    </w:p>
    <w:p>
      <w:pPr>
        <w:pStyle w:val="PargrafodaLista"/>
        <w:spacing w:line="320" w:lineRule="exact"/>
        <w:rPr>
          <w:sz w:val="24"/>
        </w:rPr>
      </w:pPr>
    </w:p>
    <w:p>
      <w:pPr>
        <w:pStyle w:val="PargrafodaLista"/>
        <w:widowControl w:val="0"/>
        <w:numPr>
          <w:ilvl w:val="1"/>
          <w:numId w:val="11"/>
        </w:numPr>
        <w:tabs>
          <w:tab w:val="left" w:pos="1418"/>
        </w:tabs>
        <w:spacing w:line="320" w:lineRule="exact"/>
        <w:ind w:left="0" w:firstLine="0"/>
        <w:contextualSpacing/>
        <w:jc w:val="both"/>
        <w:rPr>
          <w:rFonts w:eastAsia="Arial Unicode MS"/>
        </w:rPr>
      </w:pPr>
      <w:r>
        <w:rPr>
          <w:rFonts w:eastAsia="Arial Unicode MS"/>
          <w:b/>
        </w:rPr>
        <w:t xml:space="preserve">Atualização do Valor Nominal Unitário. </w:t>
      </w:r>
      <w:r>
        <w:rPr>
          <w:rFonts w:eastAsia="Arial Unicode MS"/>
        </w:rPr>
        <w:t xml:space="preserve">Não haverá atualização do Valor Nominal Unitário das Debêntures. </w:t>
      </w:r>
    </w:p>
    <w:p>
      <w:pPr>
        <w:spacing w:line="320" w:lineRule="exact"/>
        <w:jc w:val="both"/>
        <w:rPr>
          <w:rFonts w:ascii="Calibri" w:eastAsia="Arial Unicode MS" w:hAnsi="Calibri"/>
          <w:sz w:val="22"/>
          <w:szCs w:val="22"/>
        </w:rPr>
      </w:pPr>
    </w:p>
    <w:p>
      <w:pPr>
        <w:pStyle w:val="PargrafodaLista"/>
        <w:widowControl w:val="0"/>
        <w:numPr>
          <w:ilvl w:val="1"/>
          <w:numId w:val="11"/>
        </w:numPr>
        <w:tabs>
          <w:tab w:val="left" w:pos="1418"/>
        </w:tabs>
        <w:spacing w:line="320" w:lineRule="exact"/>
        <w:ind w:left="0" w:firstLine="0"/>
        <w:contextualSpacing/>
        <w:jc w:val="both"/>
        <w:rPr>
          <w:rFonts w:eastAsia="Arial Unicode MS"/>
          <w:b/>
        </w:rPr>
      </w:pPr>
      <w:r>
        <w:rPr>
          <w:rFonts w:eastAsia="Arial Unicode MS"/>
          <w:b/>
        </w:rPr>
        <w:t>Remuneração.</w:t>
      </w:r>
      <w:r>
        <w:rPr>
          <w:rFonts w:eastAsia="Arial Unicode MS"/>
          <w:b/>
        </w:rPr>
        <w:tab/>
        <w:t xml:space="preserve">Juros Remuneratórios. </w:t>
      </w:r>
    </w:p>
    <w:p>
      <w:pPr>
        <w:spacing w:line="320" w:lineRule="exact"/>
        <w:jc w:val="both"/>
        <w:rPr>
          <w:rFonts w:ascii="Calibri" w:eastAsia="Arial Unicode MS" w:hAnsi="Calibri"/>
          <w:b/>
          <w:sz w:val="22"/>
          <w:szCs w:val="22"/>
        </w:rPr>
      </w:pPr>
    </w:p>
    <w:p>
      <w:pPr>
        <w:pStyle w:val="PargrafodaLista"/>
        <w:widowControl w:val="0"/>
        <w:numPr>
          <w:ilvl w:val="2"/>
          <w:numId w:val="32"/>
        </w:numPr>
        <w:tabs>
          <w:tab w:val="left" w:pos="1418"/>
        </w:tabs>
        <w:spacing w:line="320" w:lineRule="exact"/>
        <w:ind w:left="0" w:firstLine="0"/>
        <w:contextualSpacing/>
        <w:jc w:val="both"/>
        <w:rPr>
          <w:rFonts w:cs="Arial"/>
          <w:u w:val="single"/>
        </w:rPr>
      </w:pPr>
      <w:r>
        <w:t xml:space="preserve">As Debêntures farão </w:t>
      </w:r>
      <w:r>
        <w:rPr>
          <w:rFonts w:cs="Arial"/>
        </w:rPr>
        <w:t>jus, desde a primeira Data de Integralização, à remuneração equivalente a 100,00% (cem por cento) da variação acumulada das taxas médias diárias dos DI over extra grupo - Depósitos Interfinanceiros de um dia, calculadas e divulgadas pela B3 S.A. – Brasil, Bolsa, Balcão ("</w:t>
      </w:r>
      <w:r>
        <w:rPr>
          <w:rFonts w:cs="Arial"/>
          <w:u w:val="single"/>
        </w:rPr>
        <w:t>B3</w:t>
      </w:r>
      <w:r>
        <w:rPr>
          <w:rFonts w:cs="Arial"/>
        </w:rPr>
        <w:t>"), no Informativo Diário, disponível em sua página na Internet (http://www.cetip.com.br), base 252 (duzentos e cinquenta e dois) dias úteis, expressa na forma percentual ao ano (“</w:t>
      </w:r>
      <w:r>
        <w:rPr>
          <w:rFonts w:cs="Arial"/>
          <w:u w:val="single"/>
        </w:rPr>
        <w:t>Taxa DI</w:t>
      </w:r>
      <w:r>
        <w:rPr>
          <w:rFonts w:cs="Arial"/>
        </w:rPr>
        <w:t xml:space="preserve">”), acrescidos exponencialmente de uma sobretaxa, expressa na forma percentual ao ano, base 252 (duzentos e cinquenta e dois) dias úteis, de 2,25% a.a. (dois inteiros e vinte e cinco centésimos por cento ao ano), calculada de forma exponencial e cumulativa </w:t>
      </w:r>
      <w:r>
        <w:rPr>
          <w:rFonts w:cs="Arial"/>
          <w:i/>
        </w:rPr>
        <w:t>pro rata temporis</w:t>
      </w:r>
      <w:r>
        <w:rPr>
          <w:rFonts w:cs="Arial"/>
        </w:rPr>
        <w:t>, por dias Úteis decorridos desde a Data da Integralização ou desde a data de pagamento de juros remuneratórios imediatamente anterior, conforme o caso (“</w:t>
      </w:r>
      <w:r>
        <w:rPr>
          <w:rFonts w:cs="Arial"/>
          <w:u w:val="single"/>
        </w:rPr>
        <w:t>Juros Remuneratórios</w:t>
      </w:r>
      <w:r>
        <w:rPr>
          <w:rFonts w:cs="Arial"/>
        </w:rPr>
        <w:t xml:space="preserve">”). </w:t>
      </w:r>
    </w:p>
    <w:p>
      <w:pPr>
        <w:spacing w:line="320" w:lineRule="exact"/>
        <w:jc w:val="both"/>
        <w:rPr>
          <w:rFonts w:ascii="Calibri" w:hAnsi="Calibri"/>
          <w:sz w:val="22"/>
          <w:szCs w:val="22"/>
        </w:rPr>
      </w:pPr>
    </w:p>
    <w:p>
      <w:pPr>
        <w:pStyle w:val="PargrafodaLista"/>
        <w:widowControl w:val="0"/>
        <w:numPr>
          <w:ilvl w:val="2"/>
          <w:numId w:val="32"/>
        </w:numPr>
        <w:tabs>
          <w:tab w:val="left" w:pos="1418"/>
        </w:tabs>
        <w:spacing w:line="320" w:lineRule="exact"/>
        <w:ind w:left="0" w:firstLine="0"/>
        <w:contextualSpacing/>
        <w:jc w:val="both"/>
        <w:rPr>
          <w:rFonts w:cs="Arial"/>
        </w:rPr>
      </w:pPr>
      <w:r>
        <w:t xml:space="preserve">Os Juros Remuneratórios </w:t>
      </w:r>
      <w:r>
        <w:rPr>
          <w:rFonts w:eastAsia="Arial Unicode MS"/>
        </w:rPr>
        <w:t>serão calculados</w:t>
      </w:r>
      <w:r>
        <w:rPr>
          <w:rFonts w:cs="Arial"/>
        </w:rPr>
        <w:t xml:space="preserve"> de forma exponencial e cumulativa, </w:t>
      </w:r>
      <w:r>
        <w:rPr>
          <w:rFonts w:cs="Arial"/>
          <w:i/>
          <w:iCs/>
        </w:rPr>
        <w:t>pro rata temporis</w:t>
      </w:r>
      <w:r>
        <w:rPr>
          <w:rFonts w:cs="Arial"/>
        </w:rPr>
        <w:t xml:space="preserve"> por dias úteis decorridos, incidentes sobre o saldo do Valor Nominal Unitário das Debêntures, desde a primeira Data de Integralização</w:t>
      </w:r>
      <w:r>
        <w:t xml:space="preserve"> e serão pagos mensalmente, todo dia 25 de cada mês a </w:t>
      </w:r>
      <w:r>
        <w:rPr>
          <w:rFonts w:cs="Arial"/>
        </w:rPr>
        <w:t>contar da Data de Emissão, conforme previsto na tabela constante do item 6.17.1 abaixo,</w:t>
      </w:r>
      <w:r>
        <w:t xml:space="preserve"> </w:t>
      </w:r>
      <w:r>
        <w:rPr>
          <w:rFonts w:eastAsia="Arial Unicode MS"/>
        </w:rPr>
        <w:t>ou na data da liquidação antecipada resultante do vencimento antecipado das Debêntures em razão da ocorrência de um dos eventos de vencimento antecipado relacionados abaixo</w:t>
      </w:r>
      <w:r>
        <w:t xml:space="preserve"> </w:t>
      </w:r>
      <w:r>
        <w:rPr>
          <w:rFonts w:eastAsia="Arial Unicode MS"/>
        </w:rPr>
        <w:t>ou na data do Resgate (conforme definido abaixo)</w:t>
      </w:r>
      <w:r>
        <w:rPr>
          <w:rFonts w:cs="Arial"/>
        </w:rPr>
        <w:t>, conforme o caso</w:t>
      </w:r>
      <w:r>
        <w:t xml:space="preserve">. </w:t>
      </w:r>
    </w:p>
    <w:p>
      <w:pPr>
        <w:spacing w:line="320" w:lineRule="exact"/>
        <w:jc w:val="both"/>
        <w:rPr>
          <w:rFonts w:ascii="Calibri" w:hAnsi="Calibri"/>
          <w:sz w:val="22"/>
          <w:szCs w:val="22"/>
        </w:rPr>
      </w:pPr>
    </w:p>
    <w:p>
      <w:pPr>
        <w:pStyle w:val="PargrafodaLista"/>
        <w:widowControl w:val="0"/>
        <w:numPr>
          <w:ilvl w:val="2"/>
          <w:numId w:val="32"/>
        </w:numPr>
        <w:tabs>
          <w:tab w:val="left" w:pos="1418"/>
        </w:tabs>
        <w:spacing w:line="320" w:lineRule="exact"/>
        <w:ind w:left="0" w:firstLine="0"/>
        <w:contextualSpacing/>
        <w:jc w:val="both"/>
        <w:rPr>
          <w:rFonts w:eastAsia="Arial Unicode MS"/>
        </w:rPr>
      </w:pPr>
      <w:r>
        <w:rPr>
          <w:rFonts w:eastAsia="Arial Unicode MS"/>
        </w:rPr>
        <w:t>Define-se “</w:t>
      </w:r>
      <w:r>
        <w:rPr>
          <w:rFonts w:eastAsia="Arial Unicode MS"/>
          <w:u w:val="single"/>
        </w:rPr>
        <w:t>Período de Capitalização</w:t>
      </w:r>
      <w:r>
        <w:rPr>
          <w:rFonts w:eastAsia="Arial Unicode MS"/>
        </w:rPr>
        <w:t xml:space="preserve">” como o intervalo de tempo que se inicia na primeira Data de Integralização (inclusive), no caso do primeiro Período de Capitalização, ou na data do pagamento dos Juros Remuneratórios imediatamente anterior (inclusive), no caso dos demais Períodos de Capitalização, e termina na data do pagamento dos Juros Remuneratórios correspondente ao período em questão (exclusive). Cada Período de Capitalização sucede o anterior sem solução de continuidade, até a Data de Vencimento, Resgate ou vencimento antecipado das Debêntures, conforme o caso, nos termos desta Escritura. </w:t>
      </w:r>
    </w:p>
    <w:p>
      <w:pPr>
        <w:pStyle w:val="Recuodecorpodetexto"/>
        <w:tabs>
          <w:tab w:val="left" w:pos="1418"/>
        </w:tabs>
        <w:spacing w:after="0" w:line="320" w:lineRule="exact"/>
        <w:ind w:left="0"/>
        <w:jc w:val="both"/>
        <w:rPr>
          <w:rFonts w:ascii="Calibri" w:hAnsi="Calibri"/>
          <w:sz w:val="22"/>
          <w:szCs w:val="22"/>
        </w:rPr>
      </w:pPr>
    </w:p>
    <w:p>
      <w:pPr>
        <w:pStyle w:val="PargrafodaLista"/>
        <w:widowControl w:val="0"/>
        <w:numPr>
          <w:ilvl w:val="2"/>
          <w:numId w:val="32"/>
        </w:numPr>
        <w:tabs>
          <w:tab w:val="left" w:pos="1418"/>
        </w:tabs>
        <w:spacing w:line="320" w:lineRule="exact"/>
        <w:ind w:left="0" w:firstLine="0"/>
        <w:contextualSpacing/>
        <w:jc w:val="both"/>
      </w:pPr>
      <w:r>
        <w:t xml:space="preserve">Os Juros Remuneratórios deverão ser calculados de acordo com a seguinte fórmula: </w:t>
      </w:r>
    </w:p>
    <w:p>
      <w:pPr>
        <w:pStyle w:val="Recuodecorpodetexto"/>
        <w:spacing w:after="0" w:line="320" w:lineRule="exact"/>
        <w:ind w:left="720" w:hanging="720"/>
        <w:jc w:val="both"/>
        <w:rPr>
          <w:rFonts w:ascii="Calibri" w:hAnsi="Calibri"/>
          <w:sz w:val="22"/>
          <w:szCs w:val="22"/>
        </w:rPr>
      </w:pPr>
      <w:bookmarkStart w:id="22" w:name="_DV_C91"/>
    </w:p>
    <w:p>
      <w:pPr>
        <w:spacing w:line="320" w:lineRule="exact"/>
        <w:jc w:val="center"/>
        <w:rPr>
          <w:rFonts w:ascii="Calibri" w:hAnsi="Calibri"/>
          <w:color w:val="000000"/>
          <w:sz w:val="22"/>
          <w:szCs w:val="22"/>
        </w:rPr>
      </w:pPr>
    </w:p>
    <w:p>
      <w:pPr>
        <w:pStyle w:val="Recuodecorpodetexto"/>
        <w:spacing w:after="0" w:line="320" w:lineRule="exact"/>
        <w:ind w:left="0"/>
        <w:jc w:val="center"/>
        <w:rPr>
          <w:rFonts w:ascii="Calibri" w:hAnsi="Calibri" w:cs="Arial"/>
          <w:sz w:val="22"/>
          <w:szCs w:val="22"/>
        </w:rPr>
      </w:pPr>
      <w:r>
        <w:rPr>
          <w:rFonts w:ascii="Calibri" w:hAnsi="Calibri" w:cs="Arial"/>
          <w:sz w:val="22"/>
          <w:szCs w:val="22"/>
        </w:rPr>
        <w:t xml:space="preserve">J = </w:t>
      </w:r>
      <w:r>
        <w:rPr>
          <w:rFonts w:ascii="Calibri" w:hAnsi="Calibri" w:cs="Arial"/>
          <w:i/>
          <w:sz w:val="22"/>
          <w:szCs w:val="22"/>
        </w:rPr>
        <w:t>VNe</w:t>
      </w:r>
      <w:r>
        <w:rPr>
          <w:rFonts w:ascii="Calibri" w:hAnsi="Calibri" w:cs="Arial"/>
          <w:sz w:val="22"/>
          <w:szCs w:val="22"/>
        </w:rPr>
        <w:t xml:space="preserve"> x (Fator </w:t>
      </w:r>
      <w:r>
        <w:rPr>
          <w:rFonts w:ascii="Calibri" w:hAnsi="Calibri" w:cs="Arial"/>
          <w:sz w:val="22"/>
          <w:szCs w:val="22"/>
          <w:lang w:val="pt-BR"/>
        </w:rPr>
        <w:t>Juros</w:t>
      </w:r>
      <w:r>
        <w:rPr>
          <w:rFonts w:ascii="Calibri" w:hAnsi="Calibri" w:cs="Arial"/>
          <w:sz w:val="22"/>
          <w:szCs w:val="22"/>
        </w:rPr>
        <w:t xml:space="preserve"> – 1)</w:t>
      </w:r>
    </w:p>
    <w:p>
      <w:pPr>
        <w:pStyle w:val="Recuodecorpodetexto"/>
        <w:spacing w:after="0" w:line="320" w:lineRule="exact"/>
        <w:ind w:left="0"/>
        <w:jc w:val="both"/>
        <w:rPr>
          <w:rFonts w:ascii="Calibri" w:hAnsi="Calibri" w:cs="Arial"/>
          <w:sz w:val="22"/>
          <w:szCs w:val="22"/>
        </w:rPr>
      </w:pPr>
      <w:r>
        <w:rPr>
          <w:rFonts w:ascii="Calibri" w:hAnsi="Calibri" w:cs="Arial"/>
          <w:sz w:val="22"/>
          <w:szCs w:val="22"/>
        </w:rPr>
        <w:t>Sendo que:</w:t>
      </w:r>
    </w:p>
    <w:p>
      <w:pPr>
        <w:pStyle w:val="Recuodecorpodetexto"/>
        <w:spacing w:after="0" w:line="320" w:lineRule="exact"/>
        <w:ind w:left="0"/>
        <w:jc w:val="both"/>
        <w:rPr>
          <w:rFonts w:ascii="Calibri" w:hAnsi="Calibri" w:cs="Arial"/>
          <w:sz w:val="22"/>
          <w:szCs w:val="22"/>
        </w:rPr>
      </w:pPr>
    </w:p>
    <w:p>
      <w:pPr>
        <w:pStyle w:val="Recuodecorpodetexto"/>
        <w:spacing w:after="0" w:line="320" w:lineRule="exact"/>
        <w:ind w:left="0"/>
        <w:jc w:val="both"/>
        <w:rPr>
          <w:rFonts w:ascii="Calibri" w:hAnsi="Calibri" w:cs="Arial"/>
          <w:sz w:val="22"/>
          <w:szCs w:val="22"/>
        </w:rPr>
      </w:pPr>
      <w:r>
        <w:rPr>
          <w:rFonts w:ascii="Calibri" w:hAnsi="Calibri" w:cs="Arial"/>
          <w:sz w:val="22"/>
          <w:szCs w:val="22"/>
        </w:rPr>
        <w:t xml:space="preserve">J = valor unitário dos Juros Remuneratórios </w:t>
      </w:r>
      <w:r>
        <w:rPr>
          <w:rFonts w:ascii="Calibri" w:hAnsi="Calibri" w:cs="Arial"/>
          <w:sz w:val="22"/>
          <w:szCs w:val="22"/>
          <w:lang w:val="pt-BR"/>
        </w:rPr>
        <w:t>acumulado em cada Período</w:t>
      </w:r>
      <w:r>
        <w:rPr>
          <w:rFonts w:ascii="Calibri" w:hAnsi="Calibri" w:cs="Arial"/>
          <w:sz w:val="22"/>
          <w:szCs w:val="22"/>
        </w:rPr>
        <w:t xml:space="preserve"> </w:t>
      </w:r>
      <w:r>
        <w:rPr>
          <w:rFonts w:ascii="Calibri" w:hAnsi="Calibri" w:cs="Arial"/>
          <w:sz w:val="22"/>
          <w:szCs w:val="22"/>
          <w:lang w:val="pt-BR"/>
        </w:rPr>
        <w:t xml:space="preserve">de Capitalização, </w:t>
      </w:r>
      <w:r>
        <w:rPr>
          <w:rFonts w:ascii="Calibri" w:hAnsi="Calibri" w:cs="Arial"/>
          <w:sz w:val="22"/>
          <w:szCs w:val="22"/>
        </w:rPr>
        <w:t>calculado com 8 (oito) casas decimais, sem arredondamento;</w:t>
      </w:r>
    </w:p>
    <w:p>
      <w:pPr>
        <w:pStyle w:val="Recuodecorpodetexto"/>
        <w:spacing w:after="0" w:line="320" w:lineRule="exact"/>
        <w:ind w:left="0"/>
        <w:jc w:val="both"/>
        <w:rPr>
          <w:rFonts w:ascii="Calibri" w:hAnsi="Calibri" w:cs="Arial"/>
          <w:sz w:val="22"/>
          <w:szCs w:val="22"/>
        </w:rPr>
      </w:pPr>
      <w:r>
        <w:rPr>
          <w:rFonts w:ascii="Calibri" w:hAnsi="Calibri" w:cs="Arial"/>
          <w:sz w:val="22"/>
          <w:szCs w:val="22"/>
        </w:rPr>
        <w:t>VNe = Valor Nominal Unitário ou saldo do Valor Nominal Unitário</w:t>
      </w:r>
      <w:r>
        <w:rPr>
          <w:rFonts w:ascii="Calibri" w:hAnsi="Calibri" w:cs="Arial"/>
          <w:sz w:val="22"/>
          <w:szCs w:val="22"/>
          <w:lang w:val="pt-BR"/>
        </w:rPr>
        <w:t>, após a data de amortização do Valor Nominal Unitário</w:t>
      </w:r>
      <w:r>
        <w:rPr>
          <w:rFonts w:ascii="Calibri" w:hAnsi="Calibri" w:cs="Arial"/>
          <w:sz w:val="22"/>
          <w:szCs w:val="22"/>
        </w:rPr>
        <w:t>, conforme o caso, da Debênture, calculado com 8 (oito) casas decimais, sem arredondamento;</w:t>
      </w:r>
    </w:p>
    <w:p>
      <w:pPr>
        <w:pStyle w:val="Recuodecorpodetexto"/>
        <w:spacing w:after="0" w:line="320" w:lineRule="exact"/>
        <w:ind w:left="0"/>
        <w:jc w:val="both"/>
        <w:rPr>
          <w:rFonts w:ascii="Calibri" w:hAnsi="Calibri" w:cs="Arial"/>
          <w:sz w:val="22"/>
          <w:szCs w:val="22"/>
          <w:lang w:val="pt-BR"/>
        </w:rPr>
      </w:pPr>
      <w:r>
        <w:rPr>
          <w:rFonts w:ascii="Calibri" w:hAnsi="Calibri" w:cs="Arial"/>
          <w:sz w:val="22"/>
          <w:szCs w:val="22"/>
        </w:rPr>
        <w:t xml:space="preserve">Fator </w:t>
      </w:r>
      <w:r>
        <w:rPr>
          <w:rFonts w:ascii="Calibri" w:hAnsi="Calibri" w:cs="Arial"/>
          <w:sz w:val="22"/>
          <w:szCs w:val="22"/>
          <w:lang w:val="pt-BR"/>
        </w:rPr>
        <w:t>Juros</w:t>
      </w:r>
      <w:r>
        <w:rPr>
          <w:rFonts w:ascii="Calibri" w:hAnsi="Calibri" w:cs="Arial"/>
          <w:sz w:val="22"/>
          <w:szCs w:val="22"/>
        </w:rPr>
        <w:t xml:space="preserve"> = fator de juros composto pelo parâmetro de flutuação acrescido de </w:t>
      </w:r>
      <w:r>
        <w:rPr>
          <w:rFonts w:ascii="Calibri" w:hAnsi="Calibri" w:cs="Arial"/>
          <w:i/>
          <w:sz w:val="22"/>
          <w:szCs w:val="22"/>
        </w:rPr>
        <w:t>spread</w:t>
      </w:r>
      <w:r>
        <w:rPr>
          <w:rFonts w:ascii="Calibri" w:hAnsi="Calibri" w:cs="Arial"/>
          <w:sz w:val="22"/>
          <w:szCs w:val="22"/>
        </w:rPr>
        <w:t xml:space="preserve"> calculado com 9 (nove) casas decimais, com arredondamento, apurado da seguinte forma:</w:t>
      </w:r>
    </w:p>
    <w:p>
      <w:pPr>
        <w:pStyle w:val="Recuodecorpodetexto"/>
        <w:spacing w:after="0" w:line="320" w:lineRule="exact"/>
        <w:ind w:left="0"/>
        <w:jc w:val="both"/>
        <w:rPr>
          <w:rFonts w:ascii="Calibri" w:hAnsi="Calibri" w:cs="Arial"/>
          <w:sz w:val="22"/>
          <w:szCs w:val="22"/>
          <w:lang w:val="pt-BR"/>
        </w:rPr>
      </w:pPr>
    </w:p>
    <w:p>
      <w:pPr>
        <w:pStyle w:val="Recuodecorpodetexto"/>
        <w:spacing w:after="0" w:line="320" w:lineRule="exact"/>
        <w:ind w:left="0"/>
        <w:jc w:val="center"/>
        <w:rPr>
          <w:rFonts w:ascii="Calibri" w:hAnsi="Calibri" w:cs="Arial"/>
          <w:sz w:val="22"/>
          <w:szCs w:val="22"/>
        </w:rPr>
      </w:pPr>
      <w:r>
        <w:rPr>
          <w:rFonts w:ascii="Calibri" w:hAnsi="Calibri" w:cs="Arial"/>
          <w:sz w:val="22"/>
          <w:szCs w:val="22"/>
        </w:rPr>
        <w:t>Fator</w:t>
      </w:r>
      <w:r>
        <w:rPr>
          <w:rFonts w:ascii="Calibri" w:hAnsi="Calibri" w:cs="Arial"/>
          <w:sz w:val="22"/>
          <w:szCs w:val="22"/>
          <w:lang w:val="pt-BR"/>
        </w:rPr>
        <w:t xml:space="preserve"> </w:t>
      </w:r>
      <w:r>
        <w:rPr>
          <w:rFonts w:ascii="Calibri" w:hAnsi="Calibri" w:cs="Arial"/>
          <w:sz w:val="22"/>
          <w:szCs w:val="22"/>
        </w:rPr>
        <w:t>Juros = (Fator</w:t>
      </w:r>
      <w:r>
        <w:rPr>
          <w:rFonts w:ascii="Calibri" w:hAnsi="Calibri" w:cs="Arial"/>
          <w:sz w:val="22"/>
          <w:szCs w:val="22"/>
          <w:lang w:val="pt-BR"/>
        </w:rPr>
        <w:t xml:space="preserve"> </w:t>
      </w:r>
      <w:r>
        <w:rPr>
          <w:rFonts w:ascii="Calibri" w:hAnsi="Calibri" w:cs="Arial"/>
          <w:sz w:val="22"/>
          <w:szCs w:val="22"/>
        </w:rPr>
        <w:t>DI x Fator</w:t>
      </w:r>
      <w:r>
        <w:rPr>
          <w:rFonts w:ascii="Calibri" w:hAnsi="Calibri" w:cs="Arial"/>
          <w:sz w:val="22"/>
          <w:szCs w:val="22"/>
          <w:lang w:val="pt-BR"/>
        </w:rPr>
        <w:t xml:space="preserve"> </w:t>
      </w:r>
      <w:r>
        <w:rPr>
          <w:rFonts w:ascii="Calibri" w:hAnsi="Calibri" w:cs="Arial"/>
          <w:sz w:val="22"/>
          <w:szCs w:val="22"/>
        </w:rPr>
        <w:t>Spread)</w:t>
      </w:r>
    </w:p>
    <w:p>
      <w:pPr>
        <w:pStyle w:val="Recuodecorpodetexto"/>
        <w:spacing w:after="0" w:line="320" w:lineRule="exact"/>
        <w:ind w:left="0"/>
        <w:rPr>
          <w:rFonts w:ascii="Calibri" w:hAnsi="Calibri" w:cs="Arial"/>
          <w:sz w:val="22"/>
          <w:szCs w:val="22"/>
        </w:rPr>
      </w:pPr>
      <w:r>
        <w:rPr>
          <w:rFonts w:ascii="Calibri" w:hAnsi="Calibri" w:cs="Arial"/>
          <w:sz w:val="22"/>
          <w:szCs w:val="22"/>
        </w:rPr>
        <w:t>Sendo que:</w:t>
      </w:r>
    </w:p>
    <w:p>
      <w:pPr>
        <w:pStyle w:val="Recuodecorpodetexto"/>
        <w:spacing w:after="0" w:line="320" w:lineRule="exact"/>
        <w:ind w:left="0"/>
        <w:rPr>
          <w:rFonts w:ascii="Calibri" w:hAnsi="Calibri" w:cs="Arial"/>
          <w:sz w:val="22"/>
          <w:szCs w:val="22"/>
        </w:rPr>
      </w:pPr>
      <w:r>
        <w:rPr>
          <w:rFonts w:ascii="Calibri" w:hAnsi="Calibri" w:cs="Arial"/>
          <w:sz w:val="22"/>
          <w:szCs w:val="22"/>
        </w:rPr>
        <w:t>Fator</w:t>
      </w:r>
      <w:r>
        <w:rPr>
          <w:rFonts w:ascii="Calibri" w:hAnsi="Calibri" w:cs="Arial"/>
          <w:sz w:val="22"/>
          <w:szCs w:val="22"/>
          <w:lang w:val="pt-BR"/>
        </w:rPr>
        <w:t xml:space="preserve"> </w:t>
      </w:r>
      <w:r>
        <w:rPr>
          <w:rFonts w:ascii="Calibri" w:hAnsi="Calibri" w:cs="Arial"/>
          <w:sz w:val="22"/>
          <w:szCs w:val="22"/>
        </w:rPr>
        <w:t xml:space="preserve">DI = produtório das Taxas DI da data de início do Período de Capitalização (inclusive) até a data de cálculo </w:t>
      </w:r>
      <w:r>
        <w:rPr>
          <w:rFonts w:ascii="Calibri" w:hAnsi="Calibri" w:cs="Arial"/>
          <w:sz w:val="22"/>
          <w:szCs w:val="22"/>
          <w:lang w:val="pt-BR"/>
        </w:rPr>
        <w:t>dos Juros Remuneratórios</w:t>
      </w:r>
      <w:r>
        <w:rPr>
          <w:rFonts w:ascii="Calibri" w:hAnsi="Calibri" w:cs="Arial"/>
          <w:sz w:val="22"/>
          <w:szCs w:val="22"/>
        </w:rPr>
        <w:t xml:space="preserve"> (exclusive), calculado com 8 (oito) casas decimais, com arredondamento, apurado da seguinte forma:</w:t>
      </w:r>
    </w:p>
    <w:p>
      <w:pPr>
        <w:pStyle w:val="Recuodecorpodetexto"/>
        <w:spacing w:after="0" w:line="320" w:lineRule="exact"/>
        <w:ind w:left="0"/>
        <w:rPr>
          <w:rFonts w:ascii="Calibri" w:hAnsi="Calibri" w:cs="Arial"/>
          <w:sz w:val="22"/>
          <w:szCs w:val="22"/>
        </w:rPr>
      </w:pPr>
    </w:p>
    <w:p>
      <w:pPr>
        <w:pStyle w:val="Recuodecorpodetexto"/>
        <w:spacing w:after="0" w:line="320" w:lineRule="exact"/>
        <w:ind w:left="0"/>
        <w:rPr>
          <w:rFonts w:ascii="Calibri" w:hAnsi="Calibri" w:cs="Arial"/>
          <w:sz w:val="22"/>
          <w:szCs w:val="22"/>
        </w:rPr>
      </w:pPr>
    </w:p>
    <w:p>
      <w:pPr>
        <w:pStyle w:val="Recuodecorpodetexto"/>
        <w:spacing w:after="0" w:line="320" w:lineRule="exact"/>
        <w:ind w:left="0"/>
        <w:jc w:val="center"/>
        <w:rPr>
          <w:noProof/>
          <w:lang w:val="pt-BR" w:eastAsia="pt-BR"/>
        </w:rPr>
      </w:pPr>
      <w:r>
        <w:rPr>
          <w:noProof/>
          <w:lang w:val="pt-BR" w:eastAsia="pt-BR"/>
        </w:rPr>
        <mc:AlternateContent>
          <mc:Choice Requires="wpc">
            <w:drawing>
              <wp:inline distT="0" distB="0" distL="0" distR="0">
                <wp:extent cx="1635125" cy="484505"/>
                <wp:effectExtent l="1270" t="0" r="1905" b="1905"/>
                <wp:docPr id="101" name="Canvas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2" name="Rectangle 102"/>
                        <wps:cNvSpPr>
                          <a:spLocks noChangeArrowheads="1"/>
                        </wps:cNvSpPr>
                        <wps:spPr bwMode="auto">
                          <a:xfrm>
                            <a:off x="900430" y="54610"/>
                            <a:ext cx="7239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34"/>
                                  <w:szCs w:val="34"/>
                                  <w:lang w:val="en-US"/>
                                </w:rPr>
                                <w:t></w:t>
                              </w:r>
                            </w:p>
                          </w:txbxContent>
                        </wps:txbx>
                        <wps:bodyPr rot="0" vert="horz" wrap="none" lIns="0" tIns="0" rIns="0" bIns="0" anchor="t" anchorCtr="0">
                          <a:spAutoFit/>
                        </wps:bodyPr>
                      </wps:wsp>
                      <wps:wsp>
                        <wps:cNvPr id="63" name="Rectangle 103"/>
                        <wps:cNvSpPr>
                          <a:spLocks noChangeArrowheads="1"/>
                        </wps:cNvSpPr>
                        <wps:spPr bwMode="auto">
                          <a:xfrm>
                            <a:off x="1492885" y="54610"/>
                            <a:ext cx="7239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34"/>
                                  <w:szCs w:val="34"/>
                                  <w:lang w:val="en-US"/>
                                </w:rPr>
                                <w:t></w:t>
                              </w:r>
                            </w:p>
                          </w:txbxContent>
                        </wps:txbx>
                        <wps:bodyPr rot="0" vert="horz" wrap="none" lIns="0" tIns="0" rIns="0" bIns="0" anchor="t" anchorCtr="0">
                          <a:spAutoFit/>
                        </wps:bodyPr>
                      </wps:wsp>
                      <wps:wsp>
                        <wps:cNvPr id="64" name="Rectangle 104"/>
                        <wps:cNvSpPr>
                          <a:spLocks noChangeArrowheads="1"/>
                        </wps:cNvSpPr>
                        <wps:spPr bwMode="auto">
                          <a:xfrm>
                            <a:off x="695325" y="66040"/>
                            <a:ext cx="19875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38"/>
                                  <w:szCs w:val="38"/>
                                  <w:lang w:val="en-US"/>
                                </w:rPr>
                                <w:t></w:t>
                              </w:r>
                            </w:p>
                          </w:txbxContent>
                        </wps:txbx>
                        <wps:bodyPr rot="0" vert="horz" wrap="none" lIns="0" tIns="0" rIns="0" bIns="0" anchor="t" anchorCtr="0">
                          <a:spAutoFit/>
                        </wps:bodyPr>
                      </wps:wsp>
                      <wps:wsp>
                        <wps:cNvPr id="65" name="Rectangle 105"/>
                        <wps:cNvSpPr>
                          <a:spLocks noChangeArrowheads="1"/>
                        </wps:cNvSpPr>
                        <wps:spPr bwMode="auto">
                          <a:xfrm>
                            <a:off x="778510" y="336550"/>
                            <a:ext cx="5588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16"/>
                                  <w:szCs w:val="16"/>
                                  <w:lang w:val="en-US"/>
                                </w:rPr>
                                <w:t></w:t>
                              </w:r>
                            </w:p>
                          </w:txbxContent>
                        </wps:txbx>
                        <wps:bodyPr rot="0" vert="horz" wrap="none" lIns="0" tIns="0" rIns="0" bIns="0" anchor="t" anchorCtr="0">
                          <a:spAutoFit/>
                        </wps:bodyPr>
                      </wps:wsp>
                      <wps:wsp>
                        <wps:cNvPr id="66" name="Rectangle 106"/>
                        <wps:cNvSpPr>
                          <a:spLocks noChangeArrowheads="1"/>
                        </wps:cNvSpPr>
                        <wps:spPr bwMode="auto">
                          <a:xfrm>
                            <a:off x="1029970" y="109220"/>
                            <a:ext cx="9080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67" name="Rectangle 107"/>
                        <wps:cNvSpPr>
                          <a:spLocks noChangeArrowheads="1"/>
                        </wps:cNvSpPr>
                        <wps:spPr bwMode="auto">
                          <a:xfrm>
                            <a:off x="581025" y="109220"/>
                            <a:ext cx="9080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68" name="Rectangle 108"/>
                        <wps:cNvSpPr>
                          <a:spLocks noChangeArrowheads="1"/>
                        </wps:cNvSpPr>
                        <wps:spPr bwMode="auto">
                          <a:xfrm>
                            <a:off x="768350" y="18415"/>
                            <a:ext cx="514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n</w:t>
                              </w:r>
                            </w:p>
                          </w:txbxContent>
                        </wps:txbx>
                        <wps:bodyPr rot="0" vert="horz" wrap="none" lIns="0" tIns="0" rIns="0" bIns="0" anchor="t" anchorCtr="0">
                          <a:spAutoFit/>
                        </wps:bodyPr>
                      </wps:wsp>
                      <wps:wsp>
                        <wps:cNvPr id="69" name="Rectangle 109"/>
                        <wps:cNvSpPr>
                          <a:spLocks noChangeArrowheads="1"/>
                        </wps:cNvSpPr>
                        <wps:spPr bwMode="auto">
                          <a:xfrm>
                            <a:off x="821690" y="346710"/>
                            <a:ext cx="514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1</w:t>
                              </w:r>
                            </w:p>
                          </w:txbxContent>
                        </wps:txbx>
                        <wps:bodyPr rot="0" vert="horz" wrap="none" lIns="0" tIns="0" rIns="0" bIns="0" anchor="t" anchorCtr="0">
                          <a:spAutoFit/>
                        </wps:bodyPr>
                      </wps:wsp>
                      <wps:wsp>
                        <wps:cNvPr id="70" name="Rectangle 110"/>
                        <wps:cNvSpPr>
                          <a:spLocks noChangeArrowheads="1"/>
                        </wps:cNvSpPr>
                        <wps:spPr bwMode="auto">
                          <a:xfrm>
                            <a:off x="725805" y="346710"/>
                            <a:ext cx="514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k</w:t>
                              </w:r>
                            </w:p>
                          </w:txbxContent>
                        </wps:txbx>
                        <wps:bodyPr rot="0" vert="horz" wrap="none" lIns="0" tIns="0" rIns="0" bIns="0" anchor="t" anchorCtr="0">
                          <a:spAutoFit/>
                        </wps:bodyPr>
                      </wps:wsp>
                      <wps:wsp>
                        <wps:cNvPr id="71" name="Rectangle 111"/>
                        <wps:cNvSpPr>
                          <a:spLocks noChangeArrowheads="1"/>
                        </wps:cNvSpPr>
                        <wps:spPr bwMode="auto">
                          <a:xfrm>
                            <a:off x="1418590" y="229235"/>
                            <a:ext cx="514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k</w:t>
                              </w:r>
                            </w:p>
                          </w:txbxContent>
                        </wps:txbx>
                        <wps:bodyPr rot="0" vert="horz" wrap="none" lIns="0" tIns="0" rIns="0" bIns="0" anchor="t" anchorCtr="0">
                          <a:spAutoFit/>
                        </wps:bodyPr>
                      </wps:wsp>
                      <wps:wsp>
                        <wps:cNvPr id="72" name="Rectangle 112"/>
                        <wps:cNvSpPr>
                          <a:spLocks noChangeArrowheads="1"/>
                        </wps:cNvSpPr>
                        <wps:spPr bwMode="auto">
                          <a:xfrm>
                            <a:off x="1149985" y="127635"/>
                            <a:ext cx="2755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TDI</w:t>
                              </w:r>
                            </w:p>
                          </w:txbxContent>
                        </wps:txbx>
                        <wps:bodyPr rot="0" vert="horz" wrap="none" lIns="0" tIns="0" rIns="0" bIns="0" anchor="t" anchorCtr="0">
                          <a:spAutoFit/>
                        </wps:bodyPr>
                      </wps:wsp>
                      <wps:wsp>
                        <wps:cNvPr id="73" name="Rectangle 113"/>
                        <wps:cNvSpPr>
                          <a:spLocks noChangeArrowheads="1"/>
                        </wps:cNvSpPr>
                        <wps:spPr bwMode="auto">
                          <a:xfrm>
                            <a:off x="932180" y="127635"/>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1</w:t>
                              </w:r>
                            </w:p>
                          </w:txbxContent>
                        </wps:txbx>
                        <wps:bodyPr rot="0" vert="horz" wrap="none" lIns="0" tIns="0" rIns="0" bIns="0" anchor="t" anchorCtr="0">
                          <a:spAutoFit/>
                        </wps:bodyPr>
                      </wps:wsp>
                      <wps:wsp>
                        <wps:cNvPr id="74" name="Rectangle 114"/>
                        <wps:cNvSpPr>
                          <a:spLocks noChangeArrowheads="1"/>
                        </wps:cNvSpPr>
                        <wps:spPr bwMode="auto">
                          <a:xfrm>
                            <a:off x="384175" y="127635"/>
                            <a:ext cx="17462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DI</w:t>
                              </w:r>
                            </w:p>
                          </w:txbxContent>
                        </wps:txbx>
                        <wps:bodyPr rot="0" vert="horz" wrap="none" lIns="0" tIns="0" rIns="0" bIns="0" anchor="t" anchorCtr="0">
                          <a:spAutoFit/>
                        </wps:bodyPr>
                      </wps:wsp>
                      <wps:wsp>
                        <wps:cNvPr id="75" name="Rectangle 115"/>
                        <wps:cNvSpPr>
                          <a:spLocks noChangeArrowheads="1"/>
                        </wps:cNvSpPr>
                        <wps:spPr bwMode="auto">
                          <a:xfrm>
                            <a:off x="23495" y="127635"/>
                            <a:ext cx="3486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 xml:space="preserve">Fator </w:t>
                              </w:r>
                            </w:p>
                          </w:txbxContent>
                        </wps:txbx>
                        <wps:bodyPr rot="0" vert="horz" wrap="none" lIns="0" tIns="0" rIns="0" bIns="0" anchor="t" anchorCtr="0">
                          <a:spAutoFit/>
                        </wps:bodyPr>
                      </wps:wsp>
                    </wpc:wpc>
                  </a:graphicData>
                </a:graphic>
              </wp:inline>
            </w:drawing>
          </mc:Choice>
          <mc:Fallback>
            <w:pict>
              <v:group w14:anchorId="16F8723C" id="Canvas 101" o:spid="_x0000_s1026" editas="canvas" style="width:128.75pt;height:38.15pt;mso-position-horizontal-relative:char;mso-position-vertical-relative:line" coordsize="16351,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351;height:4845;visibility:visible;mso-wrap-style:square">
                  <v:fill o:detectmouseclick="t"/>
                  <v:path o:connecttype="none"/>
                </v:shape>
                <v:rect id="Rectangle 102" o:spid="_x0000_s1028" style="position:absolute;left:9004;top:546;width:724;height:26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34"/>
                            <w:szCs w:val="34"/>
                            <w:lang w:val="en-US"/>
                          </w:rPr>
                          <w:t></w:t>
                        </w:r>
                      </w:p>
                    </w:txbxContent>
                  </v:textbox>
                </v:rect>
                <v:rect id="Rectangle 103" o:spid="_x0000_s1029" style="position:absolute;left:14928;top:546;width:724;height:26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34"/>
                            <w:szCs w:val="34"/>
                            <w:lang w:val="en-US"/>
                          </w:rPr>
                          <w:t></w:t>
                        </w:r>
                      </w:p>
                    </w:txbxContent>
                  </v:textbox>
                </v:rect>
                <v:rect id="Rectangle 104" o:spid="_x0000_s1030" style="position:absolute;left:6953;top:660;width:1987;height:295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j/MAA&#10;AADbAAAADwAAAGRycy9kb3ducmV2LnhtbESPzYoCMRCE7wu+Q2jB25pRR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tj/M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38"/>
                            <w:szCs w:val="38"/>
                            <w:lang w:val="en-US"/>
                          </w:rPr>
                          <w:t></w:t>
                        </w:r>
                      </w:p>
                    </w:txbxContent>
                  </v:textbox>
                </v:rect>
                <v:rect id="Rectangle 105" o:spid="_x0000_s1031" style="position:absolute;left:7785;top:3365;width:558;height:12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GZ8AA&#10;AADbAAAADwAAAGRycy9kb3ducmV2LnhtbESPzYoCMRCE7wu+Q2jB25pRU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EfGZ8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16"/>
                            <w:szCs w:val="16"/>
                            <w:lang w:val="en-US"/>
                          </w:rPr>
                          <w:t></w:t>
                        </w:r>
                      </w:p>
                    </w:txbxContent>
                  </v:textbox>
                </v:rect>
                <v:rect id="Rectangle 106" o:spid="_x0000_s1032" style="position:absolute;left:10299;top:1092;width:908;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VYEMAA&#10;AADbAAAADwAAAGRycy9kb3ducmV2LnhtbESPzYoCMRCE7wu+Q2jB25rRwyCzRhFBUPHiuA/QTHp+&#10;2KQzJNEZ394Iwh6LqvqKWm9Ha8SDfOgcK1jMMxDEldMdNwp+b4fvFYgQkTUax6TgSQG2m8nXGgvt&#10;Br7So4yNSBAOBSpoY+wLKUPVksUwdz1x8mrnLcYkfSO1xyHBrZHLLMulxY7TQos97Vuq/sq7VSBv&#10;5WFYlcZn7rysL+Z0vNbklJpNx90PiEhj/A9/2ketIM/h/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JVYEM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107" o:spid="_x0000_s1033" style="position:absolute;left:5810;top:1092;width:908;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n9i8AA&#10;AADbAAAADwAAAGRycy9kb3ducmV2LnhtbESPzYoCMRCE7wu+Q2jB25rRgyu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n9i8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108" o:spid="_x0000_s1034" style="position:absolute;left:7683;top:184;width:514;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Zp+b0A&#10;AADbAAAADwAAAGRycy9kb3ducmV2LnhtbERPy4rCMBTdC/5DuII7m+pCpBpFBEEHN9b5gEtz+8Dk&#10;piTRdv7eLIRZHs57dxitEW/yoXOsYJnlIIgrpztuFPw+zosNiBCRNRrHpOCPAhz208kOC+0GvtO7&#10;jI1IIRwKVNDG2BdShqoliyFzPXHiauctxgR9I7XHIYVbI1d5vpYWO04NLfZ0aql6li+rQD7K87Ap&#10;jc/dz6q+mevlXpNTaj4bj1sQkcb4L/66L1rBOo1N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kZp+b0AAADbAAAADwAAAAAAAAAAAAAAAACYAgAAZHJzL2Rvd25yZXYu&#10;eG1sUEsFBgAAAAAEAAQA9QAAAIIDAAAAAA==&#10;" filled="f" stroked="f">
                  <v:textbox style="mso-fit-shape-to-text:t" inset="0,0,0,0">
                    <w:txbxContent>
                      <w:p w:rsidR="00304604" w:rsidRDefault="00304604">
                        <w:proofErr w:type="gramStart"/>
                        <w:r>
                          <w:rPr>
                            <w:color w:val="000000"/>
                            <w:sz w:val="16"/>
                            <w:szCs w:val="16"/>
                            <w:lang w:val="en-US"/>
                          </w:rPr>
                          <w:t>n</w:t>
                        </w:r>
                        <w:proofErr w:type="gramEnd"/>
                      </w:p>
                    </w:txbxContent>
                  </v:textbox>
                </v:rect>
                <v:rect id="Rectangle 109" o:spid="_x0000_s1035" style="position:absolute;left:8216;top:3467;width:51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rMYsAA&#10;AADbAAAADwAAAGRycy9kb3ducmV2LnhtbESPzYoCMRCE7wu+Q2jB25rRg7i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rMYsAAAADbAAAADwAAAAAAAAAAAAAAAACYAgAAZHJzL2Rvd25y&#10;ZXYueG1sUEsFBgAAAAAEAAQA9QAAAIUDAAAAAA==&#10;" filled="f" stroked="f">
                  <v:textbox style="mso-fit-shape-to-text:t" inset="0,0,0,0">
                    <w:txbxContent>
                      <w:p w:rsidR="00304604" w:rsidRDefault="00304604">
                        <w:r>
                          <w:rPr>
                            <w:color w:val="000000"/>
                            <w:sz w:val="16"/>
                            <w:szCs w:val="16"/>
                            <w:lang w:val="en-US"/>
                          </w:rPr>
                          <w:t>1</w:t>
                        </w:r>
                      </w:p>
                    </w:txbxContent>
                  </v:textbox>
                </v:rect>
                <v:rect id="Rectangle 110" o:spid="_x0000_s1036" style="position:absolute;left:7258;top:3467;width:514;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nzIr8A&#10;AADbAAAADwAAAGRycy9kb3ducmV2LnhtbERPS2rDMBDdF3IHMYXsarlepMGxEkohkIZu4uQAgzX+&#10;EGlkJMV2bx8tCl0+3r86LNaIiXwYHCt4z3IQxI3TA3cKbtfj2xZEiMgajWNS8EsBDvvVS4WldjNf&#10;aKpjJ1IIhxIV9DGOpZSh6cliyNxInLjWeYsxQd9J7XFO4dbIIs830uLAqaHHkb56au71wyqQ1/o4&#10;b2vjc3cu2h/zfbq05JRavy6fOxCRlvgv/nOftIKPtD5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6fMivwAAANsAAAAPAAAAAAAAAAAAAAAAAJgCAABkcnMvZG93bnJl&#10;di54bWxQSwUGAAAAAAQABAD1AAAAhAMAAAAA&#10;" filled="f" stroked="f">
                  <v:textbox style="mso-fit-shape-to-text:t" inset="0,0,0,0">
                    <w:txbxContent>
                      <w:p w:rsidR="00304604" w:rsidRDefault="00304604">
                        <w:proofErr w:type="gramStart"/>
                        <w:r>
                          <w:rPr>
                            <w:color w:val="000000"/>
                            <w:sz w:val="16"/>
                            <w:szCs w:val="16"/>
                            <w:lang w:val="en-US"/>
                          </w:rPr>
                          <w:t>k</w:t>
                        </w:r>
                        <w:proofErr w:type="gramEnd"/>
                      </w:p>
                    </w:txbxContent>
                  </v:textbox>
                </v:rect>
                <v:rect id="Rectangle 111" o:spid="_x0000_s1037" style="position:absolute;left:14185;top:2292;width:51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VWucAA&#10;AADbAAAADwAAAGRycy9kb3ducmV2LnhtbESPzYoCMRCE7wu+Q2jB25rRw66M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qVWucAAAADbAAAADwAAAAAAAAAAAAAAAACYAgAAZHJzL2Rvd25y&#10;ZXYueG1sUEsFBgAAAAAEAAQA9QAAAIUDAAAAAA==&#10;" filled="f" stroked="f">
                  <v:textbox style="mso-fit-shape-to-text:t" inset="0,0,0,0">
                    <w:txbxContent>
                      <w:p w:rsidR="00304604" w:rsidRDefault="00304604">
                        <w:proofErr w:type="gramStart"/>
                        <w:r>
                          <w:rPr>
                            <w:color w:val="000000"/>
                            <w:sz w:val="16"/>
                            <w:szCs w:val="16"/>
                            <w:lang w:val="en-US"/>
                          </w:rPr>
                          <w:t>k</w:t>
                        </w:r>
                        <w:proofErr w:type="gramEnd"/>
                      </w:p>
                    </w:txbxContent>
                  </v:textbox>
                </v:rect>
                <v:rect id="Rectangle 112" o:spid="_x0000_s1038" style="position:absolute;left:11499;top:1276;width:2756;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fIzsEA&#10;AADbAAAADwAAAGRycy9kb3ducmV2LnhtbESPzYoCMRCE74LvEFrYm2acgyuzRhFBUNmL4z5AM+n5&#10;waQzJNEZ394sLOyxqKqvqM1utEY8yYfOsYLlIgNBXDndcaPg53acr0GEiKzROCYFLwqw204nGyy0&#10;G/hKzzI2IkE4FKigjbEvpAxVSxbDwvXEyaudtxiT9I3UHocEt0bmWbaSFjtOCy32dGipupcPq0De&#10;yuOwLo3P3CWvv835dK3JKfUxG/dfICKN8T/81z5pBZ85/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3yM7BAAAA2wAAAA8AAAAAAAAAAAAAAAAAmAIAAGRycy9kb3du&#10;cmV2LnhtbFBLBQYAAAAABAAEAPUAAACGAwAAAAA=&#10;" filled="f" stroked="f">
                  <v:textbox style="mso-fit-shape-to-text:t" inset="0,0,0,0">
                    <w:txbxContent>
                      <w:p w:rsidR="00304604" w:rsidRDefault="00304604">
                        <w:r>
                          <w:rPr>
                            <w:color w:val="000000"/>
                            <w:sz w:val="26"/>
                            <w:szCs w:val="26"/>
                            <w:lang w:val="en-US"/>
                          </w:rPr>
                          <w:t>TDI</w:t>
                        </w:r>
                      </w:p>
                    </w:txbxContent>
                  </v:textbox>
                </v:rect>
                <v:rect id="Rectangle 113" o:spid="_x0000_s1039" style="position:absolute;left:9321;top:1276;width:832;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tVcEA&#10;AADbAAAADwAAAGRycy9kb3ducmV2LnhtbESPzYoCMRCE74LvEFrwphkV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7bVXBAAAA2wAAAA8AAAAAAAAAAAAAAAAAmAIAAGRycy9kb3du&#10;cmV2LnhtbFBLBQYAAAAABAAEAPUAAACGAwAAAAA=&#10;" filled="f" stroked="f">
                  <v:textbox style="mso-fit-shape-to-text:t" inset="0,0,0,0">
                    <w:txbxContent>
                      <w:p w:rsidR="00304604" w:rsidRDefault="00304604">
                        <w:r>
                          <w:rPr>
                            <w:color w:val="000000"/>
                            <w:sz w:val="26"/>
                            <w:szCs w:val="26"/>
                            <w:lang w:val="en-US"/>
                          </w:rPr>
                          <w:t>1</w:t>
                        </w:r>
                      </w:p>
                    </w:txbxContent>
                  </v:textbox>
                </v:rect>
                <v:rect id="Rectangle 114" o:spid="_x0000_s1040" style="position:absolute;left:3841;top:1276;width:1747;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L1IcEA&#10;AADbAAAADwAAAGRycy9kb3ducmV2LnhtbESPzYoCMRCE74LvEFrwphlF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S9SHBAAAA2wAAAA8AAAAAAAAAAAAAAAAAmAIAAGRycy9kb3du&#10;cmV2LnhtbFBLBQYAAAAABAAEAPUAAACGAwAAAAA=&#10;" filled="f" stroked="f">
                  <v:textbox style="mso-fit-shape-to-text:t" inset="0,0,0,0">
                    <w:txbxContent>
                      <w:p w:rsidR="00304604" w:rsidRDefault="00304604">
                        <w:r>
                          <w:rPr>
                            <w:color w:val="000000"/>
                            <w:sz w:val="26"/>
                            <w:szCs w:val="26"/>
                            <w:lang w:val="en-US"/>
                          </w:rPr>
                          <w:t>DI</w:t>
                        </w:r>
                      </w:p>
                    </w:txbxContent>
                  </v:textbox>
                </v:rect>
                <v:rect id="Rectangle 115" o:spid="_x0000_s1041" style="position:absolute;left:234;top:1276;width:3487;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QusEA&#10;AADbAAAADwAAAGRycy9kb3ducmV2LnhtbESPzYoCMRCE74LvEFrwphkFd2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eULrBAAAA2wAAAA8AAAAAAAAAAAAAAAAAmAIAAGRycy9kb3du&#10;cmV2LnhtbFBLBQYAAAAABAAEAPUAAACGAwAAAAA=&#10;" filled="f" stroked="f">
                  <v:textbox style="mso-fit-shape-to-text:t" inset="0,0,0,0">
                    <w:txbxContent>
                      <w:p w:rsidR="00304604" w:rsidRDefault="00304604">
                        <w:proofErr w:type="spellStart"/>
                        <w:r>
                          <w:rPr>
                            <w:color w:val="000000"/>
                            <w:sz w:val="26"/>
                            <w:szCs w:val="26"/>
                            <w:lang w:val="en-US"/>
                          </w:rPr>
                          <w:t>Fator</w:t>
                        </w:r>
                        <w:proofErr w:type="spellEnd"/>
                        <w:r>
                          <w:rPr>
                            <w:color w:val="000000"/>
                            <w:sz w:val="26"/>
                            <w:szCs w:val="26"/>
                            <w:lang w:val="en-US"/>
                          </w:rPr>
                          <w:t xml:space="preserve"> </w:t>
                        </w:r>
                      </w:p>
                    </w:txbxContent>
                  </v:textbox>
                </v:rect>
                <w10:anchorlock/>
              </v:group>
            </w:pict>
          </mc:Fallback>
        </mc:AlternateContent>
      </w:r>
    </w:p>
    <w:p>
      <w:pPr>
        <w:pStyle w:val="Recuodecorpodetexto"/>
        <w:spacing w:after="0" w:line="320" w:lineRule="exact"/>
        <w:ind w:left="0"/>
        <w:jc w:val="both"/>
        <w:rPr>
          <w:rFonts w:ascii="Calibri" w:hAnsi="Calibri" w:cs="Arial"/>
          <w:sz w:val="22"/>
          <w:szCs w:val="22"/>
          <w:lang w:val="pt-BR"/>
        </w:rPr>
      </w:pPr>
      <w:r>
        <w:rPr>
          <w:rFonts w:ascii="Calibri" w:hAnsi="Calibri" w:cs="Arial"/>
          <w:sz w:val="22"/>
          <w:szCs w:val="22"/>
          <w:lang w:val="pt-BR"/>
        </w:rPr>
        <w:t>Sendo que:</w:t>
      </w:r>
    </w:p>
    <w:p>
      <w:pPr>
        <w:pStyle w:val="Recuodecorpodetexto"/>
        <w:spacing w:after="0" w:line="320" w:lineRule="exact"/>
        <w:ind w:left="0"/>
        <w:jc w:val="both"/>
        <w:rPr>
          <w:rFonts w:ascii="Calibri" w:hAnsi="Calibri" w:cs="Arial"/>
          <w:sz w:val="22"/>
          <w:szCs w:val="22"/>
        </w:rPr>
      </w:pPr>
      <w:r>
        <w:rPr>
          <w:rFonts w:ascii="Calibri" w:hAnsi="Calibri" w:cs="Arial"/>
          <w:sz w:val="22"/>
          <w:szCs w:val="22"/>
        </w:rPr>
        <w:t>n = número total de Taxas DI consideradas em cada Período de Capitalização (conforme abaixo definido), sendo “n” um número inteiro;</w:t>
      </w:r>
    </w:p>
    <w:p>
      <w:pPr>
        <w:pStyle w:val="Recuodecorpodetexto"/>
        <w:spacing w:after="0" w:line="320" w:lineRule="exact"/>
        <w:ind w:left="0"/>
        <w:jc w:val="both"/>
        <w:rPr>
          <w:rFonts w:ascii="Calibri" w:hAnsi="Calibri" w:cs="Arial"/>
          <w:sz w:val="22"/>
          <w:szCs w:val="22"/>
        </w:rPr>
      </w:pPr>
    </w:p>
    <w:p>
      <w:pPr>
        <w:pStyle w:val="Recuodecorpodetexto"/>
        <w:spacing w:after="0" w:line="320" w:lineRule="exact"/>
        <w:ind w:left="0"/>
        <w:jc w:val="both"/>
        <w:rPr>
          <w:rFonts w:ascii="Calibri" w:hAnsi="Calibri" w:cs="Arial"/>
          <w:sz w:val="22"/>
          <w:szCs w:val="22"/>
        </w:rPr>
      </w:pPr>
      <w:r>
        <w:rPr>
          <w:rFonts w:ascii="Calibri" w:hAnsi="Calibri" w:cs="Arial"/>
          <w:sz w:val="22"/>
          <w:szCs w:val="22"/>
        </w:rPr>
        <w:t>k = número de ordem das Taxas DI, variando de "1" até "n"</w:t>
      </w:r>
      <w:r>
        <w:rPr>
          <w:rFonts w:ascii="Calibri" w:hAnsi="Calibri" w:cs="Arial"/>
          <w:sz w:val="22"/>
          <w:szCs w:val="22"/>
          <w:lang w:val="pt-BR"/>
        </w:rPr>
        <w:t>, sendo “k” um número inteiro</w:t>
      </w:r>
      <w:r>
        <w:rPr>
          <w:rFonts w:ascii="Calibri" w:hAnsi="Calibri" w:cs="Arial"/>
          <w:sz w:val="22"/>
          <w:szCs w:val="22"/>
        </w:rPr>
        <w:t>;</w:t>
      </w:r>
    </w:p>
    <w:p>
      <w:pPr>
        <w:pStyle w:val="Recuodecorpodetexto"/>
        <w:spacing w:after="0" w:line="320" w:lineRule="exact"/>
        <w:ind w:left="0"/>
        <w:jc w:val="both"/>
        <w:rPr>
          <w:rFonts w:ascii="Calibri" w:hAnsi="Calibri" w:cs="Arial"/>
          <w:sz w:val="22"/>
          <w:szCs w:val="22"/>
        </w:rPr>
      </w:pPr>
    </w:p>
    <w:p>
      <w:pPr>
        <w:pStyle w:val="Recuodecorpodetexto"/>
        <w:spacing w:after="0" w:line="320" w:lineRule="exact"/>
        <w:ind w:left="0"/>
        <w:jc w:val="both"/>
        <w:rPr>
          <w:rFonts w:ascii="Calibri" w:hAnsi="Calibri" w:cs="Arial"/>
          <w:sz w:val="22"/>
          <w:szCs w:val="22"/>
        </w:rPr>
      </w:pPr>
      <w:r>
        <w:rPr>
          <w:rFonts w:ascii="Calibri" w:hAnsi="Calibri" w:cs="Arial"/>
          <w:sz w:val="22"/>
          <w:szCs w:val="22"/>
        </w:rPr>
        <w:t>TDI</w:t>
      </w:r>
      <w:r>
        <w:rPr>
          <w:rFonts w:ascii="Calibri" w:hAnsi="Calibri" w:cs="Arial"/>
          <w:sz w:val="22"/>
          <w:szCs w:val="22"/>
          <w:vertAlign w:val="subscript"/>
        </w:rPr>
        <w:t>k</w:t>
      </w:r>
      <w:r>
        <w:rPr>
          <w:rFonts w:ascii="Calibri" w:hAnsi="Calibri" w:cs="Arial"/>
          <w:sz w:val="22"/>
          <w:szCs w:val="22"/>
        </w:rPr>
        <w:t xml:space="preserve"> = Taxa DI, de ordem "k", expressa ao dia, calculada com 8 (oito) casas decimais, com arredondamento, apurada da seguinte forma:</w:t>
      </w:r>
    </w:p>
    <w:p>
      <w:pPr>
        <w:pStyle w:val="Recuodecorpodetexto"/>
        <w:spacing w:after="0" w:line="320" w:lineRule="exact"/>
        <w:ind w:left="0"/>
        <w:jc w:val="both"/>
        <w:rPr>
          <w:rFonts w:ascii="Calibri" w:hAnsi="Calibri" w:cs="Arial"/>
          <w:sz w:val="22"/>
          <w:szCs w:val="22"/>
        </w:rPr>
      </w:pPr>
    </w:p>
    <w:p>
      <w:pPr>
        <w:pStyle w:val="Recuodecorpodetexto"/>
        <w:spacing w:after="0" w:line="320" w:lineRule="exact"/>
        <w:ind w:left="0"/>
        <w:jc w:val="both"/>
        <w:rPr>
          <w:rFonts w:ascii="Calibri" w:hAnsi="Calibri" w:cs="Arial"/>
          <w:sz w:val="22"/>
          <w:szCs w:val="22"/>
        </w:rPr>
      </w:pPr>
    </w:p>
    <w:p>
      <w:pPr>
        <w:pStyle w:val="Recuodecorpodetexto"/>
        <w:spacing w:after="0" w:line="320" w:lineRule="exact"/>
        <w:ind w:left="0"/>
        <w:jc w:val="center"/>
        <w:rPr>
          <w:rFonts w:ascii="Calibri" w:hAnsi="Calibri" w:cs="Arial"/>
          <w:sz w:val="22"/>
          <w:szCs w:val="22"/>
        </w:rPr>
      </w:pPr>
      <w:r>
        <w:rPr>
          <w:rFonts w:ascii="Calibri" w:hAnsi="Calibri" w:cs="Arial"/>
          <w:noProof/>
          <w:sz w:val="22"/>
          <w:szCs w:val="22"/>
          <w:lang w:val="pt-BR" w:eastAsia="pt-BR"/>
        </w:rPr>
        <mc:AlternateContent>
          <mc:Choice Requires="wpc">
            <w:drawing>
              <wp:inline distT="0" distB="0" distL="0" distR="0">
                <wp:extent cx="1475105" cy="589280"/>
                <wp:effectExtent l="0" t="2540" r="0" b="0"/>
                <wp:docPr id="6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0" name="Line 32"/>
                        <wps:cNvCnPr/>
                        <wps:spPr bwMode="auto">
                          <a:xfrm>
                            <a:off x="566420" y="328295"/>
                            <a:ext cx="24574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 name="Line 33"/>
                        <wps:cNvCnPr/>
                        <wps:spPr bwMode="auto">
                          <a:xfrm>
                            <a:off x="1094105" y="144145"/>
                            <a:ext cx="14033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 name="Rectangle 34"/>
                        <wps:cNvSpPr>
                          <a:spLocks noChangeArrowheads="1"/>
                        </wps:cNvSpPr>
                        <wps:spPr bwMode="auto">
                          <a:xfrm>
                            <a:off x="1388745" y="222885"/>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1</w:t>
                              </w:r>
                            </w:p>
                          </w:txbxContent>
                        </wps:txbx>
                        <wps:bodyPr rot="0" vert="horz" wrap="none" lIns="0" tIns="0" rIns="0" bIns="0" anchor="t" anchorCtr="0">
                          <a:spAutoFit/>
                        </wps:bodyPr>
                      </wps:wsp>
                      <wps:wsp>
                        <wps:cNvPr id="43" name="Rectangle 35"/>
                        <wps:cNvSpPr>
                          <a:spLocks noChangeArrowheads="1"/>
                        </wps:cNvSpPr>
                        <wps:spPr bwMode="auto">
                          <a:xfrm>
                            <a:off x="955675" y="222885"/>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1</w:t>
                              </w:r>
                            </w:p>
                          </w:txbxContent>
                        </wps:txbx>
                        <wps:bodyPr rot="0" vert="horz" wrap="none" lIns="0" tIns="0" rIns="0" bIns="0" anchor="t" anchorCtr="0">
                          <a:spAutoFit/>
                        </wps:bodyPr>
                      </wps:wsp>
                      <wps:wsp>
                        <wps:cNvPr id="44" name="Rectangle 36"/>
                        <wps:cNvSpPr>
                          <a:spLocks noChangeArrowheads="1"/>
                        </wps:cNvSpPr>
                        <wps:spPr bwMode="auto">
                          <a:xfrm>
                            <a:off x="570865" y="349885"/>
                            <a:ext cx="2482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100</w:t>
                              </w:r>
                            </w:p>
                          </w:txbxContent>
                        </wps:txbx>
                        <wps:bodyPr rot="0" vert="horz" wrap="none" lIns="0" tIns="0" rIns="0" bIns="0" anchor="t" anchorCtr="0">
                          <a:spAutoFit/>
                        </wps:bodyPr>
                      </wps:wsp>
                      <wps:wsp>
                        <wps:cNvPr id="45" name="Rectangle 37"/>
                        <wps:cNvSpPr>
                          <a:spLocks noChangeArrowheads="1"/>
                        </wps:cNvSpPr>
                        <wps:spPr bwMode="auto">
                          <a:xfrm>
                            <a:off x="576580" y="121285"/>
                            <a:ext cx="17462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DI</w:t>
                              </w:r>
                            </w:p>
                          </w:txbxContent>
                        </wps:txbx>
                        <wps:bodyPr rot="0" vert="horz" wrap="none" lIns="0" tIns="0" rIns="0" bIns="0" anchor="t" anchorCtr="0">
                          <a:spAutoFit/>
                        </wps:bodyPr>
                      </wps:wsp>
                      <wps:wsp>
                        <wps:cNvPr id="46" name="Rectangle 38"/>
                        <wps:cNvSpPr>
                          <a:spLocks noChangeArrowheads="1"/>
                        </wps:cNvSpPr>
                        <wps:spPr bwMode="auto">
                          <a:xfrm>
                            <a:off x="20320" y="222885"/>
                            <a:ext cx="2755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TDI</w:t>
                              </w:r>
                            </w:p>
                          </w:txbxContent>
                        </wps:txbx>
                        <wps:bodyPr rot="0" vert="horz" wrap="none" lIns="0" tIns="0" rIns="0" bIns="0" anchor="t" anchorCtr="0">
                          <a:spAutoFit/>
                        </wps:bodyPr>
                      </wps:wsp>
                      <wps:wsp>
                        <wps:cNvPr id="47" name="Rectangle 39"/>
                        <wps:cNvSpPr>
                          <a:spLocks noChangeArrowheads="1"/>
                        </wps:cNvSpPr>
                        <wps:spPr bwMode="auto">
                          <a:xfrm>
                            <a:off x="1099820" y="158115"/>
                            <a:ext cx="1530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252</w:t>
                              </w:r>
                            </w:p>
                          </w:txbxContent>
                        </wps:txbx>
                        <wps:bodyPr rot="0" vert="horz" wrap="none" lIns="0" tIns="0" rIns="0" bIns="0" anchor="t" anchorCtr="0">
                          <a:spAutoFit/>
                        </wps:bodyPr>
                      </wps:wsp>
                      <wps:wsp>
                        <wps:cNvPr id="48" name="Rectangle 40"/>
                        <wps:cNvSpPr>
                          <a:spLocks noChangeArrowheads="1"/>
                        </wps:cNvSpPr>
                        <wps:spPr bwMode="auto">
                          <a:xfrm>
                            <a:off x="1142365" y="20955"/>
                            <a:ext cx="514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1</w:t>
                              </w:r>
                            </w:p>
                          </w:txbxContent>
                        </wps:txbx>
                        <wps:bodyPr rot="0" vert="horz" wrap="none" lIns="0" tIns="0" rIns="0" bIns="0" anchor="t" anchorCtr="0">
                          <a:spAutoFit/>
                        </wps:bodyPr>
                      </wps:wsp>
                      <wps:wsp>
                        <wps:cNvPr id="49" name="Rectangle 41"/>
                        <wps:cNvSpPr>
                          <a:spLocks noChangeArrowheads="1"/>
                        </wps:cNvSpPr>
                        <wps:spPr bwMode="auto">
                          <a:xfrm>
                            <a:off x="741680" y="222250"/>
                            <a:ext cx="514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k</w:t>
                              </w:r>
                            </w:p>
                          </w:txbxContent>
                        </wps:txbx>
                        <wps:bodyPr rot="0" vert="horz" wrap="none" lIns="0" tIns="0" rIns="0" bIns="0" anchor="t" anchorCtr="0">
                          <a:spAutoFit/>
                        </wps:bodyPr>
                      </wps:wsp>
                      <wps:wsp>
                        <wps:cNvPr id="50" name="Rectangle 42"/>
                        <wps:cNvSpPr>
                          <a:spLocks noChangeArrowheads="1"/>
                        </wps:cNvSpPr>
                        <wps:spPr bwMode="auto">
                          <a:xfrm>
                            <a:off x="279400" y="324485"/>
                            <a:ext cx="514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6"/>
                                  <w:szCs w:val="16"/>
                                  <w:lang w:val="en-US"/>
                                </w:rPr>
                                <w:t>k</w:t>
                              </w:r>
                            </w:p>
                          </w:txbxContent>
                        </wps:txbx>
                        <wps:bodyPr rot="0" vert="horz" wrap="none" lIns="0" tIns="0" rIns="0" bIns="0" anchor="t" anchorCtr="0">
                          <a:spAutoFit/>
                        </wps:bodyPr>
                      </wps:wsp>
                      <wps:wsp>
                        <wps:cNvPr id="51" name="Rectangle 43"/>
                        <wps:cNvSpPr>
                          <a:spLocks noChangeArrowheads="1"/>
                        </wps:cNvSpPr>
                        <wps:spPr bwMode="auto">
                          <a:xfrm>
                            <a:off x="1288415" y="203835"/>
                            <a:ext cx="9080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2" name="Rectangle 44"/>
                        <wps:cNvSpPr>
                          <a:spLocks noChangeArrowheads="1"/>
                        </wps:cNvSpPr>
                        <wps:spPr bwMode="auto">
                          <a:xfrm>
                            <a:off x="1028700" y="21907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3" name="Rectangle 45"/>
                        <wps:cNvSpPr>
                          <a:spLocks noChangeArrowheads="1"/>
                        </wps:cNvSpPr>
                        <wps:spPr bwMode="auto">
                          <a:xfrm>
                            <a:off x="1028700" y="35052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5" name="Rectangle 46"/>
                        <wps:cNvSpPr>
                          <a:spLocks noChangeArrowheads="1"/>
                        </wps:cNvSpPr>
                        <wps:spPr bwMode="auto">
                          <a:xfrm>
                            <a:off x="1028700" y="11366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6" name="Rectangle 47"/>
                        <wps:cNvSpPr>
                          <a:spLocks noChangeArrowheads="1"/>
                        </wps:cNvSpPr>
                        <wps:spPr bwMode="auto">
                          <a:xfrm>
                            <a:off x="489585" y="21907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7" name="Rectangle 48"/>
                        <wps:cNvSpPr>
                          <a:spLocks noChangeArrowheads="1"/>
                        </wps:cNvSpPr>
                        <wps:spPr bwMode="auto">
                          <a:xfrm>
                            <a:off x="489585" y="35052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8" name="Rectangle 49"/>
                        <wps:cNvSpPr>
                          <a:spLocks noChangeArrowheads="1"/>
                        </wps:cNvSpPr>
                        <wps:spPr bwMode="auto">
                          <a:xfrm>
                            <a:off x="489585" y="11366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9" name="Rectangle 50"/>
                        <wps:cNvSpPr>
                          <a:spLocks noChangeArrowheads="1"/>
                        </wps:cNvSpPr>
                        <wps:spPr bwMode="auto">
                          <a:xfrm>
                            <a:off x="852170" y="203835"/>
                            <a:ext cx="9080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60" name="Rectangle 51"/>
                        <wps:cNvSpPr>
                          <a:spLocks noChangeArrowheads="1"/>
                        </wps:cNvSpPr>
                        <wps:spPr bwMode="auto">
                          <a:xfrm>
                            <a:off x="377190" y="203835"/>
                            <a:ext cx="9080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c:wpc>
                  </a:graphicData>
                </a:graphic>
              </wp:inline>
            </w:drawing>
          </mc:Choice>
          <mc:Fallback>
            <w:pict>
              <v:group w14:anchorId="2F9965A9" id="Canvas 31" o:spid="_x0000_s1042" editas="canvas" style="width:116.15pt;height:46.4pt;mso-position-horizontal-relative:char;mso-position-vertical-relative:line" coordsize="14751,5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">
                <v:shape id="_x0000_s1043" type="#_x0000_t75" style="position:absolute;width:14751;height:5892;visibility:visible;mso-wrap-style:square">
                  <v:fill o:detectmouseclick="t"/>
                  <v:path o:connecttype="none"/>
                </v:shape>
                <v:line id="Line 32" o:spid="_x0000_s1044" style="position:absolute;visibility:visible;mso-wrap-style:square" from="5664,3282" to="8121,3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AGBsEAAADbAAAADwAAAGRycy9kb3ducmV2LnhtbERPy2rCQBTdF/oPwy24qxNLKCE6iloE&#10;wUWJunF3ydwmqZk7YWbMo1/fWRS6PJz3ajOaVvTkfGNZwWKegCAurW64UnC9HF4zED4ga2wtk4KJ&#10;PGzWz08rzLUduKD+HCoRQ9jnqKAOocul9GVNBv3cdsSR+7LOYIjQVVI7HGK4aeVbkrxLgw3Hhho7&#10;2tdU3s8PoyC7dP5j2t8O9tN9/xSntKAUd0rNXsbtEkSgMfyL/9xHrSCN6+OX+APk+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MAYGwQAAANsAAAAPAAAAAAAAAAAAAAAA&#10;AKECAABkcnMvZG93bnJldi54bWxQSwUGAAAAAAQABAD5AAAAjwMAAAAA&#10;" strokeweight=".5pt"/>
                <v:line id="Line 33" o:spid="_x0000_s1045" style="position:absolute;visibility:visible;mso-wrap-style:square" from="10941,1441" to="12344,1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9hQ8MAAADbAAAADwAAAGRycy9kb3ducmV2LnhtbESPQWsCMRSE7wX/Q3hCbzVrKyKrUUQs&#10;SA+FVQ96e2yem8XNy5rEdfvvm0LB4zAz3zCLVW8b0ZEPtWMF41EGgrh0uuZKwfHw+TYDESKyxsYx&#10;KfihAKvl4GWBuXYPLqjbx0okCIccFZgY21zKUBqyGEauJU7exXmLMUlfSe3xkeC2ke9ZNpUWa04L&#10;BlvaGCqv+7tV4M8xnIrbx1c3qba376s3B7oUSr0O+/UcRKQ+PsP/7Z1WMBnD35f0A+T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h/YUPDAAAA2wAAAA8AAAAAAAAAAAAA&#10;AAAAoQIAAGRycy9kb3ducmV2LnhtbFBLBQYAAAAABAAEAPkAAACRAwAAAAA=&#10;" strokeweight=".25pt"/>
                <v:rect id="Rectangle 34" o:spid="_x0000_s1046" style="position:absolute;left:13887;top:2228;width:832;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sCc8EA&#10;AADbAAAADwAAAGRycy9kb3ducmV2LnhtbESP3YrCMBSE7wXfIRxh7zS1y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bAnPBAAAA2wAAAA8AAAAAAAAAAAAAAAAAmAIAAGRycy9kb3du&#10;cmV2LnhtbFBLBQYAAAAABAAEAPUAAACGAwAAAAA=&#10;" filled="f" stroked="f">
                  <v:textbox style="mso-fit-shape-to-text:t" inset="0,0,0,0">
                    <w:txbxContent>
                      <w:p w:rsidR="00304604" w:rsidRDefault="00304604">
                        <w:r>
                          <w:rPr>
                            <w:color w:val="000000"/>
                            <w:sz w:val="26"/>
                            <w:szCs w:val="26"/>
                            <w:lang w:val="en-US"/>
                          </w:rPr>
                          <w:t>1</w:t>
                        </w:r>
                      </w:p>
                    </w:txbxContent>
                  </v:textbox>
                </v:rect>
                <v:rect id="Rectangle 35" o:spid="_x0000_s1047" style="position:absolute;left:9556;top:2228;width:832;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304604" w:rsidRDefault="00304604">
                        <w:r>
                          <w:rPr>
                            <w:color w:val="000000"/>
                            <w:sz w:val="26"/>
                            <w:szCs w:val="26"/>
                            <w:lang w:val="en-US"/>
                          </w:rPr>
                          <w:t>1</w:t>
                        </w:r>
                      </w:p>
                    </w:txbxContent>
                  </v:textbox>
                </v:rect>
                <v:rect id="Rectangle 36" o:spid="_x0000_s1048" style="position:absolute;left:5708;top:3498;width:2483;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304604" w:rsidRDefault="00304604">
                        <w:r>
                          <w:rPr>
                            <w:color w:val="000000"/>
                            <w:sz w:val="26"/>
                            <w:szCs w:val="26"/>
                            <w:lang w:val="en-US"/>
                          </w:rPr>
                          <w:t>100</w:t>
                        </w:r>
                      </w:p>
                    </w:txbxContent>
                  </v:textbox>
                </v:rect>
                <v:rect id="Rectangle 37" o:spid="_x0000_s1049" style="position:absolute;left:5765;top:1212;width:1747;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aB8EA&#10;AADbAAAADwAAAGRycy9kb3ducmV2LnhtbESPzYoCMRCE74LvEFrwphnF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ymgfBAAAA2wAAAA8AAAAAAAAAAAAAAAAAmAIAAGRycy9kb3du&#10;cmV2LnhtbFBLBQYAAAAABAAEAPUAAACGAwAAAAA=&#10;" filled="f" stroked="f">
                  <v:textbox style="mso-fit-shape-to-text:t" inset="0,0,0,0">
                    <w:txbxContent>
                      <w:p w:rsidR="00304604" w:rsidRDefault="00304604">
                        <w:r>
                          <w:rPr>
                            <w:color w:val="000000"/>
                            <w:sz w:val="26"/>
                            <w:szCs w:val="26"/>
                            <w:lang w:val="en-US"/>
                          </w:rPr>
                          <w:t>DI</w:t>
                        </w:r>
                      </w:p>
                    </w:txbxContent>
                  </v:textbox>
                </v:rect>
                <v:rect id="Rectangle 38" o:spid="_x0000_s1050" style="position:absolute;left:203;top:2228;width:2756;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304604" w:rsidRDefault="00304604">
                        <w:r>
                          <w:rPr>
                            <w:color w:val="000000"/>
                            <w:sz w:val="26"/>
                            <w:szCs w:val="26"/>
                            <w:lang w:val="en-US"/>
                          </w:rPr>
                          <w:t>TDI</w:t>
                        </w:r>
                      </w:p>
                    </w:txbxContent>
                  </v:textbox>
                </v:rect>
                <v:rect id="Rectangle 39" o:spid="_x0000_s1051" style="position:absolute;left:10998;top:1581;width:1530;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304604" w:rsidRDefault="00304604">
                        <w:r>
                          <w:rPr>
                            <w:color w:val="000000"/>
                            <w:sz w:val="16"/>
                            <w:szCs w:val="16"/>
                            <w:lang w:val="en-US"/>
                          </w:rPr>
                          <w:t>252</w:t>
                        </w:r>
                      </w:p>
                    </w:txbxContent>
                  </v:textbox>
                </v:rect>
                <v:rect id="Rectangle 40" o:spid="_x0000_s1052" style="position:absolute;left:11423;top:209;width:51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304604" w:rsidRDefault="00304604">
                        <w:r>
                          <w:rPr>
                            <w:color w:val="000000"/>
                            <w:sz w:val="16"/>
                            <w:szCs w:val="16"/>
                            <w:lang w:val="en-US"/>
                          </w:rPr>
                          <w:t>1</w:t>
                        </w:r>
                      </w:p>
                    </w:txbxContent>
                  </v:textbox>
                </v:rect>
                <v:rect id="Rectangle 41" o:spid="_x0000_s1053" style="position:absolute;left:7416;top:2222;width:515;height:11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QAsEA&#10;AADbAAAADwAAAGRycy9kb3ducmV2LnhtbESPzYoCMRCE7wu+Q2jB25pRZ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ALBAAAA2wAAAA8AAAAAAAAAAAAAAAAAmAIAAGRycy9kb3du&#10;cmV2LnhtbFBLBQYAAAAABAAEAPUAAACGAwAAAAA=&#10;" filled="f" stroked="f">
                  <v:textbox style="mso-fit-shape-to-text:t" inset="0,0,0,0">
                    <w:txbxContent>
                      <w:p w:rsidR="00304604" w:rsidRDefault="00304604">
                        <w:proofErr w:type="gramStart"/>
                        <w:r>
                          <w:rPr>
                            <w:color w:val="000000"/>
                            <w:sz w:val="16"/>
                            <w:szCs w:val="16"/>
                            <w:lang w:val="en-US"/>
                          </w:rPr>
                          <w:t>k</w:t>
                        </w:r>
                        <w:proofErr w:type="gramEnd"/>
                      </w:p>
                    </w:txbxContent>
                  </v:textbox>
                </v:rect>
                <v:rect id="Rectangle 42" o:spid="_x0000_s1054" style="position:absolute;left:2794;top:3244;width:514;height:116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304604" w:rsidRDefault="00304604">
                        <w:proofErr w:type="gramStart"/>
                        <w:r>
                          <w:rPr>
                            <w:color w:val="000000"/>
                            <w:sz w:val="16"/>
                            <w:szCs w:val="16"/>
                            <w:lang w:val="en-US"/>
                          </w:rPr>
                          <w:t>k</w:t>
                        </w:r>
                        <w:proofErr w:type="gramEnd"/>
                      </w:p>
                    </w:txbxContent>
                  </v:textbox>
                </v:rect>
                <v:rect id="Rectangle 43" o:spid="_x0000_s1055" style="position:absolute;left:12884;top:2038;width:908;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44" o:spid="_x0000_s1056" style="position:absolute;left:10287;top:2190;width:635;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45" o:spid="_x0000_s1057" style="position:absolute;left:10287;top:3505;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4xNcEA&#10;AADbAAAADwAAAGRycy9kb3ducmV2LnhtbESPzYoCMRCE74LvEFrwphmV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OMTX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46" o:spid="_x0000_s1058" style="position:absolute;left:10287;top:1136;width:635;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sM2sAA&#10;AADbAAAADwAAAGRycy9kb3ducmV2LnhtbESPzYoCMRCE7wu+Q2jB25pRc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isM2s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47" o:spid="_x0000_s1059" style="position:absolute;left:4895;top:2190;width:635;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mSrcAA&#10;AADbAAAADwAAAGRycy9kb3ducmV2LnhtbESPzYoCMRCE7wu+Q2jB25pRU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mSrc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48" o:spid="_x0000_s1060" style="position:absolute;left:4895;top:3505;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U3NsEA&#10;AADbAAAADwAAAGRycy9kb3ducmV2LnhtbESPzYoCMRCE74LvEFrwphkFd2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21Nzb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49" o:spid="_x0000_s1061" style="position:absolute;left:4895;top:1136;width:635;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jRL8A&#10;AADbAAAADwAAAGRycy9kb3ducmV2LnhtbERPS2rDMBDdF3IHMYXsarmG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KqNEvwAAANsAAAAPAAAAAAAAAAAAAAAAAJgCAABkcnMvZG93bnJl&#10;di54bWxQSwUGAAAAAAQABAD1AAAAhAM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50" o:spid="_x0000_s1062" style="position:absolute;left:8521;top:2038;width:908;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YG38EA&#10;AADbAAAADwAAAGRycy9kb3ducmV2LnhtbESPzYoCMRCE7wu+Q2jB25pRc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mBt/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51" o:spid="_x0000_s1063" style="position:absolute;left:3771;top:2038;width:908;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l/70A&#10;AADbAAAADwAAAGRycy9kb3ducmV2LnhtbERPy4rCMBTdC/5DuII7m+pCpBpFBEEHN9b5gEtz+8Dk&#10;piTRdv7eLIRZHs57dxitEW/yoXOsYJnlIIgrpztuFPw+zosNiBCRNRrHpOCPAhz208kOC+0GvtO7&#10;jI1IIRwKVNDG2BdShqoliyFzPXHiauctxgR9I7XHIYVbI1d5vpYWO04NLfZ0aql6li+rQD7K87Ap&#10;jc/dz6q+mevlXpNTaj4bj1sQkcb4L/66L1rBOq1P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DBl/70AAADbAAAADwAAAAAAAAAAAAAAAACYAgAAZHJzL2Rvd25yZXYu&#10;eG1sUEsFBgAAAAAEAAQA9QAAAIIDAAAAAA==&#10;" filled="f" stroked="f">
                  <v:textbox style="mso-fit-shape-to-text:t" inset="0,0,0,0">
                    <w:txbxContent>
                      <w:p w:rsidR="00304604" w:rsidRDefault="00304604">
                        <w:r>
                          <w:rPr>
                            <w:rFonts w:ascii="Symbol" w:hAnsi="Symbol" w:cs="Symbol"/>
                            <w:color w:val="000000"/>
                            <w:sz w:val="26"/>
                            <w:szCs w:val="26"/>
                            <w:lang w:val="en-US"/>
                          </w:rPr>
                          <w:t></w:t>
                        </w:r>
                      </w:p>
                    </w:txbxContent>
                  </v:textbox>
                </v:rect>
                <w10:anchorlock/>
              </v:group>
            </w:pict>
          </mc:Fallback>
        </mc:AlternateContent>
      </w:r>
    </w:p>
    <w:p>
      <w:pPr>
        <w:pStyle w:val="Recuodecorpodetexto"/>
        <w:spacing w:after="0" w:line="320" w:lineRule="exact"/>
        <w:ind w:left="0"/>
        <w:jc w:val="both"/>
        <w:rPr>
          <w:rFonts w:ascii="Calibri" w:hAnsi="Calibri" w:cs="Arial"/>
          <w:sz w:val="22"/>
          <w:szCs w:val="22"/>
        </w:rPr>
      </w:pPr>
      <w:r>
        <w:rPr>
          <w:rFonts w:ascii="Calibri" w:hAnsi="Calibri" w:cs="Arial"/>
          <w:sz w:val="22"/>
          <w:szCs w:val="22"/>
        </w:rPr>
        <w:t>Sendo que:</w:t>
      </w:r>
    </w:p>
    <w:p>
      <w:pPr>
        <w:pStyle w:val="Recuodecorpodetexto"/>
        <w:spacing w:after="0" w:line="320" w:lineRule="exact"/>
        <w:ind w:left="0"/>
        <w:jc w:val="both"/>
        <w:rPr>
          <w:rFonts w:ascii="Calibri" w:hAnsi="Calibri" w:cs="Arial"/>
          <w:sz w:val="22"/>
          <w:szCs w:val="22"/>
        </w:rPr>
      </w:pPr>
    </w:p>
    <w:p>
      <w:pPr>
        <w:pStyle w:val="Recuodecorpodetexto"/>
        <w:spacing w:after="0" w:line="320" w:lineRule="exact"/>
        <w:ind w:left="0"/>
        <w:jc w:val="both"/>
        <w:rPr>
          <w:rFonts w:ascii="Calibri" w:hAnsi="Calibri" w:cs="Arial"/>
          <w:sz w:val="22"/>
          <w:szCs w:val="22"/>
        </w:rPr>
      </w:pPr>
      <w:r>
        <w:rPr>
          <w:rFonts w:ascii="Calibri" w:hAnsi="Calibri" w:cs="Arial"/>
          <w:sz w:val="22"/>
          <w:szCs w:val="22"/>
        </w:rPr>
        <w:t>DI</w:t>
      </w:r>
      <w:r>
        <w:rPr>
          <w:rFonts w:ascii="Calibri" w:hAnsi="Calibri" w:cs="Arial"/>
          <w:sz w:val="22"/>
          <w:szCs w:val="22"/>
          <w:vertAlign w:val="subscript"/>
        </w:rPr>
        <w:t>k</w:t>
      </w:r>
      <w:r>
        <w:rPr>
          <w:rFonts w:ascii="Calibri" w:hAnsi="Calibri" w:cs="Arial"/>
          <w:sz w:val="22"/>
          <w:szCs w:val="22"/>
        </w:rPr>
        <w:t xml:space="preserve"> = Taxa DI, de ordem "k", divulgada pela </w:t>
      </w:r>
      <w:r>
        <w:rPr>
          <w:rFonts w:ascii="Calibri" w:hAnsi="Calibri" w:cs="Arial"/>
          <w:sz w:val="22"/>
          <w:szCs w:val="22"/>
          <w:lang w:val="pt-BR"/>
        </w:rPr>
        <w:t>B3</w:t>
      </w:r>
      <w:r>
        <w:rPr>
          <w:rFonts w:ascii="Calibri" w:hAnsi="Calibri" w:cs="Arial"/>
          <w:sz w:val="22"/>
          <w:szCs w:val="22"/>
        </w:rPr>
        <w:t xml:space="preserve">, </w:t>
      </w:r>
      <w:r>
        <w:rPr>
          <w:rFonts w:ascii="Calibri" w:hAnsi="Calibri" w:cs="Arial"/>
          <w:sz w:val="22"/>
          <w:szCs w:val="22"/>
          <w:lang w:val="pt-BR"/>
        </w:rPr>
        <w:t xml:space="preserve">ao ano, válida por 1 (um) dia útil (overnight), </w:t>
      </w:r>
      <w:r>
        <w:rPr>
          <w:rFonts w:ascii="Calibri" w:hAnsi="Calibri" w:cs="Arial"/>
          <w:sz w:val="22"/>
          <w:szCs w:val="22"/>
        </w:rPr>
        <w:t>utilizada com 2 (duas) casas decimais;</w:t>
      </w:r>
    </w:p>
    <w:p>
      <w:pPr>
        <w:pStyle w:val="Recuodecorpodetexto"/>
        <w:spacing w:after="0" w:line="320" w:lineRule="exact"/>
        <w:ind w:left="0"/>
        <w:jc w:val="both"/>
        <w:rPr>
          <w:rFonts w:ascii="Calibri" w:hAnsi="Calibri" w:cs="Arial"/>
          <w:sz w:val="22"/>
          <w:szCs w:val="22"/>
          <w:lang w:val="pt-BR"/>
        </w:rPr>
      </w:pPr>
      <w:r>
        <w:rPr>
          <w:rFonts w:ascii="Calibri" w:hAnsi="Calibri" w:cs="Arial"/>
          <w:sz w:val="22"/>
          <w:szCs w:val="22"/>
        </w:rPr>
        <w:t>Fator</w:t>
      </w:r>
      <w:r>
        <w:rPr>
          <w:rFonts w:ascii="Calibri" w:hAnsi="Calibri" w:cs="Arial"/>
          <w:sz w:val="22"/>
          <w:szCs w:val="22"/>
          <w:lang w:val="pt-BR"/>
        </w:rPr>
        <w:t xml:space="preserve"> </w:t>
      </w:r>
      <w:r>
        <w:rPr>
          <w:rFonts w:ascii="Calibri" w:hAnsi="Calibri" w:cs="Arial"/>
          <w:sz w:val="22"/>
          <w:szCs w:val="22"/>
        </w:rPr>
        <w:t xml:space="preserve">Spread: </w:t>
      </w:r>
      <w:r>
        <w:rPr>
          <w:rFonts w:ascii="Calibri" w:hAnsi="Calibri" w:cs="Arial"/>
          <w:sz w:val="22"/>
          <w:szCs w:val="22"/>
        </w:rPr>
        <w:tab/>
        <w:t>sobretaxa de juros fixos calculada com 9 (nove) casas decimais, com arredondamento, conforme fórmula abaixo</w:t>
      </w:r>
      <w:r>
        <w:rPr>
          <w:rFonts w:ascii="Calibri" w:hAnsi="Calibri" w:cs="Arial"/>
          <w:sz w:val="22"/>
          <w:szCs w:val="22"/>
          <w:lang w:val="pt-BR"/>
        </w:rPr>
        <w:t>:</w:t>
      </w:r>
    </w:p>
    <w:p>
      <w:pPr>
        <w:pStyle w:val="Recuodecorpodetexto"/>
        <w:spacing w:after="0" w:line="320" w:lineRule="exact"/>
        <w:ind w:left="0"/>
        <w:jc w:val="both"/>
        <w:rPr>
          <w:rFonts w:ascii="Calibri" w:hAnsi="Calibri" w:cs="Arial"/>
          <w:sz w:val="22"/>
          <w:szCs w:val="22"/>
          <w:lang w:val="pt-BR"/>
        </w:rPr>
      </w:pPr>
    </w:p>
    <w:p>
      <w:pPr>
        <w:pStyle w:val="Recuodecorpodetexto"/>
        <w:spacing w:after="0" w:line="320" w:lineRule="exact"/>
        <w:ind w:left="0"/>
        <w:jc w:val="both"/>
        <w:rPr>
          <w:rFonts w:ascii="Calibri" w:hAnsi="Calibri" w:cs="Arial"/>
          <w:sz w:val="22"/>
          <w:szCs w:val="22"/>
          <w:lang w:val="pt-BR"/>
        </w:rPr>
      </w:pPr>
    </w:p>
    <w:p>
      <w:pPr>
        <w:pStyle w:val="Recuodecorpodetexto"/>
        <w:spacing w:after="0" w:line="320" w:lineRule="exact"/>
        <w:ind w:left="0"/>
        <w:jc w:val="center"/>
        <w:rPr>
          <w:rFonts w:ascii="Calibri" w:hAnsi="Calibri" w:cs="Calibri"/>
          <w:noProof/>
          <w:sz w:val="22"/>
          <w:szCs w:val="22"/>
          <w:lang w:val="pt-BR" w:eastAsia="pt-BR"/>
        </w:rPr>
      </w:pPr>
    </w:p>
    <w:p>
      <w:pPr>
        <w:pStyle w:val="Recuodecorpodetexto"/>
        <w:tabs>
          <w:tab w:val="left" w:pos="2242"/>
        </w:tabs>
        <w:spacing w:after="0" w:line="320" w:lineRule="exact"/>
        <w:ind w:left="0"/>
        <w:jc w:val="both"/>
        <w:rPr>
          <w:rFonts w:ascii="Calibri" w:hAnsi="Calibri" w:cs="Arial"/>
          <w:sz w:val="22"/>
          <w:szCs w:val="22"/>
          <w:lang w:val="pt-BR"/>
        </w:rPr>
      </w:pPr>
      <w:r>
        <w:rPr>
          <w:rFonts w:ascii="Calibri" w:hAnsi="Calibri" w:cs="Arial"/>
          <w:sz w:val="22"/>
          <w:szCs w:val="22"/>
          <w:lang w:val="pt-BR"/>
        </w:rPr>
        <w:tab/>
      </w:r>
    </w:p>
    <w:p>
      <w:pPr>
        <w:pStyle w:val="Recuodecorpodetexto"/>
        <w:spacing w:after="0" w:line="320" w:lineRule="exact"/>
        <w:ind w:left="4962" w:hanging="2835"/>
        <w:jc w:val="both"/>
        <w:rPr>
          <w:rFonts w:ascii="Calibri" w:hAnsi="Calibri" w:cs="Arial"/>
          <w:sz w:val="22"/>
          <w:szCs w:val="22"/>
          <w:lang w:val="pt-BR"/>
        </w:rPr>
      </w:pPr>
      <w:r>
        <w:rPr>
          <w:rFonts w:ascii="Calibri" w:hAnsi="Calibri" w:cs="Arial"/>
          <w:noProof/>
          <w:sz w:val="22"/>
          <w:szCs w:val="22"/>
          <w:lang w:val="pt-BR" w:eastAsia="pt-BR"/>
        </w:rPr>
        <mc:AlternateContent>
          <mc:Choice Requires="wpc">
            <w:drawing>
              <wp:inline distT="0" distB="0" distL="0" distR="0">
                <wp:extent cx="2651760" cy="758190"/>
                <wp:effectExtent l="3810" t="0" r="1905" b="0"/>
                <wp:docPr id="54" name="Canvas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55"/>
                        <wps:cNvCnPr/>
                        <wps:spPr bwMode="auto">
                          <a:xfrm>
                            <a:off x="1427480" y="379730"/>
                            <a:ext cx="448310" cy="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 name="Line 56"/>
                        <wps:cNvCnPr/>
                        <wps:spPr bwMode="auto">
                          <a:xfrm>
                            <a:off x="2188845" y="198120"/>
                            <a:ext cx="15494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 name="Rectangle 57"/>
                        <wps:cNvSpPr>
                          <a:spLocks noChangeArrowheads="1"/>
                        </wps:cNvSpPr>
                        <wps:spPr bwMode="auto">
                          <a:xfrm>
                            <a:off x="2569845" y="440055"/>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4" name="Rectangle 58"/>
                        <wps:cNvSpPr>
                          <a:spLocks noChangeArrowheads="1"/>
                        </wps:cNvSpPr>
                        <wps:spPr bwMode="auto">
                          <a:xfrm>
                            <a:off x="2569845" y="555625"/>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5" name="Rectangle 59"/>
                        <wps:cNvSpPr>
                          <a:spLocks noChangeArrowheads="1"/>
                        </wps:cNvSpPr>
                        <wps:spPr bwMode="auto">
                          <a:xfrm>
                            <a:off x="2569845" y="165100"/>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6" name="Rectangle 60"/>
                        <wps:cNvSpPr>
                          <a:spLocks noChangeArrowheads="1"/>
                        </wps:cNvSpPr>
                        <wps:spPr bwMode="auto">
                          <a:xfrm>
                            <a:off x="2569845" y="285750"/>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7" name="Rectangle 61"/>
                        <wps:cNvSpPr>
                          <a:spLocks noChangeArrowheads="1"/>
                        </wps:cNvSpPr>
                        <wps:spPr bwMode="auto">
                          <a:xfrm>
                            <a:off x="2569845" y="16510"/>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8" name="Rectangle 62"/>
                        <wps:cNvSpPr>
                          <a:spLocks noChangeArrowheads="1"/>
                        </wps:cNvSpPr>
                        <wps:spPr bwMode="auto">
                          <a:xfrm>
                            <a:off x="1152525" y="440055"/>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9" name="Rectangle 63"/>
                        <wps:cNvSpPr>
                          <a:spLocks noChangeArrowheads="1"/>
                        </wps:cNvSpPr>
                        <wps:spPr bwMode="auto">
                          <a:xfrm>
                            <a:off x="1152525" y="555625"/>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0" name="Rectangle 64"/>
                        <wps:cNvSpPr>
                          <a:spLocks noChangeArrowheads="1"/>
                        </wps:cNvSpPr>
                        <wps:spPr bwMode="auto">
                          <a:xfrm>
                            <a:off x="1152525" y="165100"/>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1" name="Rectangle 65"/>
                        <wps:cNvSpPr>
                          <a:spLocks noChangeArrowheads="1"/>
                        </wps:cNvSpPr>
                        <wps:spPr bwMode="auto">
                          <a:xfrm>
                            <a:off x="1152525" y="285750"/>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2" name="Rectangle 66"/>
                        <wps:cNvSpPr>
                          <a:spLocks noChangeArrowheads="1"/>
                        </wps:cNvSpPr>
                        <wps:spPr bwMode="auto">
                          <a:xfrm>
                            <a:off x="1152525" y="16510"/>
                            <a:ext cx="819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3" name="Rectangle 67"/>
                        <wps:cNvSpPr>
                          <a:spLocks noChangeArrowheads="1"/>
                        </wps:cNvSpPr>
                        <wps:spPr bwMode="auto">
                          <a:xfrm>
                            <a:off x="2376170" y="37020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4" name="Rectangle 68"/>
                        <wps:cNvSpPr>
                          <a:spLocks noChangeArrowheads="1"/>
                        </wps:cNvSpPr>
                        <wps:spPr bwMode="auto">
                          <a:xfrm>
                            <a:off x="2376170" y="21590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5" name="Rectangle 69"/>
                        <wps:cNvSpPr>
                          <a:spLocks noChangeArrowheads="1"/>
                        </wps:cNvSpPr>
                        <wps:spPr bwMode="auto">
                          <a:xfrm>
                            <a:off x="2376170" y="50990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6" name="Rectangle 70"/>
                        <wps:cNvSpPr>
                          <a:spLocks noChangeArrowheads="1"/>
                        </wps:cNvSpPr>
                        <wps:spPr bwMode="auto">
                          <a:xfrm>
                            <a:off x="2376170" y="6223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7" name="Rectangle 71"/>
                        <wps:cNvSpPr>
                          <a:spLocks noChangeArrowheads="1"/>
                        </wps:cNvSpPr>
                        <wps:spPr bwMode="auto">
                          <a:xfrm>
                            <a:off x="1279525" y="37020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8" name="Rectangle 72"/>
                        <wps:cNvSpPr>
                          <a:spLocks noChangeArrowheads="1"/>
                        </wps:cNvSpPr>
                        <wps:spPr bwMode="auto">
                          <a:xfrm>
                            <a:off x="1279525" y="21590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19" name="Rectangle 73"/>
                        <wps:cNvSpPr>
                          <a:spLocks noChangeArrowheads="1"/>
                        </wps:cNvSpPr>
                        <wps:spPr bwMode="auto">
                          <a:xfrm>
                            <a:off x="1279525" y="50990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0" name="Rectangle 74"/>
                        <wps:cNvSpPr>
                          <a:spLocks noChangeArrowheads="1"/>
                        </wps:cNvSpPr>
                        <wps:spPr bwMode="auto">
                          <a:xfrm>
                            <a:off x="1279525" y="6223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1" name="Rectangle 75"/>
                        <wps:cNvSpPr>
                          <a:spLocks noChangeArrowheads="1"/>
                        </wps:cNvSpPr>
                        <wps:spPr bwMode="auto">
                          <a:xfrm>
                            <a:off x="2110105" y="27178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2" name="Rectangle 76"/>
                        <wps:cNvSpPr>
                          <a:spLocks noChangeArrowheads="1"/>
                        </wps:cNvSpPr>
                        <wps:spPr bwMode="auto">
                          <a:xfrm>
                            <a:off x="2110105" y="40322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3" name="Rectangle 77"/>
                        <wps:cNvSpPr>
                          <a:spLocks noChangeArrowheads="1"/>
                        </wps:cNvSpPr>
                        <wps:spPr bwMode="auto">
                          <a:xfrm>
                            <a:off x="2110105" y="16891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4" name="Rectangle 78"/>
                        <wps:cNvSpPr>
                          <a:spLocks noChangeArrowheads="1"/>
                        </wps:cNvSpPr>
                        <wps:spPr bwMode="auto">
                          <a:xfrm>
                            <a:off x="1342390" y="27178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5" name="Rectangle 79"/>
                        <wps:cNvSpPr>
                          <a:spLocks noChangeArrowheads="1"/>
                        </wps:cNvSpPr>
                        <wps:spPr bwMode="auto">
                          <a:xfrm>
                            <a:off x="1342390" y="403225"/>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6" name="Rectangle 80"/>
                        <wps:cNvSpPr>
                          <a:spLocks noChangeArrowheads="1"/>
                        </wps:cNvSpPr>
                        <wps:spPr bwMode="auto">
                          <a:xfrm>
                            <a:off x="1342390" y="168910"/>
                            <a:ext cx="63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7" name="Rectangle 81"/>
                        <wps:cNvSpPr>
                          <a:spLocks noChangeArrowheads="1"/>
                        </wps:cNvSpPr>
                        <wps:spPr bwMode="auto">
                          <a:xfrm>
                            <a:off x="1916430" y="258445"/>
                            <a:ext cx="9080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8" name="Rectangle 82"/>
                        <wps:cNvSpPr>
                          <a:spLocks noChangeArrowheads="1"/>
                        </wps:cNvSpPr>
                        <wps:spPr bwMode="auto">
                          <a:xfrm>
                            <a:off x="1028065" y="258445"/>
                            <a:ext cx="9080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rFonts w:ascii="Symbol" w:hAnsi="Symbol" w:cs="Symbol"/>
                                  <w:color w:val="000000"/>
                                  <w:sz w:val="26"/>
                                  <w:szCs w:val="26"/>
                                  <w:lang w:val="en-US"/>
                                </w:rPr>
                                <w:t></w:t>
                              </w:r>
                            </w:p>
                          </w:txbxContent>
                        </wps:txbx>
                        <wps:bodyPr rot="0" vert="horz" wrap="none" lIns="0" tIns="0" rIns="0" bIns="0" anchor="t" anchorCtr="0">
                          <a:spAutoFit/>
                        </wps:bodyPr>
                      </wps:wsp>
                      <wps:wsp>
                        <wps:cNvPr id="29" name="Rectangle 83"/>
                        <wps:cNvSpPr>
                          <a:spLocks noChangeArrowheads="1"/>
                        </wps:cNvSpPr>
                        <wps:spPr bwMode="auto">
                          <a:xfrm>
                            <a:off x="2518410" y="276860"/>
                            <a:ext cx="4191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 xml:space="preserve"> </w:t>
                              </w:r>
                            </w:p>
                          </w:txbxContent>
                        </wps:txbx>
                        <wps:bodyPr rot="0" vert="horz" wrap="none" lIns="0" tIns="0" rIns="0" bIns="0" anchor="t" anchorCtr="0">
                          <a:spAutoFit/>
                        </wps:bodyPr>
                      </wps:wsp>
                      <wps:wsp>
                        <wps:cNvPr id="30" name="Rectangle 84"/>
                        <wps:cNvSpPr>
                          <a:spLocks noChangeArrowheads="1"/>
                        </wps:cNvSpPr>
                        <wps:spPr bwMode="auto">
                          <a:xfrm>
                            <a:off x="2027555" y="27686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1</w:t>
                              </w:r>
                            </w:p>
                          </w:txbxContent>
                        </wps:txbx>
                        <wps:bodyPr rot="0" vert="horz" wrap="none" lIns="0" tIns="0" rIns="0" bIns="0" anchor="t" anchorCtr="0">
                          <a:spAutoFit/>
                        </wps:bodyPr>
                      </wps:wsp>
                      <wps:wsp>
                        <wps:cNvPr id="31" name="Rectangle 85"/>
                        <wps:cNvSpPr>
                          <a:spLocks noChangeArrowheads="1"/>
                        </wps:cNvSpPr>
                        <wps:spPr bwMode="auto">
                          <a:xfrm>
                            <a:off x="1520825" y="402590"/>
                            <a:ext cx="2482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100</w:t>
                              </w:r>
                            </w:p>
                          </w:txbxContent>
                        </wps:txbx>
                        <wps:bodyPr rot="0" vert="horz" wrap="none" lIns="0" tIns="0" rIns="0" bIns="0" anchor="t" anchorCtr="0">
                          <a:spAutoFit/>
                        </wps:bodyPr>
                      </wps:wsp>
                      <wps:wsp>
                        <wps:cNvPr id="32" name="Rectangle 86"/>
                        <wps:cNvSpPr>
                          <a:spLocks noChangeArrowheads="1"/>
                        </wps:cNvSpPr>
                        <wps:spPr bwMode="auto">
                          <a:xfrm>
                            <a:off x="1433830" y="175260"/>
                            <a:ext cx="4311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spread</w:t>
                              </w:r>
                            </w:p>
                          </w:txbxContent>
                        </wps:txbx>
                        <wps:bodyPr rot="0" vert="horz" wrap="none" lIns="0" tIns="0" rIns="0" bIns="0" anchor="t" anchorCtr="0">
                          <a:spAutoFit/>
                        </wps:bodyPr>
                      </wps:wsp>
                      <wps:wsp>
                        <wps:cNvPr id="33" name="Rectangle 87"/>
                        <wps:cNvSpPr>
                          <a:spLocks noChangeArrowheads="1"/>
                        </wps:cNvSpPr>
                        <wps:spPr bwMode="auto">
                          <a:xfrm>
                            <a:off x="1238250" y="276860"/>
                            <a:ext cx="4191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 xml:space="preserve"> </w:t>
                              </w:r>
                            </w:p>
                          </w:txbxContent>
                        </wps:txbx>
                        <wps:bodyPr rot="0" vert="horz" wrap="none" lIns="0" tIns="0" rIns="0" bIns="0" anchor="t" anchorCtr="0">
                          <a:spAutoFit/>
                        </wps:bodyPr>
                      </wps:wsp>
                      <wps:wsp>
                        <wps:cNvPr id="34" name="Rectangle 88"/>
                        <wps:cNvSpPr>
                          <a:spLocks noChangeArrowheads="1"/>
                        </wps:cNvSpPr>
                        <wps:spPr bwMode="auto">
                          <a:xfrm>
                            <a:off x="1113790" y="276860"/>
                            <a:ext cx="4191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 xml:space="preserve"> </w:t>
                              </w:r>
                            </w:p>
                          </w:txbxContent>
                        </wps:txbx>
                        <wps:bodyPr rot="0" vert="horz" wrap="none" lIns="0" tIns="0" rIns="0" bIns="0" anchor="t" anchorCtr="0">
                          <a:spAutoFit/>
                        </wps:bodyPr>
                      </wps:wsp>
                      <wps:wsp>
                        <wps:cNvPr id="35" name="Rectangle 89"/>
                        <wps:cNvSpPr>
                          <a:spLocks noChangeArrowheads="1"/>
                        </wps:cNvSpPr>
                        <wps:spPr bwMode="auto">
                          <a:xfrm>
                            <a:off x="989330" y="276860"/>
                            <a:ext cx="4191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 xml:space="preserve"> </w:t>
                              </w:r>
                            </w:p>
                          </w:txbxContent>
                        </wps:txbx>
                        <wps:bodyPr rot="0" vert="horz" wrap="none" lIns="0" tIns="0" rIns="0" bIns="0" anchor="t" anchorCtr="0">
                          <a:spAutoFit/>
                        </wps:bodyPr>
                      </wps:wsp>
                      <wps:wsp>
                        <wps:cNvPr id="36" name="Rectangle 90"/>
                        <wps:cNvSpPr>
                          <a:spLocks noChangeArrowheads="1"/>
                        </wps:cNvSpPr>
                        <wps:spPr bwMode="auto">
                          <a:xfrm>
                            <a:off x="908685" y="27686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ind w:left="-567"/>
                              </w:pPr>
                              <w:r>
                                <w:rPr>
                                  <w:color w:val="000000"/>
                                  <w:sz w:val="26"/>
                                  <w:szCs w:val="26"/>
                                  <w:lang w:val="en-US"/>
                                </w:rPr>
                                <w:t>d</w:t>
                              </w:r>
                            </w:p>
                          </w:txbxContent>
                        </wps:txbx>
                        <wps:bodyPr rot="0" vert="horz" wrap="none" lIns="0" tIns="0" rIns="0" bIns="0" anchor="t" anchorCtr="0">
                          <a:spAutoFit/>
                        </wps:bodyPr>
                      </wps:wsp>
                      <wps:wsp>
                        <wps:cNvPr id="37" name="Rectangle 91"/>
                        <wps:cNvSpPr>
                          <a:spLocks noChangeArrowheads="1"/>
                        </wps:cNvSpPr>
                        <wps:spPr bwMode="auto">
                          <a:xfrm>
                            <a:off x="185420" y="276860"/>
                            <a:ext cx="9283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26"/>
                                  <w:szCs w:val="26"/>
                                  <w:lang w:val="en-US"/>
                                </w:rPr>
                                <w:t>FatorSpread</w:t>
                              </w:r>
                            </w:p>
                          </w:txbxContent>
                        </wps:txbx>
                        <wps:bodyPr rot="0" vert="horz" wrap="square" lIns="0" tIns="0" rIns="0" bIns="0" anchor="t" anchorCtr="0">
                          <a:spAutoFit/>
                        </wps:bodyPr>
                      </wps:wsp>
                      <wps:wsp>
                        <wps:cNvPr id="38" name="Rectangle 92"/>
                        <wps:cNvSpPr>
                          <a:spLocks noChangeArrowheads="1"/>
                        </wps:cNvSpPr>
                        <wps:spPr bwMode="auto">
                          <a:xfrm>
                            <a:off x="2195195" y="213360"/>
                            <a:ext cx="1339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4"/>
                                  <w:szCs w:val="14"/>
                                  <w:lang w:val="en-US"/>
                                </w:rPr>
                                <w:t>252</w:t>
                              </w:r>
                            </w:p>
                          </w:txbxContent>
                        </wps:txbx>
                        <wps:bodyPr rot="0" vert="horz" wrap="none" lIns="0" tIns="0" rIns="0" bIns="0" anchor="t" anchorCtr="0">
                          <a:spAutoFit/>
                        </wps:bodyPr>
                      </wps:wsp>
                      <wps:wsp>
                        <wps:cNvPr id="39" name="Rectangle 93"/>
                        <wps:cNvSpPr>
                          <a:spLocks noChangeArrowheads="1"/>
                        </wps:cNvSpPr>
                        <wps:spPr bwMode="auto">
                          <a:xfrm>
                            <a:off x="2205355" y="76200"/>
                            <a:ext cx="11366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
                                <w:rPr>
                                  <w:color w:val="000000"/>
                                  <w:sz w:val="14"/>
                                  <w:szCs w:val="14"/>
                                  <w:lang w:val="en-US"/>
                                </w:rPr>
                                <w:t>DP</w:t>
                              </w:r>
                            </w:p>
                          </w:txbxContent>
                        </wps:txbx>
                        <wps:bodyPr rot="0" vert="horz" wrap="none" lIns="0" tIns="0" rIns="0" bIns="0" anchor="t" anchorCtr="0">
                          <a:spAutoFit/>
                        </wps:bodyPr>
                      </wps:wsp>
                    </wpc:wpc>
                  </a:graphicData>
                </a:graphic>
              </wp:inline>
            </w:drawing>
          </mc:Choice>
          <mc:Fallback>
            <w:pict>
              <v:group w14:anchorId="1AD4AA4B" id="Canvas 54" o:spid="_x0000_s1064" editas="canvas" style="width:208.8pt;height:59.7pt;mso-position-horizontal-relative:char;mso-position-vertical-relative:line" coordsize="26517,7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">
                <v:shape id="_x0000_s1065" type="#_x0000_t75" style="position:absolute;width:26517;height:7581;visibility:visible;mso-wrap-style:square">
                  <v:fill o:detectmouseclick="t"/>
                  <v:path o:connecttype="none"/>
                </v:shape>
                <v:line id="Line 55" o:spid="_x0000_s1066" style="position:absolute;visibility:visible;mso-wrap-style:square" from="14274,3797" to="18757,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HbDLsAAADaAAAADwAAAGRycy9kb3ducmV2LnhtbERPSwrCMBDdC94hjOBOU12IVlMRUejG&#10;hZ8DDM3YljaT2kStnt4Igqvh8b6zWnemFg9qXWlZwWQcgSDOrC45V3A570dzEM4ja6wtk4IXOVgn&#10;/d4KY22ffKTHyecihLCLUUHhfRNL6bKCDLqxbYgDd7WtQR9gm0vd4jOEm1pOo2gmDZYcGgpsaFtQ&#10;Vp3uRsER33OnF/nF4Q0P7/RcLcp0p9Rw0G2WIDx1/i/+uVMd5sP3le+VyQ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MgdsMuwAAANoAAAAPAAAAAAAAAAAAAAAAAKECAABk&#10;cnMvZG93bnJldi54bWxQSwUGAAAAAAQABAD5AAAAiQMAAAAA&#10;" strokeweight=".55pt"/>
                <v:line id="Line 56" o:spid="_x0000_s1067" style="position:absolute;visibility:visible;mso-wrap-style:square" from="21888,1981" to="23437,1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pJFcMAAADaAAAADwAAAGRycy9kb3ducmV2LnhtbESPQWsCMRSE7wX/Q3hCbzWrliKrUUQU&#10;pIfCqge9PTbPzeLmZU3iuv33TaHQ4zAz3zCLVW8b0ZEPtWMF41EGgrh0uuZKwem4e5uBCBFZY+OY&#10;FHxTgNVy8LLAXLsnF9QdYiUShEOOCkyMbS5lKA1ZDCPXEifv6rzFmKSvpPb4THDbyEmWfUiLNacF&#10;gy1tDJW3w8Mq8JcYzsV9+tm9V9v7182bI10LpV6H/XoOIlIf/8N/7b1WMIHfK+kGyO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66SRXDAAAA2gAAAA8AAAAAAAAAAAAA&#10;AAAAoQIAAGRycy9kb3ducmV2LnhtbFBLBQYAAAAABAAEAPkAAACRAwAAAAA=&#10;" strokeweight=".25pt"/>
                <v:rect id="Rectangle 57" o:spid="_x0000_s1068" style="position:absolute;left:25698;top:4400;width:819;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mVwcEA&#10;AADaAAAADwAAAGRycy9kb3ducmV2LnhtbESPzWrDMBCE74W+g9hCbrVcB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5lcHBAAAA2g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58" o:spid="_x0000_s1069" style="position:absolute;left:25698;top:5556;width:819;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NtcEA&#10;AADaAAAADwAAAGRycy9kb3ducmV2LnhtbESPzWrDMBCE74W+g9hCbrVcE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QDbXBAAAA2g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59" o:spid="_x0000_s1070" style="position:absolute;left:25698;top:1651;width:819;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oLsEA&#10;AADaAAAADwAAAGRycy9kb3ducmV2LnhtbESPzWrDMBCE74W+g9hCbrVcQ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qC7BAAAA2g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0" o:spid="_x0000_s1071" style="position:absolute;left:25698;top:2857;width:819;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42WcAA&#10;AADaAAAADwAAAGRycy9kb3ducmV2LnhtbESP3YrCMBSE74V9h3CEvdNUL0SqUUQo1GVvrD7AoTn9&#10;weSkJFlb336zsODlMDPfMPvjZI14kg+9YwWrZQaCuHa651bB/VYstiBCRNZoHJOCFwU4Hj5me8y1&#10;G/lKzyq2IkE45Kigi3HIpQx1RxbD0g3EyWuctxiT9K3UHscEt0aus2wjLfacFjoc6NxR/ah+rAJ5&#10;q4pxWxmfua91820u5bUhp9TnfDrtQESa4jv83y61gg38XUk3QB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42WcAAAADa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1" o:spid="_x0000_s1072" style="position:absolute;left:25698;top:165;width:819;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KTwsEA&#10;AADaAAAADwAAAGRycy9kb3ducmV2LnhtbESPzWrDMBCE74W+g9hCbrVcH1LjRAmlEEhDL7bzAIu1&#10;/qHSykhq7L59FSj0OMzMN8z+uFojbuTD5FjBS5aDIO6cnnhQcG1PzyWIEJE1Gsek4IcCHA+PD3us&#10;tFu4plsTB5EgHCpUMMY4V1KGbiSLIXMzcfJ65y3GJP0gtcclwa2RRZ5vpcWJ08KIM72P1H0131aB&#10;bJvTUjbG5+5S9J/m41z35JTaPK1vOxCR1vgf/muftYJXuF9JN0Ae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Ck8LBAAAA2g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2" o:spid="_x0000_s1073" style="position:absolute;left:11525;top:4400;width:819;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0HsL0A&#10;AADaAAAADwAAAGRycy9kb3ducmV2LnhtbERPy0rEMBTdD/gP4QrupqmzkKE2LcNAoYqb6fgBl+b2&#10;gclNSWJb/94sBJeH8y7r3Rqxkg+zYwXPWQ6CuHd65lHB5705nkGEiKzROCYFPxSgrh4OJRbabXyj&#10;tYujSCEcClQwxbgUUoZ+Ioshcwtx4gbnLcYE/Si1xy2FWyNPef4iLc6cGiZc6DpR/9V9WwXy3jXb&#10;uTM+d++n4cO8tbeBnFJPj/vlFUSkPf6L/9ytVpC2pivpBsjq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d0HsL0AAADaAAAADwAAAAAAAAAAAAAAAACYAgAAZHJzL2Rvd25yZXYu&#10;eG1sUEsFBgAAAAAEAAQA9QAAAII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3" o:spid="_x0000_s1074" style="position:absolute;left:11525;top:5556;width:819;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iK8EA&#10;AADaAAAADwAAAGRycy9kb3ducmV2LnhtbESPzWrDMBCE74W8g9hAb40cH4rrRgklEEhKLrb7AIu1&#10;/qHSykhK7L59VQj0OMzMN8zusFgj7uTD6FjBdpOBIG6dHrlX8NWcXgoQISJrNI5JwQ8FOOxXTzss&#10;tZu5onsde5EgHEpUMMQ4lVKGdiCLYeMm4uR1zluMSfpeao9zglsj8yx7lRZHTgsDTnQcqP2ub1aB&#10;bOrTXNTGZ+4z767mcq46cko9r5ePdxCRlvgffrTPWsEb/F1JN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RoivBAAAA2g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4" o:spid="_x0000_s1075" style="position:absolute;left:11525;top:1651;width:819;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5" o:spid="_x0000_s1076" style="position:absolute;left:11525;top:2857;width:819;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6" o:spid="_x0000_s1077" style="position:absolute;left:11525;top:165;width:819;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7" o:spid="_x0000_s1078" style="position:absolute;left:23761;top:3702;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8" o:spid="_x0000_s1079" style="position:absolute;left:23761;top:2159;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69" o:spid="_x0000_s1080" style="position:absolute;left:23761;top:5099;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0" o:spid="_x0000_s1081" style="position:absolute;left:23761;top:622;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1" o:spid="_x0000_s1082" style="position:absolute;left:12795;top:3702;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2" o:spid="_x0000_s1083" style="position:absolute;left:12795;top:2159;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3" o:spid="_x0000_s1084" style="position:absolute;left:12795;top:5099;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4" o:spid="_x0000_s1085" style="position:absolute;left:12795;top:622;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5" o:spid="_x0000_s1086" style="position:absolute;left:21101;top:2717;width:635;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6" o:spid="_x0000_s1087" style="position:absolute;left:21101;top:4032;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7" o:spid="_x0000_s1088" style="position:absolute;left:21101;top:1689;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8" o:spid="_x0000_s1089" style="position:absolute;left:13423;top:2717;width:635;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79" o:spid="_x0000_s1090" style="position:absolute;left:13423;top:4032;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80" o:spid="_x0000_s1091" style="position:absolute;left:13423;top:1689;width:635;height:20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81" o:spid="_x0000_s1092" style="position:absolute;left:19164;top:2584;width:908;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82" o:spid="_x0000_s1093" style="position:absolute;left:10280;top:2584;width:908;height:20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304604" w:rsidRDefault="00304604">
                        <w:r>
                          <w:rPr>
                            <w:rFonts w:ascii="Symbol" w:hAnsi="Symbol" w:cs="Symbol"/>
                            <w:color w:val="000000"/>
                            <w:sz w:val="26"/>
                            <w:szCs w:val="26"/>
                            <w:lang w:val="en-US"/>
                          </w:rPr>
                          <w:t></w:t>
                        </w:r>
                      </w:p>
                    </w:txbxContent>
                  </v:textbox>
                </v:rect>
                <v:rect id="Rectangle 83" o:spid="_x0000_s1094" style="position:absolute;left:25184;top:2768;width:419;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304604" w:rsidRDefault="00304604">
                        <w:r>
                          <w:rPr>
                            <w:color w:val="000000"/>
                            <w:sz w:val="26"/>
                            <w:szCs w:val="26"/>
                            <w:lang w:val="en-US"/>
                          </w:rPr>
                          <w:t xml:space="preserve"> </w:t>
                        </w:r>
                      </w:p>
                    </w:txbxContent>
                  </v:textbox>
                </v:rect>
                <v:rect id="Rectangle 84" o:spid="_x0000_s1095" style="position:absolute;left:20275;top:2768;width:832;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304604" w:rsidRDefault="00304604">
                        <w:r>
                          <w:rPr>
                            <w:color w:val="000000"/>
                            <w:sz w:val="26"/>
                            <w:szCs w:val="26"/>
                            <w:lang w:val="en-US"/>
                          </w:rPr>
                          <w:t>1</w:t>
                        </w:r>
                      </w:p>
                    </w:txbxContent>
                  </v:textbox>
                </v:rect>
                <v:rect id="Rectangle 85" o:spid="_x0000_s1096" style="position:absolute;left:15208;top:4025;width:2483;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304604" w:rsidRDefault="00304604">
                        <w:r>
                          <w:rPr>
                            <w:color w:val="000000"/>
                            <w:sz w:val="26"/>
                            <w:szCs w:val="26"/>
                            <w:lang w:val="en-US"/>
                          </w:rPr>
                          <w:t>100</w:t>
                        </w:r>
                      </w:p>
                    </w:txbxContent>
                  </v:textbox>
                </v:rect>
                <v:rect id="Rectangle 86" o:spid="_x0000_s1097" style="position:absolute;left:14338;top:1752;width:4311;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304604" w:rsidRDefault="00304604">
                        <w:proofErr w:type="gramStart"/>
                        <w:r>
                          <w:rPr>
                            <w:color w:val="000000"/>
                            <w:sz w:val="26"/>
                            <w:szCs w:val="26"/>
                            <w:lang w:val="en-US"/>
                          </w:rPr>
                          <w:t>spread</w:t>
                        </w:r>
                        <w:proofErr w:type="gramEnd"/>
                      </w:p>
                    </w:txbxContent>
                  </v:textbox>
                </v:rect>
                <v:rect id="Rectangle 87" o:spid="_x0000_s1098" style="position:absolute;left:12382;top:2768;width:419;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304604" w:rsidRDefault="00304604">
                        <w:r>
                          <w:rPr>
                            <w:color w:val="000000"/>
                            <w:sz w:val="26"/>
                            <w:szCs w:val="26"/>
                            <w:lang w:val="en-US"/>
                          </w:rPr>
                          <w:t xml:space="preserve"> </w:t>
                        </w:r>
                      </w:p>
                    </w:txbxContent>
                  </v:textbox>
                </v:rect>
                <v:rect id="Rectangle 88" o:spid="_x0000_s1099" style="position:absolute;left:11137;top:2768;width:420;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304604" w:rsidRDefault="00304604">
                        <w:r>
                          <w:rPr>
                            <w:color w:val="000000"/>
                            <w:sz w:val="26"/>
                            <w:szCs w:val="26"/>
                            <w:lang w:val="en-US"/>
                          </w:rPr>
                          <w:t xml:space="preserve"> </w:t>
                        </w:r>
                      </w:p>
                    </w:txbxContent>
                  </v:textbox>
                </v:rect>
                <v:rect id="Rectangle 89" o:spid="_x0000_s1100" style="position:absolute;left:9893;top:2768;width:419;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304604" w:rsidRDefault="00304604">
                        <w:r>
                          <w:rPr>
                            <w:color w:val="000000"/>
                            <w:sz w:val="26"/>
                            <w:szCs w:val="26"/>
                            <w:lang w:val="en-US"/>
                          </w:rPr>
                          <w:t xml:space="preserve"> </w:t>
                        </w:r>
                      </w:p>
                    </w:txbxContent>
                  </v:textbox>
                </v:rect>
                <v:rect id="Rectangle 90" o:spid="_x0000_s1101" style="position:absolute;left:9086;top:2768;width:832;height:18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304604" w:rsidRDefault="00304604" w:rsidP="000E1ABA">
                        <w:pPr>
                          <w:ind w:left="-567"/>
                        </w:pPr>
                        <w:proofErr w:type="gramStart"/>
                        <w:r>
                          <w:rPr>
                            <w:color w:val="000000"/>
                            <w:sz w:val="26"/>
                            <w:szCs w:val="26"/>
                            <w:lang w:val="en-US"/>
                          </w:rPr>
                          <w:t>d</w:t>
                        </w:r>
                        <w:proofErr w:type="gramEnd"/>
                      </w:p>
                    </w:txbxContent>
                  </v:textbox>
                </v:rect>
                <v:rect id="Rectangle 91" o:spid="_x0000_s1102" style="position:absolute;left:1854;top:2768;width:9283;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hi3MUA&#10;AADbAAAADwAAAGRycy9kb3ducmV2LnhtbESPQWvCQBSE74X+h+UVeim6UcHa1DUUIeBBENMe6u2R&#10;fc2mzb4N2a2J/npXEDwOM/MNs8wG24gjdb52rGAyTkAQl07XXCn4+sxHCxA+IGtsHJOCE3nIVo8P&#10;S0y163lPxyJUIkLYp6jAhNCmUvrSkEU/di1x9H5cZzFE2VVSd9hHuG3kNEnm0mLNccFgS2tD5V/x&#10;bxXku++a+Cz3L2+L3v2W00Nhtq1Sz0/DxzuIQEO4h2/tjVYwe4Xrl/gD5O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SGLcxQAAANsAAAAPAAAAAAAAAAAAAAAAAJgCAABkcnMv&#10;ZG93bnJldi54bWxQSwUGAAAAAAQABAD1AAAAigMAAAAA&#10;" filled="f" stroked="f">
                  <v:textbox style="mso-fit-shape-to-text:t" inset="0,0,0,0">
                    <w:txbxContent>
                      <w:p w:rsidR="00304604" w:rsidRDefault="00304604">
                        <w:proofErr w:type="spellStart"/>
                        <w:r>
                          <w:rPr>
                            <w:color w:val="000000"/>
                            <w:sz w:val="26"/>
                            <w:szCs w:val="26"/>
                            <w:lang w:val="en-US"/>
                          </w:rPr>
                          <w:t>FatorSpread</w:t>
                        </w:r>
                        <w:proofErr w:type="spellEnd"/>
                      </w:p>
                    </w:txbxContent>
                  </v:textbox>
                </v:rect>
                <v:rect id="Rectangle 92" o:spid="_x0000_s1103" style="position:absolute;left:21951;top:2133;width:1340;height:102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VG5L8A&#10;AADbAAAADwAAAGRycy9kb3ducmV2LnhtbERPS2rDMBDdF3IHMYXsarkO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9UbkvwAAANsAAAAPAAAAAAAAAAAAAAAAAJgCAABkcnMvZG93bnJl&#10;di54bWxQSwUGAAAAAAQABAD1AAAAhAMAAAAA&#10;" filled="f" stroked="f">
                  <v:textbox style="mso-fit-shape-to-text:t" inset="0,0,0,0">
                    <w:txbxContent>
                      <w:p w:rsidR="00304604" w:rsidRDefault="00304604">
                        <w:r>
                          <w:rPr>
                            <w:color w:val="000000"/>
                            <w:sz w:val="14"/>
                            <w:szCs w:val="14"/>
                            <w:lang w:val="en-US"/>
                          </w:rPr>
                          <w:t>252</w:t>
                        </w:r>
                      </w:p>
                    </w:txbxContent>
                  </v:textbox>
                </v:rect>
                <v:rect id="Rectangle 93" o:spid="_x0000_s1104" style="position:absolute;left:22053;top:762;width:1137;height:102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jf8EA&#10;AADbAAAADwAAAGRycy9kb3ducmV2LnhtbESPzYoCMRCE7wu+Q2jB25pRYd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543/BAAAA2wAAAA8AAAAAAAAAAAAAAAAAmAIAAGRycy9kb3du&#10;cmV2LnhtbFBLBQYAAAAABAAEAPUAAACGAwAAAAA=&#10;" filled="f" stroked="f">
                  <v:textbox style="mso-fit-shape-to-text:t" inset="0,0,0,0">
                    <w:txbxContent>
                      <w:p w:rsidR="00304604" w:rsidRDefault="00304604">
                        <w:r>
                          <w:rPr>
                            <w:color w:val="000000"/>
                            <w:sz w:val="14"/>
                            <w:szCs w:val="14"/>
                            <w:lang w:val="en-US"/>
                          </w:rPr>
                          <w:t>DP</w:t>
                        </w:r>
                      </w:p>
                    </w:txbxContent>
                  </v:textbox>
                </v:rect>
                <w10:anchorlock/>
              </v:group>
            </w:pict>
          </mc:Fallback>
        </mc:AlternateContent>
      </w:r>
    </w:p>
    <w:p>
      <w:pPr>
        <w:pStyle w:val="Recuodecorpodetexto"/>
        <w:spacing w:after="0" w:line="320" w:lineRule="exact"/>
        <w:ind w:left="0"/>
        <w:jc w:val="both"/>
        <w:rPr>
          <w:rFonts w:ascii="Calibri" w:hAnsi="Calibri" w:cs="Arial"/>
          <w:sz w:val="22"/>
          <w:szCs w:val="22"/>
          <w:lang w:val="pt-BR"/>
        </w:rPr>
      </w:pPr>
      <w:r>
        <w:rPr>
          <w:rFonts w:ascii="Calibri" w:hAnsi="Calibri" w:cs="Arial"/>
          <w:sz w:val="22"/>
          <w:szCs w:val="22"/>
          <w:lang w:val="pt-BR"/>
        </w:rPr>
        <w:t>Sendo que:</w:t>
      </w:r>
    </w:p>
    <w:p>
      <w:pPr>
        <w:pStyle w:val="Recuodecorpodetexto"/>
        <w:spacing w:after="0" w:line="320" w:lineRule="exact"/>
        <w:ind w:left="0"/>
        <w:jc w:val="both"/>
        <w:rPr>
          <w:rFonts w:ascii="Calibri" w:hAnsi="Calibri" w:cs="Arial"/>
          <w:sz w:val="22"/>
          <w:szCs w:val="22"/>
          <w:lang w:val="pt-BR"/>
        </w:rPr>
      </w:pPr>
      <w:r>
        <w:rPr>
          <w:rFonts w:ascii="Calibri" w:hAnsi="Calibri" w:cs="Arial"/>
          <w:i/>
          <w:sz w:val="22"/>
          <w:szCs w:val="22"/>
          <w:lang w:val="pt-BR"/>
        </w:rPr>
        <w:t>Spread</w:t>
      </w:r>
      <w:r>
        <w:rPr>
          <w:rFonts w:ascii="Calibri" w:hAnsi="Calibri" w:cs="Arial"/>
          <w:sz w:val="22"/>
          <w:szCs w:val="22"/>
          <w:lang w:val="pt-BR"/>
        </w:rPr>
        <w:t>:</w:t>
      </w:r>
      <w:r>
        <w:rPr>
          <w:rFonts w:ascii="Calibri" w:hAnsi="Calibri" w:cs="Arial"/>
          <w:sz w:val="22"/>
          <w:szCs w:val="22"/>
          <w:lang w:val="pt-BR"/>
        </w:rPr>
        <w:tab/>
        <w:t>2,2500 (dois inteiros e vinte e cinco centésimos); e</w:t>
      </w:r>
    </w:p>
    <w:p>
      <w:pPr>
        <w:pStyle w:val="Recuodecorpodetexto"/>
        <w:spacing w:after="0" w:line="320" w:lineRule="exact"/>
        <w:ind w:left="0"/>
        <w:jc w:val="both"/>
        <w:rPr>
          <w:rFonts w:ascii="Calibri" w:hAnsi="Calibri" w:cs="Arial"/>
          <w:sz w:val="22"/>
          <w:szCs w:val="22"/>
          <w:lang w:val="pt-BR"/>
        </w:rPr>
      </w:pPr>
      <w:r>
        <w:rPr>
          <w:rFonts w:ascii="Calibri" w:hAnsi="Calibri" w:cs="Arial"/>
          <w:sz w:val="22"/>
          <w:szCs w:val="22"/>
          <w:lang w:val="pt-BR"/>
        </w:rPr>
        <w:t>DP:</w:t>
      </w:r>
      <w:r>
        <w:rPr>
          <w:rFonts w:ascii="Calibri" w:hAnsi="Calibri" w:cs="Arial"/>
          <w:sz w:val="22"/>
          <w:szCs w:val="22"/>
          <w:lang w:val="pt-BR"/>
        </w:rPr>
        <w:tab/>
        <w:t>número de dias úteis entre a primeira Data de Integralização ou data de pagamento dos Juros Remuneratórios imediatamente anterior, conforme o caso, e a data atual, sendo “DP” um número inteiro.</w:t>
      </w:r>
    </w:p>
    <w:p>
      <w:pPr>
        <w:pStyle w:val="Recuodecorpodetexto"/>
        <w:spacing w:after="0" w:line="320" w:lineRule="exact"/>
        <w:ind w:left="0"/>
        <w:jc w:val="both"/>
        <w:rPr>
          <w:rFonts w:ascii="Calibri" w:hAnsi="Calibri" w:cs="Arial"/>
          <w:sz w:val="22"/>
          <w:szCs w:val="22"/>
        </w:rPr>
      </w:pPr>
    </w:p>
    <w:p>
      <w:pPr>
        <w:pStyle w:val="Recuodecorpodetexto"/>
        <w:spacing w:after="0" w:line="320" w:lineRule="exact"/>
        <w:ind w:left="0"/>
        <w:jc w:val="both"/>
        <w:rPr>
          <w:rFonts w:ascii="Calibri" w:hAnsi="Calibri" w:cs="Arial"/>
          <w:sz w:val="22"/>
          <w:szCs w:val="22"/>
        </w:rPr>
      </w:pPr>
      <w:r>
        <w:rPr>
          <w:rFonts w:ascii="Calibri" w:hAnsi="Calibri" w:cs="Arial"/>
          <w:sz w:val="22"/>
          <w:szCs w:val="22"/>
        </w:rPr>
        <w:t>Observações:</w:t>
      </w:r>
    </w:p>
    <w:p>
      <w:pPr>
        <w:pStyle w:val="Recuodecorpodetexto"/>
        <w:numPr>
          <w:ilvl w:val="0"/>
          <w:numId w:val="8"/>
        </w:numPr>
        <w:spacing w:after="0" w:line="320" w:lineRule="exact"/>
        <w:jc w:val="both"/>
        <w:rPr>
          <w:rFonts w:ascii="Calibri" w:hAnsi="Calibri" w:cs="Arial"/>
          <w:sz w:val="22"/>
          <w:szCs w:val="22"/>
        </w:rPr>
      </w:pPr>
      <w:r>
        <w:rPr>
          <w:rFonts w:ascii="Calibri" w:hAnsi="Calibri" w:cs="Arial"/>
          <w:sz w:val="22"/>
          <w:szCs w:val="22"/>
        </w:rPr>
        <w:t xml:space="preserve">A Taxa DI deverá ser utilizada considerando idêntico número de casas decimais divulgado pela </w:t>
      </w:r>
      <w:r>
        <w:rPr>
          <w:rFonts w:ascii="Calibri" w:hAnsi="Calibri" w:cs="Arial"/>
          <w:sz w:val="22"/>
          <w:szCs w:val="22"/>
          <w:lang w:val="pt-BR"/>
        </w:rPr>
        <w:t>B3</w:t>
      </w:r>
      <w:r>
        <w:rPr>
          <w:rFonts w:ascii="Calibri" w:hAnsi="Calibri" w:cs="Arial"/>
          <w:sz w:val="22"/>
          <w:szCs w:val="22"/>
        </w:rPr>
        <w:t>.</w:t>
      </w:r>
    </w:p>
    <w:p>
      <w:pPr>
        <w:pStyle w:val="Recuodecorpodetexto"/>
        <w:numPr>
          <w:ilvl w:val="0"/>
          <w:numId w:val="8"/>
        </w:numPr>
        <w:spacing w:after="0" w:line="320" w:lineRule="exact"/>
        <w:jc w:val="both"/>
        <w:rPr>
          <w:rFonts w:ascii="Calibri" w:hAnsi="Calibri" w:cs="Arial"/>
          <w:sz w:val="22"/>
          <w:szCs w:val="22"/>
        </w:rPr>
      </w:pPr>
      <w:r>
        <w:rPr>
          <w:rFonts w:ascii="Calibri" w:hAnsi="Calibri" w:cs="Arial"/>
          <w:sz w:val="22"/>
          <w:szCs w:val="22"/>
        </w:rPr>
        <w:t>O fator resultante da expressão (1 + TDI</w:t>
      </w:r>
      <w:r>
        <w:rPr>
          <w:rFonts w:ascii="Calibri" w:hAnsi="Calibri" w:cs="Arial"/>
          <w:sz w:val="22"/>
          <w:szCs w:val="22"/>
          <w:vertAlign w:val="subscript"/>
        </w:rPr>
        <w:t>k</w:t>
      </w:r>
      <w:r>
        <w:rPr>
          <w:rFonts w:ascii="Calibri" w:hAnsi="Calibri" w:cs="Arial"/>
          <w:sz w:val="22"/>
          <w:szCs w:val="22"/>
        </w:rPr>
        <w:t>) é considerado com 16 (dezesseis) casas decimais, sem arredondamento.</w:t>
      </w:r>
    </w:p>
    <w:p>
      <w:pPr>
        <w:pStyle w:val="Recuodecorpodetexto"/>
        <w:numPr>
          <w:ilvl w:val="0"/>
          <w:numId w:val="8"/>
        </w:numPr>
        <w:spacing w:after="0" w:line="320" w:lineRule="exact"/>
        <w:jc w:val="both"/>
        <w:rPr>
          <w:rFonts w:ascii="Calibri" w:hAnsi="Calibri" w:cs="Arial"/>
          <w:sz w:val="22"/>
          <w:szCs w:val="22"/>
        </w:rPr>
      </w:pPr>
      <w:r>
        <w:rPr>
          <w:rFonts w:ascii="Calibri" w:hAnsi="Calibri" w:cs="Arial"/>
          <w:sz w:val="22"/>
          <w:szCs w:val="22"/>
        </w:rPr>
        <w:t>Efetua-se o produtório dos fatores</w:t>
      </w:r>
      <w:r>
        <w:rPr>
          <w:rFonts w:ascii="Calibri" w:hAnsi="Calibri" w:cs="Arial"/>
          <w:i/>
          <w:sz w:val="22"/>
          <w:szCs w:val="22"/>
        </w:rPr>
        <w:t xml:space="preserve"> </w:t>
      </w:r>
      <w:r>
        <w:rPr>
          <w:rFonts w:ascii="Calibri" w:hAnsi="Calibri" w:cs="Arial"/>
          <w:sz w:val="22"/>
          <w:szCs w:val="22"/>
        </w:rPr>
        <w:t>(1 + TDI</w:t>
      </w:r>
      <w:r>
        <w:rPr>
          <w:rFonts w:ascii="Calibri" w:hAnsi="Calibri" w:cs="Arial"/>
          <w:sz w:val="22"/>
          <w:szCs w:val="22"/>
          <w:vertAlign w:val="subscript"/>
        </w:rPr>
        <w:t>k</w:t>
      </w:r>
      <w:r>
        <w:rPr>
          <w:rFonts w:ascii="Calibri" w:hAnsi="Calibri" w:cs="Arial"/>
          <w:sz w:val="22"/>
          <w:szCs w:val="22"/>
        </w:rPr>
        <w:t>), sendo que a cada fator acumulado, trunca-se o resultado com 16 (dezesseis) casas decimais, aplicando-se o próximo fator diário, e assim por diante até o último considerado.</w:t>
      </w:r>
    </w:p>
    <w:p>
      <w:pPr>
        <w:pStyle w:val="Recuodecorpodetexto"/>
        <w:numPr>
          <w:ilvl w:val="0"/>
          <w:numId w:val="8"/>
        </w:numPr>
        <w:spacing w:after="0" w:line="320" w:lineRule="exact"/>
        <w:jc w:val="both"/>
        <w:rPr>
          <w:rFonts w:ascii="Calibri" w:hAnsi="Calibri" w:cs="Arial"/>
          <w:sz w:val="22"/>
          <w:szCs w:val="22"/>
        </w:rPr>
      </w:pPr>
      <w:r>
        <w:rPr>
          <w:rFonts w:ascii="Calibri" w:hAnsi="Calibri" w:cs="Arial"/>
          <w:sz w:val="22"/>
          <w:szCs w:val="22"/>
        </w:rPr>
        <w:t>Estando os fatores acumulados, considera-se o fator resultante "Fator DI" com 8 (oito) casas decimais, com arredondamento.</w:t>
      </w:r>
    </w:p>
    <w:p>
      <w:pPr>
        <w:pStyle w:val="Recuodecorpodetexto"/>
        <w:numPr>
          <w:ilvl w:val="0"/>
          <w:numId w:val="8"/>
        </w:numPr>
        <w:spacing w:after="0" w:line="320" w:lineRule="exact"/>
        <w:jc w:val="both"/>
        <w:rPr>
          <w:rFonts w:ascii="Calibri" w:hAnsi="Calibri" w:cs="Arial"/>
          <w:sz w:val="22"/>
          <w:szCs w:val="22"/>
        </w:rPr>
      </w:pPr>
      <w:r>
        <w:rPr>
          <w:rFonts w:ascii="Calibri" w:hAnsi="Calibri" w:cs="Arial"/>
          <w:sz w:val="22"/>
          <w:szCs w:val="22"/>
        </w:rPr>
        <w:t>O fator resultante da expressão (Fator DI x Fator</w:t>
      </w:r>
      <w:r>
        <w:rPr>
          <w:rFonts w:ascii="Calibri" w:hAnsi="Calibri" w:cs="Arial"/>
          <w:sz w:val="22"/>
          <w:szCs w:val="22"/>
          <w:lang w:val="pt-BR"/>
        </w:rPr>
        <w:t xml:space="preserve"> </w:t>
      </w:r>
      <w:r>
        <w:rPr>
          <w:rFonts w:ascii="Calibri" w:hAnsi="Calibri" w:cs="Arial"/>
          <w:sz w:val="22"/>
          <w:szCs w:val="22"/>
        </w:rPr>
        <w:t>Spread) deve ser considerado com 9 (nove) casas decimais, com arredondamento</w:t>
      </w:r>
      <w:r>
        <w:rPr>
          <w:rFonts w:ascii="Calibri" w:hAnsi="Calibri" w:cs="Arial"/>
          <w:sz w:val="22"/>
          <w:szCs w:val="22"/>
          <w:lang w:val="pt-BR"/>
        </w:rPr>
        <w:t>.</w:t>
      </w:r>
    </w:p>
    <w:p>
      <w:pPr>
        <w:pStyle w:val="Corpodetexto2"/>
        <w:spacing w:line="320" w:lineRule="exact"/>
        <w:rPr>
          <w:rFonts w:ascii="Calibri" w:hAnsi="Calibri"/>
          <w:b/>
          <w:bCs/>
          <w:color w:val="auto"/>
          <w:sz w:val="22"/>
          <w:szCs w:val="22"/>
          <w:lang w:val="x-none"/>
        </w:rPr>
      </w:pPr>
    </w:p>
    <w:p>
      <w:pPr>
        <w:pStyle w:val="PargrafodaLista"/>
        <w:widowControl w:val="0"/>
        <w:numPr>
          <w:ilvl w:val="2"/>
          <w:numId w:val="32"/>
        </w:numPr>
        <w:tabs>
          <w:tab w:val="left" w:pos="1418"/>
        </w:tabs>
        <w:spacing w:line="320" w:lineRule="exact"/>
        <w:ind w:left="0" w:firstLine="0"/>
        <w:contextualSpacing/>
        <w:jc w:val="both"/>
      </w:pPr>
      <w:r>
        <w:t>No caso de indisponibilidade temporária da Taxa DI quando do pagamento de qualquer obrigação pecuniária prevista nesta Escritura, será utilizada, em sua substituição, a mesma taxa diária produzida pela última Taxa DI conhecida até a data do cálculo, não sendo devidas quaisquer compensações financeiras, tanto por parte da Emissora quanto do Agente Fiduciário, quando da divulgação posterior da Taxa DI.</w:t>
      </w:r>
    </w:p>
    <w:p>
      <w:pPr>
        <w:pStyle w:val="Recuodecorpodetexto"/>
        <w:spacing w:after="0" w:line="320" w:lineRule="exact"/>
        <w:ind w:left="0"/>
        <w:jc w:val="both"/>
        <w:rPr>
          <w:rFonts w:ascii="Calibri" w:hAnsi="Calibri"/>
          <w:sz w:val="22"/>
          <w:szCs w:val="22"/>
        </w:rPr>
      </w:pPr>
    </w:p>
    <w:p>
      <w:pPr>
        <w:pStyle w:val="PargrafodaLista"/>
        <w:widowControl w:val="0"/>
        <w:numPr>
          <w:ilvl w:val="2"/>
          <w:numId w:val="32"/>
        </w:numPr>
        <w:tabs>
          <w:tab w:val="left" w:pos="1418"/>
        </w:tabs>
        <w:spacing w:line="320" w:lineRule="exact"/>
        <w:ind w:left="0" w:firstLine="0"/>
        <w:contextualSpacing/>
        <w:jc w:val="both"/>
      </w:pPr>
      <w:r>
        <w:t xml:space="preserve">Na ausência de apuração e/ou divulgação da Taxa DI por prazo superior a 10 (dez) dias da data esperada para sua divulgação, ou, ainda, no caso de sua extinção por imposição legal ou determinação judicial, a Taxa DI deverá ser substituída pelo substituto determinado legalmente para tanto. No caso de não haver o substituto legal da Taxa DI, o Agente Fiduciário deverá, no prazo máximo de 5 (cinco) dias contados (i) do 11º (décimo primeiro) dia em que a Taxa DI não tenha sido divulgada ou (ii) do primeiro dia em que a Taxa DI não possa ser utilizada por proibição legal ou judicial, convocar Assembleia Geral de Debenturistas, no modo e prazos previstos no artigo 124 da Lei das Sociedades por Ações, para que os Debenturistas deliberem, em comum acordo com a Emissora e observada a legislação e regulamentação aplicável, sobre o novo parâmetro de remuneração das Debêntures a ser aplicado, devendo tal deliberação ser aprovada por </w:t>
      </w:r>
      <w:r>
        <w:lastRenderedPageBreak/>
        <w:t>Debenturistas detentores de, no mínimo, 75% (setenta e cinco por cento) das Debêntures em Circulação. Até a deliberação desse parâmetro será utilizada, para o cálculo do valor de quaisquer obrigações principais e acessórias previstas nesta Escritura, a mesma taxa diária produzida pela última Taxa DI conhecida.</w:t>
      </w:r>
    </w:p>
    <w:p>
      <w:pPr>
        <w:pStyle w:val="Corpodetexto2"/>
        <w:spacing w:line="320" w:lineRule="exact"/>
        <w:rPr>
          <w:rFonts w:ascii="Calibri" w:hAnsi="Calibri"/>
          <w:color w:val="auto"/>
          <w:sz w:val="22"/>
          <w:szCs w:val="22"/>
        </w:rPr>
      </w:pPr>
    </w:p>
    <w:p>
      <w:pPr>
        <w:pStyle w:val="PargrafodaLista"/>
        <w:widowControl w:val="0"/>
        <w:numPr>
          <w:ilvl w:val="2"/>
          <w:numId w:val="32"/>
        </w:numPr>
        <w:tabs>
          <w:tab w:val="left" w:pos="1418"/>
        </w:tabs>
        <w:spacing w:line="320" w:lineRule="exact"/>
        <w:ind w:left="0" w:firstLine="0"/>
        <w:contextualSpacing/>
        <w:jc w:val="both"/>
      </w:pPr>
      <w:r>
        <w:t>Caso a Taxa DI venha a ser divulgada antes da definição pelos Debenturistas e pela Emissora do parâmetro a ser aplicado, conforme previsto no item acima, a Taxa DI, a partir de sua divulgação, passará a ser utilizada para o cálculo dos Juros Remuneratórios, permanecendo a última Taxa DI conhecida anteriormente a ser utilizada até a data da divulgação.</w:t>
      </w:r>
    </w:p>
    <w:p>
      <w:pPr>
        <w:pStyle w:val="Corpodetexto2"/>
        <w:spacing w:line="320" w:lineRule="exact"/>
        <w:rPr>
          <w:rFonts w:ascii="Calibri" w:hAnsi="Calibri"/>
          <w:color w:val="auto"/>
          <w:sz w:val="22"/>
          <w:szCs w:val="22"/>
        </w:rPr>
      </w:pPr>
    </w:p>
    <w:p>
      <w:pPr>
        <w:pStyle w:val="PargrafodaLista"/>
        <w:widowControl w:val="0"/>
        <w:numPr>
          <w:ilvl w:val="2"/>
          <w:numId w:val="32"/>
        </w:numPr>
        <w:tabs>
          <w:tab w:val="left" w:pos="1418"/>
        </w:tabs>
        <w:spacing w:line="320" w:lineRule="exact"/>
        <w:ind w:left="0" w:firstLine="0"/>
        <w:contextualSpacing/>
        <w:jc w:val="both"/>
      </w:pPr>
      <w:r>
        <w:t>Caso não haja acordo sobre a taxa substitutiva entre a Emissora e o Agente Fiduciário</w:t>
      </w:r>
      <w:bookmarkStart w:id="23" w:name="_DV_C268"/>
      <w:bookmarkStart w:id="24" w:name="_DV_X275"/>
      <w:bookmarkEnd w:id="23"/>
      <w:bookmarkEnd w:id="24"/>
      <w:r>
        <w:t xml:space="preserve">, ou caso a assembleia dos Debenturistas não seja instalada ou não seja atingido o quórum de deliberação, a Emissora deverá comunicar ao Agente Fiduciário e resgatar antecipadamente e, consequentemente, cancelar as Debêntures, sem multa ou prêmio de qualquer natureza, no prazo de 30 (trinta) dias corridos a contar da comunicação ao Agente Fiduciário, pelo seu Valor Nominal Unitário ou saldo do Valor Nominal Unitário nos termos desta Escritura, acrescido dos Juros Remuneratórios devidos até a data </w:t>
      </w:r>
      <w:bookmarkStart w:id="25" w:name="_DV_C283"/>
      <w:r>
        <w:t xml:space="preserve">do efetivo </w:t>
      </w:r>
      <w:bookmarkEnd w:id="25"/>
      <w:r>
        <w:t xml:space="preserve">resgate e dos Encargos Moratórios (conforme definidos abaixo), se for o caso, calculado </w:t>
      </w:r>
      <w:r>
        <w:rPr>
          <w:i/>
          <w:iCs/>
        </w:rPr>
        <w:t>pro rata temporis</w:t>
      </w:r>
      <w:bookmarkStart w:id="26" w:name="_DV_C284"/>
      <w:r>
        <w:t>,</w:t>
      </w:r>
      <w:bookmarkEnd w:id="26"/>
      <w:r>
        <w:t xml:space="preserve"> a partir da primeira Data de Integralização ou da última data de pagamento ou capitalização dos Juros Remuneratórios, </w:t>
      </w:r>
      <w:bookmarkStart w:id="27" w:name="_DV_C286"/>
      <w:r>
        <w:t>conforme o caso. Nesta hipótese, para</w:t>
      </w:r>
      <w:bookmarkEnd w:id="27"/>
      <w:r>
        <w:t xml:space="preserve"> cálculo dos Juros Remuneratórios aplicável às Debêntures a serem resgatadas e, consequentemente, canceladas, será utilizada a mesma taxa diária produzida pela última Taxa DI </w:t>
      </w:r>
      <w:bookmarkStart w:id="28" w:name="_DV_C291"/>
      <w:r>
        <w:t>divulgada oficialmente</w:t>
      </w:r>
      <w:bookmarkStart w:id="29" w:name="_DV_C292"/>
      <w:bookmarkEnd w:id="28"/>
      <w:bookmarkEnd w:id="29"/>
      <w:r>
        <w:t>.</w:t>
      </w:r>
    </w:p>
    <w:p>
      <w:pPr>
        <w:pStyle w:val="Recuodecorpodetexto"/>
        <w:spacing w:after="0" w:line="320" w:lineRule="exact"/>
        <w:ind w:left="709" w:hanging="709"/>
        <w:jc w:val="both"/>
        <w:rPr>
          <w:rFonts w:ascii="Calibri" w:hAnsi="Calibri"/>
          <w:sz w:val="22"/>
          <w:szCs w:val="22"/>
        </w:rPr>
      </w:pPr>
    </w:p>
    <w:p>
      <w:pPr>
        <w:pStyle w:val="PargrafodaLista"/>
        <w:widowControl w:val="0"/>
        <w:numPr>
          <w:ilvl w:val="1"/>
          <w:numId w:val="11"/>
        </w:numPr>
        <w:tabs>
          <w:tab w:val="left" w:pos="1418"/>
        </w:tabs>
        <w:spacing w:line="320" w:lineRule="exact"/>
        <w:ind w:left="1418" w:hanging="1418"/>
        <w:contextualSpacing/>
        <w:jc w:val="both"/>
        <w:rPr>
          <w:b/>
        </w:rPr>
      </w:pPr>
      <w:bookmarkStart w:id="30" w:name="_DV_C298"/>
      <w:bookmarkEnd w:id="30"/>
      <w:r>
        <w:rPr>
          <w:b/>
        </w:rPr>
        <w:t>Repactuação Programada</w:t>
      </w:r>
    </w:p>
    <w:p>
      <w:pPr>
        <w:spacing w:line="320" w:lineRule="exact"/>
        <w:jc w:val="both"/>
        <w:rPr>
          <w:rFonts w:ascii="Calibri" w:hAnsi="Calibri"/>
          <w:sz w:val="22"/>
          <w:szCs w:val="22"/>
        </w:rPr>
      </w:pPr>
    </w:p>
    <w:p>
      <w:pPr>
        <w:pStyle w:val="PargrafodaLista"/>
        <w:widowControl w:val="0"/>
        <w:numPr>
          <w:ilvl w:val="2"/>
          <w:numId w:val="34"/>
        </w:numPr>
        <w:tabs>
          <w:tab w:val="left" w:pos="1418"/>
          <w:tab w:val="left" w:pos="1560"/>
        </w:tabs>
        <w:spacing w:line="320" w:lineRule="exact"/>
        <w:ind w:left="1418" w:hanging="1418"/>
        <w:contextualSpacing/>
        <w:jc w:val="both"/>
      </w:pPr>
      <w:r>
        <w:t>Não haverá repactuação programada das Debêntures.</w:t>
      </w:r>
    </w:p>
    <w:p>
      <w:pPr>
        <w:spacing w:line="320" w:lineRule="exact"/>
        <w:jc w:val="both"/>
        <w:rPr>
          <w:rFonts w:ascii="Calibri" w:hAnsi="Calibri"/>
          <w:sz w:val="22"/>
          <w:szCs w:val="22"/>
        </w:rPr>
      </w:pPr>
    </w:p>
    <w:p>
      <w:pPr>
        <w:pStyle w:val="PargrafodaLista"/>
        <w:widowControl w:val="0"/>
        <w:numPr>
          <w:ilvl w:val="1"/>
          <w:numId w:val="28"/>
        </w:numPr>
        <w:tabs>
          <w:tab w:val="left" w:pos="1418"/>
        </w:tabs>
        <w:spacing w:line="320" w:lineRule="exact"/>
        <w:ind w:left="1560" w:hanging="1560"/>
        <w:contextualSpacing/>
        <w:jc w:val="both"/>
      </w:pPr>
      <w:r>
        <w:rPr>
          <w:b/>
        </w:rPr>
        <w:t xml:space="preserve">Amortização </w:t>
      </w:r>
    </w:p>
    <w:p>
      <w:pPr>
        <w:pStyle w:val="DeltaViewTableHeading"/>
        <w:spacing w:after="0" w:line="320" w:lineRule="exact"/>
        <w:rPr>
          <w:rFonts w:ascii="Calibri" w:hAnsi="Calibri" w:cs="Times New Roman"/>
          <w:sz w:val="22"/>
          <w:szCs w:val="22"/>
          <w:lang w:val="pt-BR"/>
        </w:rPr>
      </w:pPr>
    </w:p>
    <w:p>
      <w:pPr>
        <w:pStyle w:val="PargrafodaLista"/>
        <w:widowControl w:val="0"/>
        <w:numPr>
          <w:ilvl w:val="2"/>
          <w:numId w:val="28"/>
        </w:numPr>
        <w:tabs>
          <w:tab w:val="left" w:pos="1418"/>
        </w:tabs>
        <w:spacing w:line="320" w:lineRule="exact"/>
        <w:ind w:left="0" w:firstLine="0"/>
        <w:contextualSpacing/>
        <w:jc w:val="both"/>
      </w:pPr>
      <w:bookmarkStart w:id="31" w:name="_DV_M112"/>
      <w:bookmarkStart w:id="32" w:name="_DV_M126"/>
      <w:bookmarkStart w:id="33" w:name="_DV_M132"/>
      <w:bookmarkStart w:id="34" w:name="_DV_M138"/>
      <w:bookmarkEnd w:id="31"/>
      <w:bookmarkEnd w:id="32"/>
      <w:bookmarkEnd w:id="33"/>
      <w:bookmarkEnd w:id="34"/>
      <w:r>
        <w:t>O Valor Nominal Unitário será amortizado pela Emissora, mensalmente, a partir da Data de Emissão de Debêntures, sendo a primeira parcela da amortização em 25 de janeiro de 2018 e a última na Data de Vencimento, observados os percentuais de amortização, indicados abaixo:</w:t>
      </w:r>
    </w:p>
    <w:p>
      <w:pPr>
        <w:pStyle w:val="PargrafodaLista"/>
        <w:spacing w:line="320" w:lineRule="exact"/>
      </w:pPr>
    </w:p>
    <w:tbl>
      <w:tblPr>
        <w:tblW w:w="5000" w:type="pct"/>
        <w:tblCellMar>
          <w:left w:w="70" w:type="dxa"/>
          <w:right w:w="70" w:type="dxa"/>
        </w:tblCellMar>
        <w:tblLook w:val="04A0" w:firstRow="1" w:lastRow="0" w:firstColumn="1" w:lastColumn="0" w:noHBand="0" w:noVBand="1"/>
      </w:tblPr>
      <w:tblGrid>
        <w:gridCol w:w="1017"/>
        <w:gridCol w:w="3751"/>
        <w:gridCol w:w="2031"/>
        <w:gridCol w:w="2031"/>
      </w:tblGrid>
      <w:tr>
        <w:trPr>
          <w:trHeight w:val="9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Data do Pagamento da Amortização</w:t>
            </w:r>
          </w:p>
        </w:tc>
        <w:tc>
          <w:tcPr>
            <w:tcW w:w="1150" w:type="pct"/>
            <w:tcBorders>
              <w:top w:val="single" w:sz="4" w:space="0" w:color="auto"/>
              <w:left w:val="nil"/>
              <w:bottom w:val="single" w:sz="4" w:space="0" w:color="auto"/>
              <w:right w:val="single" w:sz="4" w:space="0" w:color="auto"/>
            </w:tcBorders>
            <w:vAlign w:val="center"/>
          </w:tcPr>
          <w:p>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Pagamento de Juros Remuneratórios</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Percentual do Valor Nominal Unitário a ser amortizado</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2018</w:t>
            </w:r>
          </w:p>
        </w:tc>
        <w:tc>
          <w:tcPr>
            <w:tcW w:w="1150" w:type="pct"/>
            <w:tcBorders>
              <w:top w:val="single" w:sz="4" w:space="0" w:color="auto"/>
              <w:left w:val="nil"/>
              <w:bottom w:val="single" w:sz="4" w:space="0" w:color="auto"/>
              <w:right w:val="single" w:sz="4" w:space="0" w:color="auto"/>
            </w:tcBorders>
          </w:tcPr>
          <w:p>
            <w:pPr>
              <w:jc w:val="center"/>
              <w:rPr>
                <w:rFonts w:asciiTheme="minorHAnsi" w:hAnsiTheme="minorHAnsi" w:cstheme="minorHAnsi"/>
                <w:sz w:val="22"/>
                <w:szCs w:val="22"/>
              </w:rP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lastRenderedPageBreak/>
              <w:t>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2018</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2019</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29</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2020</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39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43</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45</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lastRenderedPageBreak/>
              <w:t>46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2021</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49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59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2022</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69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70</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2023</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79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84</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2024</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86</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lastRenderedPageBreak/>
              <w:t>87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89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2025</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99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101</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2026</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109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janeiro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fevereiro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111</w:t>
            </w:r>
          </w:p>
        </w:tc>
        <w:tc>
          <w:tcPr>
            <w:tcW w:w="2124" w:type="pct"/>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março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112</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abril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113</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maio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114</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junho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115</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julho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116</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agosto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117</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setembro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118</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outubro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119</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novembro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0,8333%</w:t>
            </w:r>
          </w:p>
        </w:tc>
      </w:tr>
      <w:tr>
        <w:trPr>
          <w:trHeight w:val="300"/>
        </w:trPr>
        <w:tc>
          <w:tcPr>
            <w:tcW w:w="576" w:type="pct"/>
            <w:tcBorders>
              <w:top w:val="nil"/>
              <w:left w:val="single" w:sz="4" w:space="0" w:color="auto"/>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120</w:t>
            </w:r>
          </w:p>
        </w:tc>
        <w:tc>
          <w:tcPr>
            <w:tcW w:w="2124" w:type="pct"/>
            <w:tcBorders>
              <w:top w:val="nil"/>
              <w:left w:val="nil"/>
              <w:bottom w:val="single" w:sz="4" w:space="0" w:color="auto"/>
              <w:right w:val="single" w:sz="4" w:space="0" w:color="auto"/>
            </w:tcBorders>
            <w:shd w:val="clear" w:color="auto" w:fill="auto"/>
            <w:noWrap/>
            <w:vAlign w:val="center"/>
            <w:hideMark/>
          </w:tcPr>
          <w:p>
            <w:pPr>
              <w:jc w:val="center"/>
              <w:rPr>
                <w:rFonts w:asciiTheme="minorHAnsi" w:hAnsiTheme="minorHAnsi" w:cstheme="minorHAnsi"/>
                <w:sz w:val="22"/>
                <w:szCs w:val="22"/>
              </w:rPr>
            </w:pPr>
            <w:r>
              <w:rPr>
                <w:rFonts w:asciiTheme="minorHAnsi" w:hAnsiTheme="minorHAnsi" w:cstheme="minorHAnsi"/>
                <w:sz w:val="22"/>
                <w:szCs w:val="22"/>
              </w:rPr>
              <w:t>25 de dezembro de 2027</w:t>
            </w:r>
          </w:p>
        </w:tc>
        <w:tc>
          <w:tcPr>
            <w:tcW w:w="1150" w:type="pct"/>
            <w:tcBorders>
              <w:top w:val="single" w:sz="4" w:space="0" w:color="auto"/>
              <w:left w:val="nil"/>
              <w:bottom w:val="single" w:sz="4" w:space="0" w:color="auto"/>
              <w:right w:val="single" w:sz="4" w:space="0" w:color="auto"/>
            </w:tcBorders>
          </w:tcPr>
          <w:p>
            <w:pPr>
              <w:jc w:val="center"/>
            </w:pPr>
            <w:r>
              <w:rPr>
                <w:rFonts w:asciiTheme="minorHAnsi" w:hAnsiTheme="minorHAnsi" w:cstheme="minorHAnsi"/>
                <w:sz w:val="22"/>
                <w:szCs w:val="22"/>
              </w:rPr>
              <w:t>Sim</w:t>
            </w:r>
          </w:p>
        </w:tc>
        <w:tc>
          <w:tcPr>
            <w:tcW w:w="1150" w:type="pct"/>
            <w:tcBorders>
              <w:top w:val="nil"/>
              <w:left w:val="single" w:sz="4" w:space="0" w:color="auto"/>
              <w:bottom w:val="single" w:sz="4" w:space="0" w:color="auto"/>
              <w:right w:val="single" w:sz="4" w:space="0" w:color="auto"/>
            </w:tcBorders>
            <w:shd w:val="clear" w:color="auto" w:fill="auto"/>
            <w:vAlign w:val="center"/>
            <w:hideMark/>
          </w:tcPr>
          <w:p>
            <w:pPr>
              <w:jc w:val="center"/>
              <w:rPr>
                <w:rFonts w:asciiTheme="minorHAnsi" w:hAnsiTheme="minorHAnsi" w:cstheme="minorHAnsi"/>
                <w:sz w:val="22"/>
                <w:szCs w:val="22"/>
              </w:rPr>
            </w:pPr>
            <w:r>
              <w:rPr>
                <w:rFonts w:asciiTheme="minorHAnsi" w:hAnsiTheme="minorHAnsi" w:cstheme="minorHAnsi"/>
                <w:sz w:val="22"/>
                <w:szCs w:val="22"/>
              </w:rPr>
              <w:t>Saldo Final</w:t>
            </w:r>
          </w:p>
        </w:tc>
      </w:tr>
    </w:tbl>
    <w:p>
      <w:pPr>
        <w:spacing w:line="320" w:lineRule="exact"/>
        <w:ind w:left="567"/>
        <w:jc w:val="center"/>
        <w:rPr>
          <w:rFonts w:ascii="Calibri" w:hAnsi="Calibri"/>
          <w:sz w:val="22"/>
          <w:szCs w:val="22"/>
        </w:rPr>
      </w:pPr>
    </w:p>
    <w:p>
      <w:pPr>
        <w:pStyle w:val="PargrafodaLista"/>
        <w:widowControl w:val="0"/>
        <w:numPr>
          <w:ilvl w:val="1"/>
          <w:numId w:val="28"/>
        </w:numPr>
        <w:tabs>
          <w:tab w:val="left" w:pos="1418"/>
        </w:tabs>
        <w:spacing w:line="320" w:lineRule="exact"/>
        <w:contextualSpacing/>
        <w:jc w:val="both"/>
        <w:rPr>
          <w:b/>
          <w:w w:val="0"/>
        </w:rPr>
      </w:pPr>
      <w:r>
        <w:rPr>
          <w:b/>
        </w:rPr>
        <w:tab/>
      </w:r>
      <w:bookmarkStart w:id="35" w:name="_DV_M139"/>
      <w:bookmarkEnd w:id="35"/>
      <w:r>
        <w:rPr>
          <w:b/>
          <w:w w:val="0"/>
        </w:rPr>
        <w:t xml:space="preserve">Local de Pagamento </w:t>
      </w:r>
    </w:p>
    <w:p>
      <w:pPr>
        <w:pStyle w:val="Ttulo3"/>
        <w:tabs>
          <w:tab w:val="clear" w:pos="1800"/>
          <w:tab w:val="left" w:pos="1418"/>
        </w:tabs>
        <w:spacing w:line="320" w:lineRule="exact"/>
        <w:jc w:val="both"/>
        <w:rPr>
          <w:rFonts w:ascii="Calibri" w:hAnsi="Calibri"/>
          <w:b w:val="0"/>
          <w:i/>
          <w:w w:val="0"/>
        </w:rPr>
      </w:pPr>
    </w:p>
    <w:p>
      <w:pPr>
        <w:pStyle w:val="PargrafodaLista"/>
        <w:widowControl w:val="0"/>
        <w:numPr>
          <w:ilvl w:val="2"/>
          <w:numId w:val="28"/>
        </w:numPr>
        <w:tabs>
          <w:tab w:val="left" w:pos="1418"/>
        </w:tabs>
        <w:spacing w:line="320" w:lineRule="exact"/>
        <w:ind w:left="0" w:firstLine="0"/>
        <w:contextualSpacing/>
        <w:jc w:val="both"/>
        <w:rPr>
          <w:b/>
        </w:rPr>
      </w:pPr>
      <w:bookmarkStart w:id="36" w:name="_DV_M140"/>
      <w:bookmarkEnd w:id="36"/>
      <w:r>
        <w:t xml:space="preserve">Os pagamentos referentes às Debêntures e a quaisquer outros valores eventualmente devidos pela Emissora nos termos desta Escritura serão efetuados pela Emissora, por intermédio da B3, conforme as Debêntures estejam custodiadas eletronicamente na B3 ou, </w:t>
      </w:r>
      <w:r>
        <w:lastRenderedPageBreak/>
        <w:t>ainda, por meio do Escriturador para os Debenturistas que não tiverem suas Debêntures custodiadas eletronicamente na B3</w:t>
      </w:r>
    </w:p>
    <w:p>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pStyle w:val="PargrafodaLista"/>
        <w:widowControl w:val="0"/>
        <w:numPr>
          <w:ilvl w:val="1"/>
          <w:numId w:val="28"/>
        </w:numPr>
        <w:tabs>
          <w:tab w:val="left" w:pos="1418"/>
        </w:tabs>
        <w:spacing w:line="320" w:lineRule="exact"/>
        <w:ind w:left="1418" w:hanging="1418"/>
        <w:contextualSpacing/>
        <w:jc w:val="both"/>
        <w:rPr>
          <w:b/>
          <w:w w:val="0"/>
        </w:rPr>
      </w:pPr>
      <w:bookmarkStart w:id="37" w:name="_DV_M143"/>
      <w:bookmarkEnd w:id="37"/>
      <w:r>
        <w:rPr>
          <w:b/>
          <w:w w:val="0"/>
        </w:rPr>
        <w:t>Prorrogação dos Prazos</w:t>
      </w:r>
    </w:p>
    <w:p>
      <w:pPr>
        <w:spacing w:line="320" w:lineRule="exact"/>
        <w:jc w:val="both"/>
        <w:rPr>
          <w:rFonts w:ascii="Calibri" w:eastAsia="Arial Unicode MS" w:hAnsi="Calibri"/>
          <w:w w:val="0"/>
          <w:sz w:val="22"/>
          <w:szCs w:val="22"/>
        </w:rPr>
      </w:pPr>
    </w:p>
    <w:p>
      <w:pPr>
        <w:pStyle w:val="PargrafodaLista"/>
        <w:widowControl w:val="0"/>
        <w:numPr>
          <w:ilvl w:val="2"/>
          <w:numId w:val="28"/>
        </w:numPr>
        <w:tabs>
          <w:tab w:val="left" w:pos="1418"/>
        </w:tabs>
        <w:spacing w:line="320" w:lineRule="exact"/>
        <w:ind w:left="0" w:firstLine="0"/>
        <w:contextualSpacing/>
        <w:jc w:val="both"/>
        <w:rPr>
          <w:rFonts w:eastAsia="Arial Unicode MS"/>
          <w:w w:val="0"/>
        </w:rPr>
      </w:pPr>
      <w:bookmarkStart w:id="38" w:name="_DV_M144"/>
      <w:bookmarkEnd w:id="38"/>
      <w:r>
        <w:rPr>
          <w:rFonts w:eastAsia="Arial Unicode MS"/>
          <w:w w:val="0"/>
        </w:rPr>
        <w:t xml:space="preserve">Considerar-se-ão automaticamente </w:t>
      </w:r>
      <w:bookmarkStart w:id="39" w:name="_DV_C294"/>
      <w:r>
        <w:rPr>
          <w:rFonts w:eastAsia="Arial Unicode MS"/>
          <w:w w:val="0"/>
        </w:rPr>
        <w:t xml:space="preserve">prorrogadas as datas de pagamento de qualquer obrigação por quaisquer das Partes, </w:t>
      </w:r>
      <w:bookmarkStart w:id="40" w:name="_DV_M145"/>
      <w:bookmarkEnd w:id="39"/>
      <w:bookmarkEnd w:id="40"/>
      <w:r>
        <w:rPr>
          <w:rFonts w:eastAsia="Arial Unicode MS"/>
          <w:w w:val="0"/>
        </w:rPr>
        <w:t>até o primeiro dia útil subsequente, sem</w:t>
      </w:r>
      <w:bookmarkStart w:id="41" w:name="_DV_M147"/>
      <w:bookmarkEnd w:id="41"/>
      <w:r>
        <w:rPr>
          <w:rFonts w:eastAsia="Arial Unicode MS"/>
          <w:w w:val="0"/>
        </w:rPr>
        <w:t xml:space="preserve"> qualquer acréscimo</w:t>
      </w:r>
      <w:bookmarkStart w:id="42" w:name="_DV_M148"/>
      <w:bookmarkEnd w:id="42"/>
      <w:r>
        <w:rPr>
          <w:rFonts w:eastAsia="Arial Unicode MS"/>
          <w:w w:val="0"/>
        </w:rPr>
        <w:t xml:space="preserve"> aos valores a serem pagos.</w:t>
      </w:r>
    </w:p>
    <w:p>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pStyle w:val="PargrafodaLista"/>
        <w:widowControl w:val="0"/>
        <w:numPr>
          <w:ilvl w:val="1"/>
          <w:numId w:val="28"/>
        </w:numPr>
        <w:tabs>
          <w:tab w:val="left" w:pos="1418"/>
        </w:tabs>
        <w:spacing w:line="320" w:lineRule="exact"/>
        <w:ind w:left="1418" w:hanging="1418"/>
        <w:contextualSpacing/>
        <w:jc w:val="both"/>
        <w:rPr>
          <w:b/>
          <w:w w:val="0"/>
        </w:rPr>
      </w:pPr>
      <w:bookmarkStart w:id="43" w:name="_DV_M149"/>
      <w:bookmarkEnd w:id="43"/>
      <w:r>
        <w:rPr>
          <w:b/>
          <w:w w:val="0"/>
        </w:rPr>
        <w:t>Encargos Moratórios</w:t>
      </w:r>
    </w:p>
    <w:p>
      <w:pPr>
        <w:spacing w:line="320" w:lineRule="exact"/>
        <w:jc w:val="both"/>
        <w:rPr>
          <w:rFonts w:ascii="Calibri" w:eastAsia="Arial Unicode MS" w:hAnsi="Calibri"/>
          <w:w w:val="0"/>
          <w:sz w:val="22"/>
          <w:szCs w:val="22"/>
        </w:rPr>
      </w:pPr>
    </w:p>
    <w:p>
      <w:pPr>
        <w:pStyle w:val="PargrafodaLista"/>
        <w:widowControl w:val="0"/>
        <w:numPr>
          <w:ilvl w:val="2"/>
          <w:numId w:val="28"/>
        </w:numPr>
        <w:tabs>
          <w:tab w:val="left" w:pos="1418"/>
        </w:tabs>
        <w:spacing w:line="320" w:lineRule="exact"/>
        <w:ind w:left="0" w:firstLine="0"/>
        <w:contextualSpacing/>
        <w:jc w:val="both"/>
        <w:rPr>
          <w:rFonts w:eastAsia="Arial Unicode MS"/>
          <w:w w:val="0"/>
        </w:rPr>
      </w:pPr>
      <w:bookmarkStart w:id="44" w:name="_DV_M150"/>
      <w:bookmarkEnd w:id="44"/>
      <w:r>
        <w:rPr>
          <w:rFonts w:eastAsia="Arial Unicode MS"/>
          <w:w w:val="0"/>
        </w:rPr>
        <w:t xml:space="preserve">Sem prejuízo dos Juros Remuneratórios, os quais continuarão a incidir até que o valor devido seja efetivamente pago, ocorrendo impontualidade no pagamento pela Emissora de quaisquer obrigações pecuniárias relativas às Debêntures, os débitos vencidos e não pagos serão acrescidos de juros de mora de 1% (um por cento) ao mês, calculados </w:t>
      </w:r>
      <w:r>
        <w:rPr>
          <w:rFonts w:eastAsia="Arial Unicode MS"/>
          <w:i/>
          <w:w w:val="0"/>
        </w:rPr>
        <w:t>pro rata temporis</w:t>
      </w:r>
      <w:r>
        <w:rPr>
          <w:rFonts w:eastAsia="Arial Unicode MS"/>
          <w:w w:val="0"/>
        </w:rPr>
        <w:t xml:space="preserve">, desde a data de inadimplemento até a data do efetivo pagamento, bem como de multa convencional, irredutível e não compensatória de 2% (dois por cento) sobre o valor devido, independentemente de aviso, notificação ou interpelação judicial ou extrajudicial (em conjunto, “Encargos Moratórios”). </w:t>
      </w:r>
    </w:p>
    <w:p>
      <w:pPr>
        <w:pStyle w:val="Corpodetexto"/>
        <w:tabs>
          <w:tab w:val="left" w:pos="1418"/>
        </w:tabs>
        <w:spacing w:after="0" w:line="320" w:lineRule="exact"/>
        <w:jc w:val="both"/>
        <w:rPr>
          <w:rFonts w:ascii="Calibri" w:eastAsia="Arial Unicode MS" w:hAnsi="Calibri"/>
          <w:w w:val="0"/>
          <w:sz w:val="22"/>
          <w:szCs w:val="22"/>
        </w:rPr>
      </w:pPr>
    </w:p>
    <w:p>
      <w:pPr>
        <w:widowControl w:val="0"/>
        <w:numPr>
          <w:ilvl w:val="0"/>
          <w:numId w:val="28"/>
        </w:numPr>
        <w:tabs>
          <w:tab w:val="left" w:pos="1418"/>
        </w:tabs>
        <w:spacing w:line="320" w:lineRule="exact"/>
        <w:ind w:left="0" w:firstLine="0"/>
        <w:contextualSpacing/>
        <w:jc w:val="both"/>
        <w:rPr>
          <w:rFonts w:ascii="Calibri" w:hAnsi="Calibri" w:cs="Calibri"/>
          <w:b/>
          <w:w w:val="0"/>
          <w:sz w:val="22"/>
          <w:szCs w:val="22"/>
        </w:rPr>
      </w:pPr>
      <w:r>
        <w:rPr>
          <w:rFonts w:ascii="Calibri" w:hAnsi="Calibri" w:cs="Calibri"/>
          <w:b/>
          <w:w w:val="0"/>
          <w:sz w:val="22"/>
          <w:szCs w:val="22"/>
        </w:rPr>
        <w:t xml:space="preserve">DA AMORTIZAÇÃO EXTRAORDINÁRIA FACULTATIVA, DA AMORTIZAÇÃO EXTRAORDINÁRIA OBRIGATÓRIA, DO RESGATE ANTECIPADO FACULTATIVO E DO VENCIMENTO ANTECIPADO. </w:t>
      </w:r>
    </w:p>
    <w:p>
      <w:pPr>
        <w:spacing w:line="320" w:lineRule="exact"/>
        <w:rPr>
          <w:rFonts w:ascii="Calibri" w:hAnsi="Calibri"/>
          <w:sz w:val="22"/>
          <w:szCs w:val="22"/>
        </w:rPr>
      </w:pPr>
      <w:bookmarkStart w:id="45" w:name="_DV_M154"/>
      <w:bookmarkStart w:id="46" w:name="_DV_M159"/>
      <w:bookmarkStart w:id="47" w:name="_DV_M161"/>
      <w:bookmarkStart w:id="48" w:name="_DV_M163"/>
      <w:bookmarkStart w:id="49" w:name="_DV_M164"/>
      <w:bookmarkStart w:id="50" w:name="_DV_M184"/>
      <w:bookmarkStart w:id="51" w:name="_DV_M115"/>
      <w:bookmarkStart w:id="52" w:name="_DV_M186"/>
      <w:bookmarkStart w:id="53" w:name="_DV_M187"/>
      <w:bookmarkEnd w:id="22"/>
      <w:bookmarkEnd w:id="45"/>
      <w:bookmarkEnd w:id="46"/>
      <w:bookmarkEnd w:id="47"/>
      <w:bookmarkEnd w:id="48"/>
      <w:bookmarkEnd w:id="49"/>
      <w:bookmarkEnd w:id="50"/>
      <w:bookmarkEnd w:id="51"/>
      <w:bookmarkEnd w:id="52"/>
      <w:bookmarkEnd w:id="53"/>
    </w:p>
    <w:p>
      <w:pPr>
        <w:pStyle w:val="PargrafodaLista"/>
        <w:widowControl w:val="0"/>
        <w:numPr>
          <w:ilvl w:val="1"/>
          <w:numId w:val="16"/>
        </w:numPr>
        <w:tabs>
          <w:tab w:val="left" w:pos="1418"/>
        </w:tabs>
        <w:spacing w:line="320" w:lineRule="exact"/>
        <w:ind w:left="0" w:firstLine="0"/>
        <w:contextualSpacing/>
        <w:jc w:val="both"/>
      </w:pPr>
      <w:r>
        <w:rPr>
          <w:b/>
        </w:rPr>
        <w:t xml:space="preserve">Amortização Extraordinária Facultativa. </w:t>
      </w:r>
      <w:r>
        <w:rPr>
          <w:rFonts w:cs="Arial"/>
          <w:color w:val="000000"/>
        </w:rPr>
        <w:t>Não haverá amortização extraordinária facultativa das Debêntures.</w:t>
      </w:r>
    </w:p>
    <w:p>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b/>
          <w:smallCaps/>
          <w:w w:val="0"/>
          <w:sz w:val="22"/>
          <w:szCs w:val="22"/>
        </w:rPr>
      </w:pPr>
    </w:p>
    <w:p>
      <w:pPr>
        <w:pStyle w:val="PargrafodaLista"/>
        <w:widowControl w:val="0"/>
        <w:numPr>
          <w:ilvl w:val="1"/>
          <w:numId w:val="16"/>
        </w:numPr>
        <w:tabs>
          <w:tab w:val="left" w:pos="1418"/>
        </w:tabs>
        <w:spacing w:line="320" w:lineRule="exact"/>
        <w:ind w:left="0" w:firstLine="0"/>
        <w:contextualSpacing/>
        <w:jc w:val="both"/>
      </w:pPr>
      <w:r>
        <w:rPr>
          <w:b/>
        </w:rPr>
        <w:t>Amortização Extraordinária Obrigatória.</w:t>
      </w:r>
      <w:r>
        <w:t xml:space="preserve"> Não haverá amortização extraordinária obrigatória das Debêntures.</w:t>
      </w:r>
    </w:p>
    <w:p>
      <w:pPr>
        <w:spacing w:line="320" w:lineRule="exact"/>
        <w:jc w:val="both"/>
        <w:rPr>
          <w:rFonts w:ascii="Calibri" w:hAnsi="Calibri"/>
          <w:sz w:val="22"/>
          <w:szCs w:val="22"/>
        </w:rPr>
      </w:pPr>
    </w:p>
    <w:p>
      <w:pPr>
        <w:pStyle w:val="PargrafodaLista"/>
        <w:widowControl w:val="0"/>
        <w:numPr>
          <w:ilvl w:val="1"/>
          <w:numId w:val="16"/>
        </w:numPr>
        <w:shd w:val="clear" w:color="auto" w:fill="FFFFFF"/>
        <w:tabs>
          <w:tab w:val="left" w:pos="1418"/>
          <w:tab w:val="left" w:pos="2700"/>
          <w:tab w:val="left" w:pos="3600"/>
          <w:tab w:val="left" w:pos="4500"/>
          <w:tab w:val="left" w:pos="5400"/>
          <w:tab w:val="left" w:pos="6300"/>
          <w:tab w:val="left" w:pos="7200"/>
          <w:tab w:val="left" w:pos="8100"/>
          <w:tab w:val="left" w:pos="9000"/>
        </w:tabs>
        <w:spacing w:line="320" w:lineRule="exact"/>
        <w:ind w:left="0" w:firstLine="0"/>
        <w:contextualSpacing/>
        <w:jc w:val="both"/>
        <w:rPr>
          <w:rFonts w:eastAsia="Arial Unicode MS"/>
          <w:w w:val="0"/>
        </w:rPr>
      </w:pPr>
      <w:r>
        <w:rPr>
          <w:rFonts w:eastAsia="Arial Unicode MS"/>
          <w:b/>
          <w:w w:val="0"/>
        </w:rPr>
        <w:t xml:space="preserve">Resgate Antecipado </w:t>
      </w:r>
    </w:p>
    <w:p>
      <w:pPr>
        <w:pStyle w:val="PargrafodaLista"/>
        <w:rPr>
          <w:rFonts w:eastAsia="Arial Unicode MS"/>
          <w:w w:val="0"/>
        </w:rPr>
      </w:pPr>
    </w:p>
    <w:p>
      <w:pPr>
        <w:pStyle w:val="PargrafodaLista"/>
        <w:widowControl w:val="0"/>
        <w:numPr>
          <w:ilvl w:val="2"/>
          <w:numId w:val="16"/>
        </w:numPr>
        <w:tabs>
          <w:tab w:val="left" w:pos="1418"/>
        </w:tabs>
        <w:spacing w:line="320" w:lineRule="exact"/>
        <w:ind w:left="0" w:firstLine="0"/>
        <w:contextualSpacing/>
        <w:jc w:val="both"/>
        <w:rPr>
          <w:b/>
        </w:rPr>
      </w:pPr>
      <w:r>
        <w:rPr>
          <w:b/>
        </w:rPr>
        <w:t>Oferta de Resgate Antecipado</w:t>
      </w:r>
      <w:r>
        <w:t>. Sujeito ao atendimento das condições abaixo, a Emissora poderá a seu exclusivo critério e a qualquer momento, realizar uma oferta de resgate antecipado, parcial ou total, das Debêntures, com o consequente cancelamento das Debêntures, que será endereçada obrigatoriamente a todos os Debenturistas, sem distinção, assegurada a igualdade de condições para aceitar a oferta de resgate antecipado das Debêntures de que forem titulares, conforme o caso, de acordo com os termos e condições previstos abaixo (“</w:t>
      </w:r>
      <w:r>
        <w:rPr>
          <w:u w:val="single"/>
        </w:rPr>
        <w:t>Oferta de Resgate Antecipado</w:t>
      </w:r>
      <w:r>
        <w:t>”), observadas as seguintes condições:</w:t>
      </w:r>
    </w:p>
    <w:p>
      <w:pPr>
        <w:pStyle w:val="PargrafodaLista"/>
        <w:widowControl w:val="0"/>
        <w:tabs>
          <w:tab w:val="left" w:pos="1418"/>
        </w:tabs>
        <w:spacing w:line="320" w:lineRule="exact"/>
        <w:contextualSpacing/>
        <w:jc w:val="both"/>
        <w:rPr>
          <w:b/>
        </w:rPr>
      </w:pPr>
    </w:p>
    <w:p>
      <w:pPr>
        <w:numPr>
          <w:ilvl w:val="2"/>
          <w:numId w:val="31"/>
        </w:numPr>
        <w:tabs>
          <w:tab w:val="left" w:pos="1418"/>
        </w:tabs>
        <w:suppressAutoHyphens/>
        <w:spacing w:after="240" w:line="320" w:lineRule="exact"/>
        <w:ind w:left="1418" w:hanging="1418"/>
        <w:jc w:val="both"/>
        <w:rPr>
          <w:rFonts w:ascii="Calibri" w:hAnsi="Calibri" w:cs="Calibri"/>
          <w:sz w:val="22"/>
          <w:szCs w:val="22"/>
        </w:rPr>
      </w:pPr>
      <w:r>
        <w:rPr>
          <w:rFonts w:ascii="Calibri" w:hAnsi="Calibri" w:cs="Calibri"/>
          <w:sz w:val="22"/>
          <w:szCs w:val="22"/>
        </w:rPr>
        <w:lastRenderedPageBreak/>
        <w:t xml:space="preserve">a </w:t>
      </w:r>
      <w:r>
        <w:rPr>
          <w:rFonts w:ascii="Calibri" w:hAnsi="Calibri" w:cs="Calibri"/>
          <w:bCs/>
          <w:sz w:val="22"/>
          <w:szCs w:val="22"/>
        </w:rPr>
        <w:t>Emissora</w:t>
      </w:r>
      <w:r>
        <w:rPr>
          <w:rFonts w:ascii="Calibri" w:hAnsi="Calibri" w:cs="Calibri"/>
          <w:sz w:val="22"/>
          <w:szCs w:val="22"/>
        </w:rPr>
        <w:t xml:space="preserve"> realizará a Oferta de Resgate Antecipado por meio de comunicado aos Debenturistas com cópia ao Agente Fiduciário, ou por meio de publicação de comunicado aos Debenturistas nos jornais usualmente utilizados pela Emissora para realização de suas publicações legais, o qual deverá descrever os termos e condições da Oferta de Resgate Antecipado, incluindo, mas sem limitação: (a) a quantidade de Debêntures a serem resgatadas; (b) a data efetiva para o resgate e pagamento das Debêntures em circulação a serem resgatadas; (c) a forma de manifestação à Emissora, com cópia ao Agente Fiduciário, dos Debenturistas que optarem pela adesão à Oferta de Resgate Antecipado Facultativo, observado o disposto no item </w:t>
      </w:r>
      <w:r>
        <w:rPr>
          <w:rFonts w:ascii="Calibri" w:hAnsi="Calibri" w:cs="Calibri"/>
          <w:sz w:val="22"/>
          <w:szCs w:val="22"/>
        </w:rPr>
        <w:fldChar w:fldCharType="begin"/>
      </w:r>
      <w:r>
        <w:rPr>
          <w:rFonts w:ascii="Calibri" w:hAnsi="Calibri" w:cs="Calibri"/>
          <w:sz w:val="22"/>
          <w:szCs w:val="22"/>
        </w:rPr>
        <w:instrText xml:space="preserve"> REF _Ref285570958 \r \h  \* MERGEFORMAT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(ii)</w:t>
      </w:r>
      <w:r>
        <w:rPr>
          <w:rFonts w:ascii="Calibri" w:hAnsi="Calibri" w:cs="Calibri"/>
          <w:sz w:val="22"/>
          <w:szCs w:val="22"/>
        </w:rPr>
        <w:fldChar w:fldCharType="end"/>
      </w:r>
      <w:r>
        <w:rPr>
          <w:rFonts w:ascii="Calibri" w:hAnsi="Calibri" w:cs="Calibri"/>
          <w:sz w:val="22"/>
          <w:szCs w:val="22"/>
        </w:rPr>
        <w:t xml:space="preserve"> abaixo; (c) valor do prêmio a ser pago em virtude do resgate das Debêntures (“</w:t>
      </w:r>
      <w:r>
        <w:rPr>
          <w:rFonts w:ascii="Calibri" w:hAnsi="Calibri" w:cs="Calibri"/>
          <w:sz w:val="22"/>
          <w:szCs w:val="22"/>
          <w:u w:val="single"/>
        </w:rPr>
        <w:t>Prêmio da Oferta de Resgate Antecipado</w:t>
      </w:r>
      <w:r>
        <w:rPr>
          <w:rFonts w:ascii="Calibri" w:hAnsi="Calibri" w:cs="Calibri"/>
          <w:sz w:val="22"/>
          <w:szCs w:val="22"/>
        </w:rPr>
        <w:t>”); e (d) demais informações necessárias para tomada de decisão pelos Debenturistas e à operacionalização do resgate das Debêntures;</w:t>
      </w:r>
    </w:p>
    <w:p>
      <w:pPr>
        <w:numPr>
          <w:ilvl w:val="2"/>
          <w:numId w:val="31"/>
        </w:numPr>
        <w:tabs>
          <w:tab w:val="left" w:pos="1418"/>
        </w:tabs>
        <w:suppressAutoHyphens/>
        <w:spacing w:after="240" w:line="320" w:lineRule="exact"/>
        <w:ind w:left="1418" w:hanging="1418"/>
        <w:jc w:val="both"/>
        <w:rPr>
          <w:rFonts w:ascii="Calibri" w:hAnsi="Calibri" w:cs="Calibri"/>
          <w:sz w:val="22"/>
          <w:szCs w:val="22"/>
        </w:rPr>
      </w:pPr>
      <w:bookmarkStart w:id="54" w:name="_Ref285570958"/>
      <w:r>
        <w:rPr>
          <w:rFonts w:ascii="Calibri" w:hAnsi="Calibri" w:cs="Calibri"/>
          <w:sz w:val="22"/>
          <w:szCs w:val="22"/>
        </w:rPr>
        <w:t>após a comunicação das condições da Oferta de Resgate Antecipado, os Debenturistas que optarem pela adesão à Oferta de Resgate Antecipado deverão se manifestar nesse sentido à Emissora, com cópia ao Agente Fiduciário, até o encerramento do prazo a ser estabelecido na referida comunicação, informando a quantidade de Debêntures de sua titularidade que deseja submeter ao à Oferta de Resgate Antecipado, findo o qual a Emissora terá o prazo de 3 (três) dias úteis para proceder à liquidação da Oferta de Resgate Antecipado Facultativo, a qual ocorrerá em uma única data (“</w:t>
      </w:r>
      <w:r>
        <w:rPr>
          <w:rFonts w:ascii="Calibri" w:hAnsi="Calibri" w:cs="Calibri"/>
          <w:sz w:val="22"/>
          <w:szCs w:val="22"/>
          <w:u w:val="single"/>
        </w:rPr>
        <w:t>Data do Resgate Antecipado Ofertado</w:t>
      </w:r>
      <w:r>
        <w:rPr>
          <w:rFonts w:ascii="Calibri" w:hAnsi="Calibri" w:cs="Calibri"/>
          <w:sz w:val="22"/>
          <w:szCs w:val="22"/>
        </w:rPr>
        <w:t>”);</w:t>
      </w:r>
      <w:bookmarkEnd w:id="54"/>
    </w:p>
    <w:p>
      <w:pPr>
        <w:numPr>
          <w:ilvl w:val="2"/>
          <w:numId w:val="31"/>
        </w:numPr>
        <w:tabs>
          <w:tab w:val="left" w:pos="1418"/>
        </w:tabs>
        <w:suppressAutoHyphens/>
        <w:spacing w:after="240" w:line="320" w:lineRule="exact"/>
        <w:ind w:left="1418" w:hanging="1418"/>
        <w:jc w:val="both"/>
        <w:rPr>
          <w:rFonts w:ascii="Calibri" w:hAnsi="Calibri" w:cs="Calibri"/>
          <w:sz w:val="22"/>
          <w:szCs w:val="22"/>
        </w:rPr>
      </w:pPr>
      <w:bookmarkStart w:id="55" w:name="_Ref465602041"/>
      <w:r>
        <w:rPr>
          <w:rFonts w:ascii="Calibri" w:hAnsi="Calibri" w:cs="Calibri"/>
          <w:sz w:val="22"/>
          <w:szCs w:val="22"/>
        </w:rPr>
        <w:t xml:space="preserve">a </w:t>
      </w:r>
      <w:r>
        <w:rPr>
          <w:rFonts w:ascii="Calibri" w:hAnsi="Calibri" w:cs="Calibri"/>
          <w:bCs/>
          <w:sz w:val="22"/>
          <w:szCs w:val="22"/>
        </w:rPr>
        <w:t>Emissora</w:t>
      </w:r>
      <w:r>
        <w:rPr>
          <w:rFonts w:ascii="Calibri" w:hAnsi="Calibri" w:cs="Calibri"/>
          <w:sz w:val="22"/>
          <w:szCs w:val="22"/>
        </w:rPr>
        <w:t xml:space="preserve"> deverá (a) na respectiva data de término do prazo de adesão à Oferta de Resgate Antecipado confirmar ao Agente Fiduciário a respectiva Data do Resgate Antecipado Ofertado; e (b) comunicar ao Banco Liquidante e à B3 a realização da Oferta de Resgate Antecipado com antecedência mínima de 5 (cinco) dias úteis da respectiva Data do Resgate Antecipado Ofertado;</w:t>
      </w:r>
      <w:bookmarkEnd w:id="55"/>
      <w:r>
        <w:rPr>
          <w:rFonts w:ascii="Calibri" w:hAnsi="Calibri" w:cs="Calibri"/>
          <w:sz w:val="22"/>
          <w:szCs w:val="22"/>
        </w:rPr>
        <w:t xml:space="preserve"> </w:t>
      </w:r>
    </w:p>
    <w:p>
      <w:pPr>
        <w:numPr>
          <w:ilvl w:val="2"/>
          <w:numId w:val="31"/>
        </w:numPr>
        <w:tabs>
          <w:tab w:val="left" w:pos="1418"/>
        </w:tabs>
        <w:suppressAutoHyphens/>
        <w:spacing w:after="240" w:line="320" w:lineRule="exact"/>
        <w:ind w:left="1418" w:hanging="1418"/>
        <w:jc w:val="both"/>
        <w:rPr>
          <w:rFonts w:ascii="Calibri" w:hAnsi="Calibri" w:cs="Calibri"/>
          <w:sz w:val="22"/>
          <w:szCs w:val="22"/>
        </w:rPr>
      </w:pPr>
      <w:bookmarkStart w:id="56" w:name="_Ref465602047"/>
      <w:r>
        <w:rPr>
          <w:rFonts w:ascii="Calibri" w:hAnsi="Calibri" w:cs="Calibri"/>
          <w:sz w:val="22"/>
          <w:szCs w:val="22"/>
        </w:rPr>
        <w:t>o pagamento das Debêntures resgatadas antecipadamente por meio da Oferta de Resgate Antecipado Facultativo será realizado por meio da B3, com relação às Debêntures que estejam custodiadas eletronicamente na B3 ou por meio do Banco Liquidante, com relação às Debêntures que não estejam custodiadas eletronicamente na B3;</w:t>
      </w:r>
      <w:bookmarkEnd w:id="56"/>
      <w:r>
        <w:rPr>
          <w:rFonts w:ascii="Calibri" w:hAnsi="Calibri" w:cs="Calibri"/>
          <w:sz w:val="22"/>
          <w:szCs w:val="22"/>
        </w:rPr>
        <w:t xml:space="preserve"> </w:t>
      </w:r>
    </w:p>
    <w:p>
      <w:pPr>
        <w:numPr>
          <w:ilvl w:val="2"/>
          <w:numId w:val="31"/>
        </w:numPr>
        <w:tabs>
          <w:tab w:val="left" w:pos="1418"/>
        </w:tabs>
        <w:suppressAutoHyphens/>
        <w:spacing w:line="320" w:lineRule="exact"/>
        <w:ind w:left="1418" w:hanging="1418"/>
        <w:jc w:val="both"/>
        <w:rPr>
          <w:rFonts w:ascii="Calibri" w:hAnsi="Calibri" w:cs="Calibri"/>
          <w:b/>
          <w:sz w:val="22"/>
          <w:szCs w:val="22"/>
        </w:rPr>
      </w:pPr>
      <w:r>
        <w:rPr>
          <w:rFonts w:ascii="Calibri" w:hAnsi="Calibri" w:cs="Calibri"/>
          <w:sz w:val="22"/>
          <w:szCs w:val="22"/>
        </w:rPr>
        <w:t xml:space="preserve">o valor a ser pago pela Emissora em relação a cada uma das Debêntures indicadas por seus respectivos titulares em adesão à Oferta de Resgate Antecipado será equivalente ao Valor Nominal Unitário (ou saldo do Valor Nominal Unitário, conforme aplicável) das Debêntures que aderirem à Oferta de Resgate Antecipado, acrescido dos Juros Remuneratórios, calculada </w:t>
      </w:r>
      <w:r>
        <w:rPr>
          <w:rFonts w:ascii="Calibri" w:hAnsi="Calibri" w:cs="Calibri"/>
          <w:i/>
          <w:sz w:val="22"/>
          <w:szCs w:val="22"/>
        </w:rPr>
        <w:t>pro rata temporis</w:t>
      </w:r>
      <w:r>
        <w:rPr>
          <w:rFonts w:ascii="Calibri" w:hAnsi="Calibri" w:cs="Calibri"/>
          <w:sz w:val="22"/>
          <w:szCs w:val="22"/>
        </w:rPr>
        <w:t xml:space="preserve"> desde a primeira </w:t>
      </w:r>
      <w:r>
        <w:rPr>
          <w:rFonts w:ascii="Calibri" w:hAnsi="Calibri" w:cs="Calibri"/>
          <w:sz w:val="22"/>
          <w:szCs w:val="22"/>
        </w:rPr>
        <w:lastRenderedPageBreak/>
        <w:t>Data de Integralização, ou último pagamento dos Juros Remuneratórios, conforme o caso, até a Data do Resgate Antecipado Ofertado (“</w:t>
      </w:r>
      <w:r>
        <w:rPr>
          <w:rFonts w:ascii="Calibri" w:hAnsi="Calibri" w:cs="Calibri"/>
          <w:sz w:val="22"/>
          <w:szCs w:val="22"/>
          <w:u w:val="single"/>
        </w:rPr>
        <w:t>Valor da Oferta de Resgate</w:t>
      </w:r>
      <w:r>
        <w:rPr>
          <w:rFonts w:ascii="Calibri" w:hAnsi="Calibri" w:cs="Calibri"/>
          <w:sz w:val="22"/>
          <w:szCs w:val="22"/>
        </w:rPr>
        <w:t xml:space="preserve">”), acrescido do Prêmio da Oferta de Resgate Antecipado. </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center"/>
        <w:rPr>
          <w:rFonts w:ascii="Calibri" w:hAnsi="Calibri" w:cs="Calibri"/>
          <w:sz w:val="22"/>
          <w:szCs w:val="22"/>
        </w:rPr>
      </w:pPr>
    </w:p>
    <w:p>
      <w:pPr>
        <w:pStyle w:val="PargrafodaLista"/>
        <w:widowControl w:val="0"/>
        <w:numPr>
          <w:ilvl w:val="3"/>
          <w:numId w:val="16"/>
        </w:numPr>
        <w:tabs>
          <w:tab w:val="left" w:pos="1418"/>
        </w:tabs>
        <w:spacing w:line="320" w:lineRule="exact"/>
        <w:ind w:left="0" w:firstLine="0"/>
        <w:contextualSpacing/>
        <w:jc w:val="both"/>
        <w:rPr>
          <w:rFonts w:cs="Calibri"/>
          <w:b/>
        </w:rPr>
      </w:pPr>
      <w:r>
        <w:rPr>
          <w:rFonts w:cs="Calibri"/>
        </w:rPr>
        <w:tab/>
        <w:t xml:space="preserve">A notificação indicada na Cláusula acima deverá descrever os termos e condições da Oferta de Resgate Antecipado, incluindo (a) o valor estimado do Prêmio da Oferta de Resgate; e (b) a data efetiva para o resgate e pagamento das Debêntures. </w:t>
      </w:r>
    </w:p>
    <w:p>
      <w:pPr>
        <w:shd w:val="clear" w:color="auto" w:fill="FFFFFF"/>
        <w:spacing w:line="320" w:lineRule="exact"/>
        <w:jc w:val="both"/>
        <w:rPr>
          <w:rFonts w:ascii="Calibri" w:hAnsi="Calibri" w:cs="Calibri"/>
          <w:sz w:val="22"/>
          <w:szCs w:val="22"/>
        </w:rPr>
      </w:pPr>
    </w:p>
    <w:p>
      <w:pPr>
        <w:pStyle w:val="PargrafodaLista"/>
        <w:numPr>
          <w:ilvl w:val="2"/>
          <w:numId w:val="16"/>
        </w:numPr>
        <w:shd w:val="clear" w:color="auto" w:fill="FFFFFF"/>
        <w:tabs>
          <w:tab w:val="left" w:pos="24"/>
          <w:tab w:val="left" w:pos="1418"/>
          <w:tab w:val="left" w:pos="2700"/>
          <w:tab w:val="left" w:pos="3600"/>
          <w:tab w:val="left" w:pos="4500"/>
          <w:tab w:val="left" w:pos="5400"/>
          <w:tab w:val="left" w:pos="6300"/>
          <w:tab w:val="left" w:pos="7200"/>
          <w:tab w:val="left" w:pos="8100"/>
          <w:tab w:val="left" w:pos="9000"/>
        </w:tabs>
        <w:ind w:left="0" w:firstLine="0"/>
        <w:jc w:val="both"/>
      </w:pPr>
      <w:r>
        <w:rPr>
          <w:rFonts w:cs="Calibri"/>
          <w:b/>
        </w:rPr>
        <w:t>Resgate Antecipado Facultativo</w:t>
      </w:r>
      <w:r>
        <w:rPr>
          <w:rFonts w:cs="Calibri"/>
        </w:rPr>
        <w:t>. Sujeito ao atendimento das condições abaixo, a Emissora poderá a seu exclusivo critério e a qualquer momento, a partir da Data de Emissão, mediante notificação ao  Agente Fiduciário, com antecedência mínima de 5 (cinco) dias úteis da respectiva data do evento (“</w:t>
      </w:r>
      <w:r>
        <w:rPr>
          <w:rFonts w:cs="Calibri"/>
          <w:u w:val="single"/>
        </w:rPr>
        <w:t>Data do Resgate Antecipado Facultativo</w:t>
      </w:r>
      <w:r>
        <w:rPr>
          <w:rFonts w:cs="Calibri"/>
        </w:rPr>
        <w:t>”), promover o resgate antecipado, parcial ou total, das Debêntures, com seu consequente cancelamento (“</w:t>
      </w:r>
      <w:r>
        <w:rPr>
          <w:rFonts w:cs="Calibri"/>
          <w:u w:val="single"/>
        </w:rPr>
        <w:t>Resgate Antecipado Facultativo</w:t>
      </w:r>
      <w:r>
        <w:rPr>
          <w:rFonts w:cs="Calibri"/>
        </w:rPr>
        <w:t>” em conjunto com Oferta de Resgate Antecipado “</w:t>
      </w:r>
      <w:r>
        <w:rPr>
          <w:rFonts w:cs="Calibri"/>
          <w:u w:val="single"/>
        </w:rPr>
        <w:t>Resgate</w:t>
      </w:r>
      <w:r>
        <w:rPr>
          <w:rFonts w:cs="Calibri"/>
        </w:rPr>
        <w:t>”), mediante o pagamento do saldo devedor do Valor Nominal Unitário acrescido (i) dos Juros Remuneratórios, devidos e ainda não pagos, calculados pro rata temporis desde a primeira Data de Integralização ou desde a data de pagamento de Juros Remuneratórios imediatamente anterior, conforme o caso, até a data do efetivo pagamento do Resgate Antecipado Facultativo (“</w:t>
      </w:r>
      <w:r>
        <w:rPr>
          <w:rFonts w:cs="Calibri"/>
          <w:u w:val="single"/>
        </w:rPr>
        <w:t>Valor do Resgate Antecipado Facultativo</w:t>
      </w:r>
      <w:r>
        <w:rPr>
          <w:rFonts w:cs="Calibri"/>
        </w:rPr>
        <w:t xml:space="preserve">”); e (ii) de prêmio, conforme definido na tabela abaixo, multiplicado pelo Valor do Resgate Antecipado Facultativo: </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1"/>
        <w:gridCol w:w="1276"/>
      </w:tblGrid>
      <w:tr>
        <w:trPr>
          <w:jc w:val="center"/>
        </w:trPr>
        <w:tc>
          <w:tcPr>
            <w:tcW w:w="7231" w:type="dxa"/>
            <w:shd w:val="clear" w:color="auto" w:fill="AEAAAA" w:themeFill="background2" w:themeFillShade="BF"/>
            <w:vAlign w:val="center"/>
          </w:tcPr>
          <w:p>
            <w:pPr>
              <w:spacing w:before="120" w:after="120"/>
              <w:jc w:val="center"/>
              <w:rPr>
                <w:rFonts w:ascii="Calibri" w:hAnsi="Calibri"/>
                <w:b/>
                <w:sz w:val="20"/>
                <w:szCs w:val="20"/>
              </w:rPr>
            </w:pPr>
            <w:r>
              <w:rPr>
                <w:rFonts w:ascii="Calibri" w:hAnsi="Calibri"/>
                <w:b/>
                <w:sz w:val="20"/>
                <w:szCs w:val="20"/>
              </w:rPr>
              <w:t>Período da realização do Resgate Antecipado Facultativo a contar da Data de Emissão</w:t>
            </w:r>
          </w:p>
        </w:tc>
        <w:tc>
          <w:tcPr>
            <w:tcW w:w="1276" w:type="dxa"/>
            <w:shd w:val="clear" w:color="auto" w:fill="AEAAAA" w:themeFill="background2" w:themeFillShade="BF"/>
            <w:vAlign w:val="center"/>
          </w:tcPr>
          <w:p>
            <w:pPr>
              <w:spacing w:before="120" w:after="120"/>
              <w:jc w:val="center"/>
              <w:rPr>
                <w:rFonts w:ascii="Calibri" w:hAnsi="Calibri"/>
                <w:b/>
                <w:sz w:val="20"/>
                <w:szCs w:val="20"/>
              </w:rPr>
            </w:pPr>
            <w:r>
              <w:rPr>
                <w:rFonts w:ascii="Calibri" w:hAnsi="Calibri"/>
                <w:b/>
                <w:sz w:val="20"/>
                <w:szCs w:val="20"/>
              </w:rPr>
              <w:t>Prêmio</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1º mês (inclusive) ao 13º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1,00%</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13º mês (inclusive) ao 25º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0,92%</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25º mês (inclusive) ao 37º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0,83%</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37º mês (inclusive) ao 49º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0,75%</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49º mês (inclusive) ao 61º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0,67%</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61º mês (inclusive) ao 73º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0,58%</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73º mês (inclusive) ao 85º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0,50%</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85º mês (inclusive) ao 97º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0,42%</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97º mês (inclusive) ao 109º mês (exclusive).</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0,33%</w:t>
            </w:r>
          </w:p>
        </w:tc>
      </w:tr>
      <w:tr>
        <w:trPr>
          <w:jc w:val="center"/>
        </w:trPr>
        <w:tc>
          <w:tcPr>
            <w:tcW w:w="7231" w:type="dxa"/>
            <w:shd w:val="clear" w:color="auto" w:fill="auto"/>
            <w:vAlign w:val="center"/>
          </w:tcPr>
          <w:p>
            <w:pPr>
              <w:spacing w:before="120" w:after="120"/>
              <w:jc w:val="both"/>
              <w:rPr>
                <w:rFonts w:asciiTheme="minorHAnsi" w:hAnsiTheme="minorHAnsi" w:cstheme="minorHAnsi"/>
                <w:sz w:val="20"/>
                <w:szCs w:val="20"/>
              </w:rPr>
            </w:pPr>
            <w:r>
              <w:rPr>
                <w:rFonts w:asciiTheme="minorHAnsi" w:hAnsiTheme="minorHAnsi" w:cstheme="minorHAnsi"/>
                <w:sz w:val="20"/>
                <w:szCs w:val="20"/>
              </w:rPr>
              <w:t>Do 109º mês (inclusive) até a Data de Vencimento.</w:t>
            </w:r>
          </w:p>
        </w:tc>
        <w:tc>
          <w:tcPr>
            <w:tcW w:w="1276" w:type="dxa"/>
            <w:shd w:val="clear" w:color="auto" w:fill="auto"/>
            <w:vAlign w:val="bottom"/>
          </w:tcPr>
          <w:p>
            <w:pPr>
              <w:jc w:val="center"/>
              <w:rPr>
                <w:rFonts w:asciiTheme="minorHAnsi" w:hAnsiTheme="minorHAnsi" w:cstheme="minorHAnsi"/>
                <w:sz w:val="20"/>
                <w:szCs w:val="20"/>
              </w:rPr>
            </w:pPr>
            <w:r>
              <w:rPr>
                <w:rFonts w:asciiTheme="minorHAnsi" w:hAnsiTheme="minorHAnsi" w:cstheme="minorHAnsi"/>
                <w:color w:val="000000"/>
                <w:sz w:val="20"/>
                <w:szCs w:val="20"/>
              </w:rPr>
              <w:t>0,25%</w:t>
            </w:r>
          </w:p>
        </w:tc>
      </w:tr>
    </w:tbl>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p>
    <w:p>
      <w:pPr>
        <w:pStyle w:val="PargrafodaLista"/>
        <w:numPr>
          <w:ilvl w:val="3"/>
          <w:numId w:val="16"/>
        </w:numPr>
        <w:shd w:val="clear" w:color="auto" w:fill="FFFFFF"/>
        <w:tabs>
          <w:tab w:val="left" w:pos="24"/>
          <w:tab w:val="left" w:pos="1418"/>
          <w:tab w:val="left" w:pos="2700"/>
          <w:tab w:val="left" w:pos="3600"/>
          <w:tab w:val="left" w:pos="4500"/>
          <w:tab w:val="left" w:pos="5400"/>
          <w:tab w:val="left" w:pos="6300"/>
          <w:tab w:val="left" w:pos="7200"/>
          <w:tab w:val="left" w:pos="8100"/>
          <w:tab w:val="left" w:pos="9000"/>
        </w:tabs>
        <w:ind w:left="0" w:firstLine="0"/>
        <w:jc w:val="both"/>
        <w:rPr>
          <w:b/>
        </w:rPr>
      </w:pPr>
      <w:r>
        <w:lastRenderedPageBreak/>
        <w:t xml:space="preserve">A notificação indicada na Cláusula 7.3.2 acima deverá descrever os termos e condições do Resgate Antecipado Facultativo, incluindo (a) o valor do prêmio de resgate; e (b) a data efetiva para o resgate e pagamento das Debêntures. </w:t>
      </w:r>
    </w:p>
    <w:p>
      <w:pPr>
        <w:shd w:val="clear" w:color="auto" w:fill="FFFFFF"/>
        <w:jc w:val="both"/>
        <w:rPr>
          <w:rFonts w:ascii="Calibri" w:hAnsi="Calibri"/>
          <w:sz w:val="22"/>
          <w:szCs w:val="22"/>
        </w:rPr>
      </w:pPr>
    </w:p>
    <w:p>
      <w:pPr>
        <w:pStyle w:val="PargrafodaLista"/>
        <w:numPr>
          <w:ilvl w:val="2"/>
          <w:numId w:val="16"/>
        </w:numPr>
        <w:shd w:val="clear" w:color="auto" w:fill="FFFFFF"/>
        <w:tabs>
          <w:tab w:val="left" w:pos="24"/>
          <w:tab w:val="left" w:pos="1418"/>
          <w:tab w:val="left" w:pos="2700"/>
          <w:tab w:val="left" w:pos="3600"/>
          <w:tab w:val="left" w:pos="4500"/>
          <w:tab w:val="left" w:pos="5400"/>
          <w:tab w:val="left" w:pos="6300"/>
          <w:tab w:val="left" w:pos="7200"/>
          <w:tab w:val="left" w:pos="8100"/>
          <w:tab w:val="left" w:pos="9000"/>
        </w:tabs>
        <w:ind w:left="0" w:firstLine="0"/>
        <w:jc w:val="both"/>
      </w:pPr>
      <w:r>
        <w:t xml:space="preserve">A data para realização do Resgate deverá ser, obrigatoriamente, um dia útil. </w:t>
      </w:r>
    </w:p>
    <w:p>
      <w:pPr>
        <w:shd w:val="clear" w:color="auto" w:fill="FFFFFF"/>
        <w:spacing w:line="320" w:lineRule="exact"/>
        <w:jc w:val="both"/>
        <w:rPr>
          <w:rFonts w:ascii="Calibri" w:hAnsi="Calibri" w:cs="Calibri"/>
          <w:sz w:val="22"/>
          <w:szCs w:val="22"/>
        </w:rPr>
      </w:pPr>
    </w:p>
    <w:p>
      <w:pPr>
        <w:pStyle w:val="PargrafodaLista"/>
        <w:widowControl w:val="0"/>
        <w:numPr>
          <w:ilvl w:val="2"/>
          <w:numId w:val="16"/>
        </w:numPr>
        <w:tabs>
          <w:tab w:val="left" w:pos="1418"/>
        </w:tabs>
        <w:spacing w:line="320" w:lineRule="exact"/>
        <w:ind w:left="0" w:firstLine="0"/>
        <w:contextualSpacing/>
        <w:jc w:val="both"/>
        <w:rPr>
          <w:rFonts w:cs="Calibri"/>
        </w:rPr>
      </w:pPr>
      <w:r>
        <w:rPr>
          <w:rFonts w:cs="Calibri"/>
        </w:rPr>
        <w:t>Em caso de Resgate parcial, a Oferta de Resgate Antecipado, ou o Resgate Antecipado Facultativo, serão realizados através de sorteio e deverão ocorrer de acordo com os procedimentos da B3, sendo que todas as etapas desse processo, tais como habilitação dos Debenturistas, qualificação, sorteio, apuração, rateio e validação da quantidade de Debêntures a serem resgatadas, serão realizadas fora do âmbito da B3.</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hAnsi="Calibri"/>
          <w:sz w:val="22"/>
          <w:szCs w:val="22"/>
        </w:rPr>
      </w:pPr>
    </w:p>
    <w:p>
      <w:pPr>
        <w:pStyle w:val="PargrafodaLista"/>
        <w:widowControl w:val="0"/>
        <w:numPr>
          <w:ilvl w:val="1"/>
          <w:numId w:val="17"/>
        </w:numPr>
        <w:tabs>
          <w:tab w:val="left" w:pos="1418"/>
        </w:tabs>
        <w:spacing w:line="320" w:lineRule="exact"/>
        <w:ind w:left="1418" w:hanging="1418"/>
        <w:contextualSpacing/>
        <w:jc w:val="both"/>
        <w:rPr>
          <w:rFonts w:eastAsia="Arial Unicode MS"/>
          <w:b/>
          <w:w w:val="0"/>
        </w:rPr>
      </w:pPr>
      <w:r>
        <w:rPr>
          <w:rFonts w:eastAsia="Arial Unicode MS"/>
          <w:b/>
          <w:w w:val="0"/>
        </w:rPr>
        <w:t xml:space="preserve">Vencimento Antecipado </w:t>
      </w:r>
    </w:p>
    <w:p>
      <w:pPr>
        <w:shd w:val="clear" w:color="auto" w:fill="FFFFFF"/>
        <w:tabs>
          <w:tab w:val="left" w:pos="24"/>
        </w:tabs>
        <w:spacing w:line="320" w:lineRule="exact"/>
        <w:jc w:val="both"/>
        <w:rPr>
          <w:rFonts w:ascii="Calibri" w:eastAsia="Arial Unicode MS" w:hAnsi="Calibri"/>
          <w:w w:val="0"/>
          <w:sz w:val="22"/>
          <w:szCs w:val="22"/>
        </w:rPr>
      </w:pPr>
      <w:bookmarkStart w:id="57" w:name="_DV_M268"/>
      <w:bookmarkStart w:id="58" w:name="_DV_C317"/>
      <w:bookmarkEnd w:id="57"/>
    </w:p>
    <w:p>
      <w:pPr>
        <w:numPr>
          <w:ilvl w:val="2"/>
          <w:numId w:val="17"/>
        </w:numPr>
        <w:shd w:val="clear" w:color="auto" w:fill="FFFFFF"/>
        <w:tabs>
          <w:tab w:val="left" w:pos="24"/>
          <w:tab w:val="left" w:pos="1418"/>
          <w:tab w:val="left" w:pos="156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b/>
          <w:w w:val="0"/>
        </w:rPr>
      </w:pPr>
      <w:r>
        <w:rPr>
          <w:rFonts w:ascii="Calibri" w:eastAsia="Arial Unicode MS" w:hAnsi="Calibri"/>
          <w:b/>
          <w:w w:val="0"/>
          <w:sz w:val="22"/>
          <w:szCs w:val="22"/>
        </w:rPr>
        <w:t>Vencimento Antecipado Automático.</w:t>
      </w:r>
      <w:r>
        <w:rPr>
          <w:rFonts w:ascii="Calibri" w:eastAsia="Arial Unicode MS" w:hAnsi="Calibri"/>
          <w:b/>
          <w:w w:val="0"/>
        </w:rPr>
        <w:t xml:space="preserve"> </w:t>
      </w:r>
      <w:r>
        <w:rPr>
          <w:rFonts w:ascii="Calibri" w:eastAsia="Arial Unicode MS" w:hAnsi="Calibri"/>
          <w:w w:val="0"/>
          <w:sz w:val="22"/>
          <w:szCs w:val="22"/>
        </w:rPr>
        <w:t xml:space="preserve">O Agente Fiduciário deverá declarar antecipadamente vencidas todas as obrigações </w:t>
      </w:r>
      <w:r>
        <w:rPr>
          <w:rFonts w:ascii="Calibri" w:eastAsia="Arial Unicode MS" w:hAnsi="Calibri"/>
          <w:sz w:val="22"/>
          <w:szCs w:val="22"/>
        </w:rPr>
        <w:t>principais e acessórias,</w:t>
      </w:r>
      <w:r>
        <w:rPr>
          <w:rFonts w:ascii="Calibri" w:eastAsia="Arial Unicode MS" w:hAnsi="Calibri"/>
          <w:w w:val="0"/>
          <w:sz w:val="22"/>
          <w:szCs w:val="22"/>
        </w:rPr>
        <w:t xml:space="preserve"> objeto desta Escritura e exigir o imediato pagamento, pela Emissora, do Valor Nominal Unitário ou do saldo do Valor Nominal Unitário, conforme o caso, acrescido dos Juros Remuneratórios e Encargos Moratórios, se houver, calculada </w:t>
      </w:r>
      <w:r>
        <w:rPr>
          <w:rFonts w:ascii="Calibri" w:eastAsia="Arial Unicode MS" w:hAnsi="Calibri"/>
          <w:i/>
          <w:w w:val="0"/>
          <w:sz w:val="22"/>
          <w:szCs w:val="22"/>
        </w:rPr>
        <w:t>pro rata temporis</w:t>
      </w:r>
      <w:r>
        <w:rPr>
          <w:rFonts w:ascii="Calibri" w:eastAsia="Arial Unicode MS" w:hAnsi="Calibri"/>
          <w:w w:val="0"/>
          <w:sz w:val="22"/>
          <w:szCs w:val="22"/>
        </w:rPr>
        <w:t>, desde a Data da primeira Integralização, ou do último pagamento dos Juros Remuneratórios, conforme o caso, até a data do efetivo pagamento, na ciência da ocorrência de quaisquer dos seguintes eventos (cada evento, um “</w:t>
      </w:r>
      <w:r>
        <w:rPr>
          <w:rFonts w:ascii="Calibri" w:eastAsia="Arial Unicode MS" w:hAnsi="Calibri"/>
          <w:w w:val="0"/>
          <w:sz w:val="22"/>
          <w:szCs w:val="22"/>
          <w:u w:val="single"/>
        </w:rPr>
        <w:t>Hipótese de Vencimento Antecipado Automático ”</w:t>
      </w:r>
      <w:r>
        <w:rPr>
          <w:rFonts w:ascii="Calibri" w:eastAsia="Arial Unicode MS" w:hAnsi="Calibri"/>
          <w:w w:val="0"/>
          <w:sz w:val="22"/>
          <w:szCs w:val="22"/>
        </w:rPr>
        <w:t xml:space="preserve">): </w:t>
      </w:r>
    </w:p>
    <w:p>
      <w:pPr>
        <w:shd w:val="clear" w:color="auto" w:fill="FFFFFF"/>
        <w:tabs>
          <w:tab w:val="left" w:pos="24"/>
          <w:tab w:val="left" w:pos="284"/>
          <w:tab w:val="left" w:pos="900"/>
          <w:tab w:val="left" w:pos="1134"/>
          <w:tab w:val="left" w:pos="1418"/>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rPr>
      </w:pPr>
    </w:p>
    <w:p>
      <w:pPr>
        <w:pStyle w:val="sub"/>
        <w:numPr>
          <w:ilvl w:val="0"/>
          <w:numId w:val="33"/>
        </w:numPr>
        <w:tabs>
          <w:tab w:val="clear" w:pos="2880"/>
          <w:tab w:val="left" w:pos="993"/>
          <w:tab w:val="left" w:pos="1560"/>
        </w:tabs>
        <w:spacing w:before="0" w:after="0" w:line="320" w:lineRule="exact"/>
        <w:ind w:left="0" w:firstLine="45"/>
        <w:rPr>
          <w:rFonts w:ascii="Calibri" w:hAnsi="Calibri"/>
        </w:rPr>
      </w:pPr>
      <w:r>
        <w:rPr>
          <w:rFonts w:ascii="Calibri" w:hAnsi="Calibri"/>
        </w:rPr>
        <w:tab/>
        <w:t>descumprimento pela Emissora de qualquer obrigação pecuniária nas datas previstas nesta Escritura, e/ou no Contrato de Cessão Fiduciária, e/ou na Escritura de Alienação Fiduciária de Imóveis, e/ou no Contrato de Distribuição (“</w:t>
      </w:r>
      <w:r>
        <w:rPr>
          <w:rFonts w:ascii="Calibri" w:hAnsi="Calibri"/>
          <w:u w:val="single"/>
        </w:rPr>
        <w:t>Documentos da Operação</w:t>
      </w:r>
      <w:r>
        <w:rPr>
          <w:rFonts w:ascii="Calibri" w:hAnsi="Calibri"/>
        </w:rPr>
        <w:t xml:space="preserve">”), não sanada no prazo de 1 (um) dia útil contado do referido inadimplemento; </w:t>
      </w:r>
    </w:p>
    <w:p>
      <w:pPr>
        <w:pStyle w:val="sub"/>
        <w:tabs>
          <w:tab w:val="clear" w:pos="2880"/>
          <w:tab w:val="left" w:pos="993"/>
          <w:tab w:val="left" w:pos="1560"/>
        </w:tabs>
        <w:spacing w:before="0" w:after="0" w:line="320" w:lineRule="exact"/>
        <w:ind w:left="45"/>
        <w:rPr>
          <w:rFonts w:ascii="Calibri" w:hAnsi="Calibri"/>
        </w:rPr>
      </w:pPr>
    </w:p>
    <w:p>
      <w:pPr>
        <w:pStyle w:val="sub"/>
        <w:numPr>
          <w:ilvl w:val="0"/>
          <w:numId w:val="33"/>
        </w:numPr>
        <w:tabs>
          <w:tab w:val="clear" w:pos="2880"/>
          <w:tab w:val="left" w:pos="1560"/>
        </w:tabs>
        <w:spacing w:before="0" w:after="0" w:line="320" w:lineRule="exact"/>
        <w:ind w:left="0" w:firstLine="45"/>
        <w:rPr>
          <w:rFonts w:ascii="Calibri" w:hAnsi="Calibri"/>
        </w:rPr>
      </w:pPr>
      <w:r>
        <w:rPr>
          <w:rFonts w:ascii="Calibri" w:hAnsi="Calibri"/>
        </w:rPr>
        <w:t xml:space="preserve">se a Emissora, suas controladas e/ou coligadas, conforme aplicável (a) ingressarem em juízo com requerimento de (I) recuperação judicial, (II) pedido de autofalência ou de falência formulado pela Emissora, por suas controladas e coligadas, (III) decretação de falência da Emissora, de suas controladas e coligadas; (b) propuserem plano de recuperação extrajudicial a qualquer credor ou classe de credores; (c) tiverem declarada sua liquidação, dissolução, extinção, insolvência e/ou falência não elidido no prazo legal; </w:t>
      </w:r>
    </w:p>
    <w:p>
      <w:pPr>
        <w:pStyle w:val="sub"/>
        <w:tabs>
          <w:tab w:val="left" w:pos="770"/>
        </w:tabs>
        <w:spacing w:before="0" w:after="0" w:line="320" w:lineRule="exact"/>
        <w:rPr>
          <w:rFonts w:ascii="Calibri" w:hAnsi="Calibri"/>
        </w:rPr>
      </w:pPr>
    </w:p>
    <w:p>
      <w:pPr>
        <w:pStyle w:val="sub"/>
        <w:numPr>
          <w:ilvl w:val="0"/>
          <w:numId w:val="33"/>
        </w:numPr>
        <w:tabs>
          <w:tab w:val="clear" w:pos="2880"/>
          <w:tab w:val="left" w:pos="1560"/>
        </w:tabs>
        <w:spacing w:before="0" w:after="0" w:line="320" w:lineRule="exact"/>
        <w:ind w:left="0" w:firstLine="45"/>
        <w:rPr>
          <w:rFonts w:ascii="Calibri" w:hAnsi="Calibri"/>
        </w:rPr>
      </w:pPr>
      <w:r>
        <w:rPr>
          <w:rFonts w:ascii="Calibri" w:hAnsi="Calibri"/>
        </w:rPr>
        <w:t xml:space="preserve">transformação da Emissora em sociedade empresária limitada, nos termos dos artigos </w:t>
      </w:r>
      <w:smartTag w:uri="urn:schemas-microsoft-com:office:smarttags" w:element="metricconverter">
        <w:smartTagPr>
          <w:attr w:name="ProductID" w:val="220 a"/>
        </w:smartTagPr>
        <w:r>
          <w:rPr>
            <w:rFonts w:ascii="Calibri" w:hAnsi="Calibri"/>
          </w:rPr>
          <w:t>220 a</w:t>
        </w:r>
      </w:smartTag>
      <w:r>
        <w:rPr>
          <w:rFonts w:ascii="Calibri" w:hAnsi="Calibri"/>
        </w:rPr>
        <w:t xml:space="preserve"> 222 da Lei das Sociedades por Ações;</w:t>
      </w:r>
    </w:p>
    <w:p>
      <w:pPr>
        <w:pStyle w:val="sub"/>
        <w:tabs>
          <w:tab w:val="left" w:pos="770"/>
        </w:tabs>
        <w:spacing w:before="0" w:after="0" w:line="320" w:lineRule="exact"/>
        <w:rPr>
          <w:rFonts w:ascii="Calibri" w:hAnsi="Calibri"/>
        </w:rPr>
      </w:pPr>
    </w:p>
    <w:p>
      <w:pPr>
        <w:pStyle w:val="sub"/>
        <w:numPr>
          <w:ilvl w:val="0"/>
          <w:numId w:val="33"/>
        </w:numPr>
        <w:tabs>
          <w:tab w:val="clear" w:pos="0"/>
          <w:tab w:val="clear" w:pos="2880"/>
          <w:tab w:val="left" w:pos="1560"/>
        </w:tabs>
        <w:spacing w:before="0" w:after="0" w:line="320" w:lineRule="exact"/>
        <w:ind w:left="0" w:firstLine="45"/>
        <w:rPr>
          <w:rFonts w:ascii="Calibri" w:hAnsi="Calibri"/>
        </w:rPr>
      </w:pPr>
      <w:r>
        <w:rPr>
          <w:rFonts w:ascii="Calibri" w:hAnsi="Calibri"/>
        </w:rPr>
        <w:t xml:space="preserve">inadimplemento de quaisquer obrigações </w:t>
      </w:r>
      <w:r>
        <w:rPr>
          <w:rFonts w:ascii="Calibri" w:eastAsia="Arial Unicode MS" w:hAnsi="Calibri"/>
        </w:rPr>
        <w:t>principais ou acessórias</w:t>
      </w:r>
      <w:r>
        <w:rPr>
          <w:rFonts w:ascii="Calibri" w:hAnsi="Calibri"/>
        </w:rPr>
        <w:t xml:space="preserve">, como e quando tais obrigações tornarem-se exigíveis, da Emissora, suas controladas ou coligadas, observados os </w:t>
      </w:r>
      <w:r>
        <w:rPr>
          <w:rFonts w:ascii="Calibri" w:hAnsi="Calibri"/>
        </w:rPr>
        <w:lastRenderedPageBreak/>
        <w:t>períodos de carência aplicáveis, obrigação essa em valor agregado igual ou superior a R$10.000.000,00 (dez milhões de reais),</w:t>
      </w:r>
      <w:r>
        <w:t xml:space="preserve"> </w:t>
      </w:r>
      <w:r>
        <w:rPr>
          <w:rFonts w:ascii="Calibri" w:hAnsi="Calibri"/>
        </w:rPr>
        <w:t>e desde que tal situação não seja sanada, contestada ou revertida pela Emissora e/ou pelas Intervenientes, no prazo de 5 (cinco) dias úteis a contar da data em que a Emissora e/ou as Intervenientes tomarem conhecimento de referido evento;</w:t>
      </w:r>
    </w:p>
    <w:p>
      <w:pPr>
        <w:pStyle w:val="PargrafodaLista"/>
      </w:pPr>
    </w:p>
    <w:p>
      <w:pPr>
        <w:pStyle w:val="sub"/>
        <w:numPr>
          <w:ilvl w:val="0"/>
          <w:numId w:val="33"/>
        </w:numPr>
        <w:tabs>
          <w:tab w:val="clear" w:pos="2880"/>
          <w:tab w:val="left" w:pos="1560"/>
        </w:tabs>
        <w:spacing w:before="0" w:after="0" w:line="320" w:lineRule="exact"/>
        <w:ind w:left="0" w:firstLine="45"/>
        <w:rPr>
          <w:rFonts w:ascii="Calibri" w:hAnsi="Calibri"/>
        </w:rPr>
      </w:pPr>
      <w:r>
        <w:rPr>
          <w:rFonts w:ascii="Calibri" w:hAnsi="Calibri"/>
        </w:rPr>
        <w:t xml:space="preserve">vencimento antecipado de quaisquer obrigações </w:t>
      </w:r>
      <w:r>
        <w:rPr>
          <w:rFonts w:ascii="Calibri" w:eastAsia="Arial Unicode MS" w:hAnsi="Calibri"/>
        </w:rPr>
        <w:t>principais ou acessórias</w:t>
      </w:r>
      <w:r>
        <w:rPr>
          <w:rFonts w:ascii="Calibri" w:hAnsi="Calibri"/>
        </w:rPr>
        <w:t>, como e quando tais obrigações tornarem-se exigíveis, da Emissora, suas controladas ou coligadas, observados os períodos de carência aplicáveis, obrigação essa em valor agregado igual ou superior a R$10.000.000,00 (dez milhões de reais);</w:t>
      </w:r>
    </w:p>
    <w:p>
      <w:pPr>
        <w:pStyle w:val="sub"/>
        <w:tabs>
          <w:tab w:val="left" w:pos="770"/>
        </w:tabs>
        <w:spacing w:before="0" w:after="0" w:line="320" w:lineRule="exact"/>
        <w:rPr>
          <w:rFonts w:ascii="Calibri" w:hAnsi="Calibri"/>
        </w:rPr>
      </w:pPr>
    </w:p>
    <w:p>
      <w:pPr>
        <w:pStyle w:val="sub"/>
        <w:numPr>
          <w:ilvl w:val="0"/>
          <w:numId w:val="33"/>
        </w:numPr>
        <w:tabs>
          <w:tab w:val="clear" w:pos="2880"/>
          <w:tab w:val="left" w:pos="1560"/>
        </w:tabs>
        <w:spacing w:before="0" w:after="0" w:line="320" w:lineRule="exact"/>
        <w:ind w:left="0" w:firstLine="45"/>
        <w:rPr>
          <w:rFonts w:ascii="Calibri" w:hAnsi="Calibri"/>
        </w:rPr>
      </w:pPr>
      <w:r>
        <w:rPr>
          <w:rFonts w:ascii="Calibri" w:hAnsi="Calibri"/>
        </w:rPr>
        <w:t>aprovação de redução do capital social da Emissora</w:t>
      </w:r>
      <w:r>
        <w:t xml:space="preserve"> </w:t>
      </w:r>
      <w:r>
        <w:rPr>
          <w:rFonts w:ascii="Calibri" w:hAnsi="Calibri"/>
        </w:rPr>
        <w:t xml:space="preserve">sem observância do disposto no parágrafo 3º do artigo 174 da Lei das Sociedades por Ações; </w:t>
      </w:r>
    </w:p>
    <w:p>
      <w:pPr>
        <w:pStyle w:val="sub"/>
        <w:tabs>
          <w:tab w:val="left" w:pos="770"/>
        </w:tabs>
        <w:spacing w:before="0" w:after="0" w:line="320" w:lineRule="exact"/>
        <w:rPr>
          <w:rFonts w:ascii="Calibri" w:hAnsi="Calibri"/>
        </w:rPr>
      </w:pPr>
    </w:p>
    <w:p>
      <w:pPr>
        <w:pStyle w:val="sub"/>
        <w:numPr>
          <w:ilvl w:val="0"/>
          <w:numId w:val="33"/>
        </w:numPr>
        <w:tabs>
          <w:tab w:val="clear" w:pos="0"/>
          <w:tab w:val="clear" w:pos="2880"/>
          <w:tab w:val="left" w:pos="1560"/>
        </w:tabs>
        <w:spacing w:before="0" w:after="0" w:line="320" w:lineRule="exact"/>
        <w:ind w:left="0" w:firstLine="0"/>
        <w:rPr>
          <w:rFonts w:ascii="Calibri" w:hAnsi="Calibri"/>
          <w:b/>
        </w:rPr>
      </w:pPr>
      <w:r>
        <w:rPr>
          <w:rFonts w:ascii="Calibri" w:hAnsi="Calibri"/>
        </w:rPr>
        <w:t xml:space="preserve"> alienação de parte substancial dos ativos ou propriedades da Emissora e/ou das Intervenientes, desde que tais recursos decorrentes da referida alienação não sejam utilizados nas operações usuais da Emissora e/ou das Intervenientes, de forma a impactar o desenvolvimento das atividades da Emissora das Intervenientes, e/ou suas condições econômico-financeiras, bem como sua capacidade de honrar com as obrigações assumidas no âmbito da Emissão de Debêntures, exceto se de outra forma autorizado ou previsto nesta Escritura; </w:t>
      </w:r>
    </w:p>
    <w:p>
      <w:pPr>
        <w:pStyle w:val="sub"/>
        <w:tabs>
          <w:tab w:val="left" w:pos="770"/>
        </w:tabs>
        <w:spacing w:before="0" w:after="0" w:line="320" w:lineRule="exact"/>
        <w:rPr>
          <w:rFonts w:ascii="Calibri" w:hAnsi="Calibri"/>
        </w:rPr>
      </w:pPr>
    </w:p>
    <w:p>
      <w:pPr>
        <w:pStyle w:val="sub"/>
        <w:numPr>
          <w:ilvl w:val="0"/>
          <w:numId w:val="33"/>
        </w:numPr>
        <w:tabs>
          <w:tab w:val="clear" w:pos="0"/>
          <w:tab w:val="clear" w:pos="2880"/>
          <w:tab w:val="left" w:pos="1560"/>
        </w:tabs>
        <w:spacing w:before="0" w:after="0" w:line="320" w:lineRule="exact"/>
        <w:ind w:left="0" w:firstLine="0"/>
        <w:rPr>
          <w:rFonts w:ascii="Calibri" w:hAnsi="Calibri"/>
        </w:rPr>
      </w:pPr>
      <w:r>
        <w:rPr>
          <w:rFonts w:ascii="Calibri" w:hAnsi="Calibri"/>
        </w:rPr>
        <w:t xml:space="preserve">realização de qualquer pagamento de dividendos ou juros sobre o capital próprio pela Emissora, ressalvado o disposto no artigo 202 da Lei das Sociedades por Ações, ou de qualquer outra participação nos lucros estatutariamente prevista, caso esteja em mora com qualquer obrigação pecuniária prevista nesta Escritura e/ou nos demais Documentos da Operação; </w:t>
      </w:r>
    </w:p>
    <w:p>
      <w:pPr>
        <w:pStyle w:val="sub"/>
        <w:tabs>
          <w:tab w:val="left" w:pos="770"/>
        </w:tabs>
        <w:spacing w:before="0" w:after="0" w:line="320" w:lineRule="exact"/>
        <w:rPr>
          <w:rFonts w:ascii="Calibri" w:hAnsi="Calibri"/>
        </w:rPr>
      </w:pPr>
    </w:p>
    <w:p>
      <w:pPr>
        <w:pStyle w:val="sub"/>
        <w:numPr>
          <w:ilvl w:val="0"/>
          <w:numId w:val="33"/>
        </w:numPr>
        <w:tabs>
          <w:tab w:val="clear" w:pos="0"/>
          <w:tab w:val="clear" w:pos="2880"/>
          <w:tab w:val="left" w:pos="1560"/>
        </w:tabs>
        <w:spacing w:before="0" w:after="0" w:line="320" w:lineRule="exact"/>
        <w:ind w:left="0" w:firstLine="0"/>
        <w:rPr>
          <w:rFonts w:ascii="Calibri" w:hAnsi="Calibri"/>
        </w:rPr>
      </w:pPr>
      <w:r>
        <w:rPr>
          <w:rFonts w:ascii="Calibri" w:hAnsi="Calibri"/>
        </w:rPr>
        <w:t xml:space="preserve">se houver incorporação, cisão ou fusão da Emissora e/ou Intervenientes, salvo se para o mesmo grupo econômico. Excetuam-se aqui: (a) as mudanças, reorganizações societárias e operações de mercado de capitais, tais como, mas não se limitando a, listagem de ações no mercado local ou internacional, mas que não impliquem em efetiva mudança e transferência de controle a qualquer título da Emissora e/ou das Intervenientes; ou (b) as mudança, reorganizações societárias e operações no mercado de capitais que impliquem em uma maior capitalização da Emissora e consequente melhora da sua qualidade de crédito e que sejam aprovadas pela Assembleia Geral dos Debenturistas, por pelo menos 75% (setenta e cinco por cento) das Debêntures em Circulação; </w:t>
      </w:r>
    </w:p>
    <w:p>
      <w:pPr>
        <w:pStyle w:val="sub"/>
        <w:tabs>
          <w:tab w:val="left" w:pos="770"/>
        </w:tabs>
        <w:spacing w:before="0" w:after="0" w:line="320" w:lineRule="exact"/>
        <w:rPr>
          <w:rFonts w:ascii="Calibri" w:hAnsi="Calibri"/>
        </w:rPr>
      </w:pPr>
    </w:p>
    <w:p>
      <w:pPr>
        <w:pStyle w:val="sub"/>
        <w:numPr>
          <w:ilvl w:val="0"/>
          <w:numId w:val="33"/>
        </w:numPr>
        <w:tabs>
          <w:tab w:val="clear" w:pos="0"/>
          <w:tab w:val="clear" w:pos="2880"/>
          <w:tab w:val="left" w:pos="1560"/>
        </w:tabs>
        <w:spacing w:before="0" w:after="0" w:line="320" w:lineRule="exact"/>
        <w:ind w:left="0" w:firstLine="0"/>
        <w:rPr>
          <w:rFonts w:ascii="Calibri" w:hAnsi="Calibri"/>
        </w:rPr>
      </w:pPr>
      <w:r>
        <w:rPr>
          <w:rFonts w:ascii="Calibri" w:hAnsi="Calibri"/>
        </w:rPr>
        <w:t>caso esta Escritura e/ou os demais Documentos da Operação sejam objeto de questionamento judicial pela Emissora ou pelas Intervenientes;</w:t>
      </w:r>
    </w:p>
    <w:p>
      <w:pPr>
        <w:pStyle w:val="sub"/>
        <w:tabs>
          <w:tab w:val="left" w:pos="770"/>
        </w:tabs>
        <w:spacing w:before="0" w:after="0" w:line="320" w:lineRule="exact"/>
        <w:rPr>
          <w:rFonts w:ascii="Calibri" w:hAnsi="Calibri"/>
        </w:rPr>
      </w:pPr>
    </w:p>
    <w:p>
      <w:pPr>
        <w:pStyle w:val="sub"/>
        <w:numPr>
          <w:ilvl w:val="0"/>
          <w:numId w:val="33"/>
        </w:numPr>
        <w:tabs>
          <w:tab w:val="clear" w:pos="0"/>
          <w:tab w:val="clear" w:pos="2880"/>
          <w:tab w:val="left" w:pos="1560"/>
        </w:tabs>
        <w:spacing w:before="0" w:after="0" w:line="320" w:lineRule="exact"/>
        <w:ind w:left="0" w:firstLine="0"/>
        <w:rPr>
          <w:rFonts w:ascii="Calibri" w:hAnsi="Calibri"/>
          <w:b/>
        </w:rPr>
      </w:pPr>
      <w:r>
        <w:rPr>
          <w:rFonts w:ascii="Calibri" w:hAnsi="Calibri"/>
        </w:rPr>
        <w:t>caso ocorra o descumprimento das obrigações da Emissora e/ou das Intervenientes nos termos dos Contratos de Garantia, conforme aplicável;</w:t>
      </w:r>
    </w:p>
    <w:p>
      <w:pPr>
        <w:pStyle w:val="sub"/>
        <w:tabs>
          <w:tab w:val="left" w:pos="770"/>
        </w:tabs>
        <w:spacing w:before="0" w:after="0" w:line="320" w:lineRule="exact"/>
        <w:rPr>
          <w:rFonts w:ascii="Calibri" w:hAnsi="Calibri"/>
        </w:rPr>
      </w:pPr>
    </w:p>
    <w:p>
      <w:pPr>
        <w:pStyle w:val="sub"/>
        <w:numPr>
          <w:ilvl w:val="0"/>
          <w:numId w:val="33"/>
        </w:numPr>
        <w:tabs>
          <w:tab w:val="clear" w:pos="0"/>
          <w:tab w:val="clear" w:pos="2880"/>
          <w:tab w:val="left" w:pos="1560"/>
        </w:tabs>
        <w:spacing w:before="0" w:after="0" w:line="320" w:lineRule="exact"/>
        <w:ind w:left="0" w:firstLine="0"/>
        <w:rPr>
          <w:rFonts w:ascii="Calibri" w:hAnsi="Calibri"/>
        </w:rPr>
      </w:pPr>
      <w:r>
        <w:rPr>
          <w:rFonts w:ascii="Calibri" w:hAnsi="Calibri"/>
        </w:rPr>
        <w:lastRenderedPageBreak/>
        <w:t xml:space="preserve">cessão ou outra forma de transferência, pela Emissora e/ou pelas Intervenientes, de qualquer obrigação prevista nesta Escritura e/ou nos demais Documentos da Operação, exceto se previamente autorizado pelos Debenturistas. </w:t>
      </w:r>
    </w:p>
    <w:p>
      <w:pPr>
        <w:pStyle w:val="sub"/>
        <w:tabs>
          <w:tab w:val="left" w:pos="770"/>
        </w:tabs>
        <w:spacing w:before="0" w:after="0" w:line="320" w:lineRule="exact"/>
        <w:rPr>
          <w:rFonts w:ascii="Calibri" w:hAnsi="Calibri"/>
        </w:rPr>
      </w:pPr>
    </w:p>
    <w:p>
      <w:pPr>
        <w:pStyle w:val="sub"/>
        <w:numPr>
          <w:ilvl w:val="2"/>
          <w:numId w:val="17"/>
        </w:numPr>
        <w:tabs>
          <w:tab w:val="clear" w:pos="1440"/>
          <w:tab w:val="left" w:pos="1418"/>
        </w:tabs>
        <w:spacing w:before="0" w:after="0" w:line="320" w:lineRule="exact"/>
        <w:ind w:left="0" w:firstLine="0"/>
        <w:rPr>
          <w:rFonts w:ascii="Calibri" w:hAnsi="Calibri"/>
        </w:rPr>
      </w:pPr>
      <w:r>
        <w:rPr>
          <w:rFonts w:ascii="Calibri" w:eastAsia="Arial Unicode MS" w:hAnsi="Calibri"/>
          <w:b/>
          <w:w w:val="0"/>
        </w:rPr>
        <w:t>Vencimento Antecipado Não Automático.</w:t>
      </w:r>
      <w:r>
        <w:rPr>
          <w:rFonts w:ascii="Calibri" w:eastAsia="Arial Unicode MS" w:hAnsi="Calibri"/>
          <w:w w:val="0"/>
        </w:rPr>
        <w:t xml:space="preserve">  O Agente Fiduciário deverá, em até 5 (cinco) dias úteis contados da data em que for constatada a ocorrência dos eventos listados abaixo (cada um, “</w:t>
      </w:r>
      <w:r>
        <w:rPr>
          <w:rFonts w:ascii="Calibri" w:eastAsia="Arial Unicode MS" w:hAnsi="Calibri"/>
          <w:w w:val="0"/>
          <w:u w:val="single"/>
        </w:rPr>
        <w:t>Hipótese de Vencimento Antecipado Não Automático</w:t>
      </w:r>
      <w:r>
        <w:rPr>
          <w:rFonts w:ascii="Calibri" w:eastAsia="Arial Unicode MS" w:hAnsi="Calibri"/>
          <w:w w:val="0"/>
        </w:rPr>
        <w:t>” e, em conjunto com Hipótese de Vencimento Antecipado Automático “</w:t>
      </w:r>
      <w:r>
        <w:rPr>
          <w:rFonts w:ascii="Calibri" w:eastAsia="Arial Unicode MS" w:hAnsi="Calibri"/>
          <w:w w:val="0"/>
          <w:u w:val="single"/>
        </w:rPr>
        <w:t>Eventos de Inadimplemento</w:t>
      </w:r>
      <w:r>
        <w:rPr>
          <w:rFonts w:ascii="Calibri" w:eastAsia="Arial Unicode MS" w:hAnsi="Calibri"/>
          <w:w w:val="0"/>
        </w:rPr>
        <w:t>”), ou do fim do período de cura, conforme o caso, convocar Assembleia Geral de Debenturistas para deliberar sobre a eventual não declaração do vencimento antecipado das Debêntures. O Agente Fiduciário deverá notificar a Emissora da convocação da Assembleia Geral de Debenturistas no mínimo 5 (cinco) dias úteis antes da data de sua realização:</w:t>
      </w:r>
    </w:p>
    <w:p>
      <w:pPr>
        <w:pStyle w:val="sub"/>
        <w:tabs>
          <w:tab w:val="clear" w:pos="1440"/>
          <w:tab w:val="left" w:pos="1418"/>
        </w:tabs>
        <w:spacing w:before="0" w:after="0" w:line="320" w:lineRule="exact"/>
        <w:rPr>
          <w:rFonts w:ascii="Calibri" w:eastAsia="Arial Unicode MS" w:hAnsi="Calibri"/>
          <w:b/>
          <w:w w:val="0"/>
        </w:rPr>
      </w:pPr>
    </w:p>
    <w:p>
      <w:pPr>
        <w:pStyle w:val="sub"/>
        <w:numPr>
          <w:ilvl w:val="0"/>
          <w:numId w:val="35"/>
        </w:numPr>
        <w:tabs>
          <w:tab w:val="clear" w:pos="2880"/>
          <w:tab w:val="left" w:pos="1560"/>
        </w:tabs>
        <w:spacing w:before="0" w:after="0" w:line="320" w:lineRule="exact"/>
        <w:ind w:left="0" w:firstLine="45"/>
        <w:rPr>
          <w:rFonts w:ascii="Calibri" w:hAnsi="Calibri"/>
        </w:rPr>
      </w:pPr>
      <w:r>
        <w:rPr>
          <w:rFonts w:ascii="Calibri" w:hAnsi="Calibri"/>
        </w:rPr>
        <w:t xml:space="preserve">não renovação, cancelamento, revogação ou suspensão de quaisquer autorizações, concessões, alvarás e licenças relevantes para o regular exercício das atividades desenvolvidas pela Emissora e pelas Intervenientes, desde que resulte em um Efeito Material Adverso (conforme definido abaixo); </w:t>
      </w:r>
    </w:p>
    <w:p>
      <w:pPr>
        <w:pStyle w:val="sub"/>
        <w:tabs>
          <w:tab w:val="left" w:pos="770"/>
        </w:tabs>
        <w:spacing w:before="0" w:after="0" w:line="320" w:lineRule="exact"/>
        <w:ind w:firstLine="45"/>
        <w:rPr>
          <w:rFonts w:ascii="Calibri" w:hAnsi="Calibri"/>
        </w:rPr>
      </w:pPr>
    </w:p>
    <w:p>
      <w:pPr>
        <w:pStyle w:val="sub"/>
        <w:numPr>
          <w:ilvl w:val="0"/>
          <w:numId w:val="35"/>
        </w:numPr>
        <w:tabs>
          <w:tab w:val="clear" w:pos="2880"/>
          <w:tab w:val="left" w:pos="1560"/>
        </w:tabs>
        <w:spacing w:before="0" w:after="0" w:line="320" w:lineRule="exact"/>
        <w:ind w:left="0" w:firstLine="45"/>
        <w:rPr>
          <w:rFonts w:ascii="Calibri" w:hAnsi="Calibri"/>
        </w:rPr>
      </w:pPr>
      <w:r>
        <w:rPr>
          <w:rFonts w:ascii="Calibri" w:hAnsi="Calibri"/>
        </w:rPr>
        <w:t xml:space="preserve">protesto de títulos contra a Emissora, suas controladas e/ou coligadas, ainda que na condição de garantidoras, em valor individual ou agregado não pago que ultrapasse R$10.000.000,00 (dez milhões de reais); exceto se, no prazo de até 15 (quinze) dias contados da data de intimação para pagamento do protesto ou no prazo estabelecido para pagamento, caso inferior aos 15 (quinze) dias, tiver sido comprovado ao Agente Fiduciário que (a) o protesto foi cancelado ou sustado; (b) foram prestadas garantias em juízo; ou, ainda, (c) o valor objeto do protesto foi devidamente quitado; </w:t>
      </w:r>
    </w:p>
    <w:p>
      <w:pPr>
        <w:pStyle w:val="PargrafodaLista"/>
      </w:pPr>
    </w:p>
    <w:p>
      <w:pPr>
        <w:pStyle w:val="sub"/>
        <w:numPr>
          <w:ilvl w:val="0"/>
          <w:numId w:val="35"/>
        </w:numPr>
        <w:tabs>
          <w:tab w:val="clear" w:pos="2880"/>
          <w:tab w:val="left" w:pos="1560"/>
        </w:tabs>
        <w:spacing w:before="0" w:after="0" w:line="320" w:lineRule="exact"/>
        <w:ind w:left="0" w:firstLine="45"/>
        <w:rPr>
          <w:rFonts w:ascii="Calibri" w:hAnsi="Calibri"/>
        </w:rPr>
      </w:pPr>
      <w:r>
        <w:rPr>
          <w:rFonts w:ascii="Calibri" w:hAnsi="Calibri"/>
        </w:rPr>
        <w:t>alteração do objeto social da Emissora ou das Intervenientes, exceção feita à inclusão, em seu objeto social, de outras atividades, desde que de qualquer forma relacionadas, similares ou complementares à atividade principal da Emissora e das Intervenientes e à exclusão, a exclusivo critério da Emissora e das Intervenientes, da atividade de comercialização de imóveis próprios;</w:t>
      </w:r>
    </w:p>
    <w:p>
      <w:pPr>
        <w:pStyle w:val="PargrafodaLista"/>
      </w:pPr>
    </w:p>
    <w:p>
      <w:pPr>
        <w:pStyle w:val="sub"/>
        <w:numPr>
          <w:ilvl w:val="0"/>
          <w:numId w:val="35"/>
        </w:numPr>
        <w:tabs>
          <w:tab w:val="clear" w:pos="0"/>
          <w:tab w:val="clear" w:pos="1440"/>
          <w:tab w:val="clear" w:pos="2880"/>
          <w:tab w:val="left" w:pos="1418"/>
          <w:tab w:val="left" w:pos="1560"/>
        </w:tabs>
        <w:spacing w:before="0" w:after="0" w:line="320" w:lineRule="exact"/>
        <w:ind w:left="0" w:firstLine="45"/>
        <w:rPr>
          <w:rFonts w:ascii="Calibri" w:hAnsi="Calibri"/>
        </w:rPr>
      </w:pPr>
      <w:r>
        <w:rPr>
          <w:rFonts w:ascii="Calibri" w:hAnsi="Calibri"/>
        </w:rPr>
        <w:t xml:space="preserve">não cumprimento de qualquer decisão ou sentença judicial ou arbitral imediatamente exigível e exequível diretamente contra a Emissora e/ou as Intervenientes, em valor individual ou agregado superior R$2.000.000,00 (dois milhões de reais), ou valor correspondente em outras moedas, exceto se obtido efeito suspensivo da respectiva decisão, ou que a Emissora tenha realizado em juízo o depósito dos valores equivalentes à condenação; </w:t>
      </w:r>
    </w:p>
    <w:p>
      <w:pPr>
        <w:pStyle w:val="PargrafodaLista"/>
        <w:ind w:left="0" w:firstLine="45"/>
      </w:pPr>
    </w:p>
    <w:p>
      <w:pPr>
        <w:pStyle w:val="sub"/>
        <w:numPr>
          <w:ilvl w:val="0"/>
          <w:numId w:val="35"/>
        </w:numPr>
        <w:tabs>
          <w:tab w:val="clear" w:pos="0"/>
          <w:tab w:val="clear" w:pos="2880"/>
          <w:tab w:val="left" w:pos="1560"/>
        </w:tabs>
        <w:spacing w:before="0" w:after="0" w:line="320" w:lineRule="exact"/>
        <w:ind w:left="0" w:firstLine="45"/>
        <w:rPr>
          <w:rFonts w:ascii="Calibri" w:hAnsi="Calibri"/>
        </w:rPr>
      </w:pPr>
      <w:r>
        <w:rPr>
          <w:rFonts w:ascii="Calibri" w:hAnsi="Calibri"/>
        </w:rPr>
        <w:t xml:space="preserve">descumprimento, pela Emissora e/ou pelas Intervenientes, de qualquer obrigação não pecuniária prevista nesta Escritura e/ou nos demais Documentos da Operação, não sanada no </w:t>
      </w:r>
      <w:r>
        <w:rPr>
          <w:rFonts w:ascii="Calibri" w:hAnsi="Calibri"/>
        </w:rPr>
        <w:lastRenderedPageBreak/>
        <w:t>prazo de 10 (dez) dias corridos contados da data em que tal obrigação não pecuniária deveria ter sido cumprida, observados eventuais prazos descritos nos Documentos da Operação;</w:t>
      </w:r>
    </w:p>
    <w:p>
      <w:pPr>
        <w:pStyle w:val="PargrafodaLista"/>
        <w:ind w:left="0" w:firstLine="45"/>
      </w:pPr>
    </w:p>
    <w:p>
      <w:pPr>
        <w:pStyle w:val="sub"/>
        <w:tabs>
          <w:tab w:val="clear" w:pos="0"/>
          <w:tab w:val="clear" w:pos="2880"/>
          <w:tab w:val="left" w:pos="1560"/>
        </w:tabs>
        <w:spacing w:before="0" w:after="0" w:line="320" w:lineRule="exact"/>
        <w:ind w:firstLine="45"/>
        <w:rPr>
          <w:rFonts w:ascii="Calibri" w:hAnsi="Calibri"/>
        </w:rPr>
      </w:pPr>
      <w:r>
        <w:rPr>
          <w:rFonts w:ascii="Calibri" w:hAnsi="Calibri"/>
        </w:rPr>
        <w:tab/>
      </w:r>
    </w:p>
    <w:p>
      <w:pPr>
        <w:pStyle w:val="sub"/>
        <w:numPr>
          <w:ilvl w:val="0"/>
          <w:numId w:val="35"/>
        </w:numPr>
        <w:tabs>
          <w:tab w:val="clear" w:pos="0"/>
          <w:tab w:val="clear" w:pos="2880"/>
          <w:tab w:val="left" w:pos="1560"/>
        </w:tabs>
        <w:spacing w:before="0" w:after="0" w:line="320" w:lineRule="exact"/>
        <w:ind w:left="0" w:firstLine="45"/>
        <w:rPr>
          <w:rFonts w:ascii="Calibri" w:hAnsi="Calibri"/>
        </w:rPr>
      </w:pPr>
      <w:r>
        <w:rPr>
          <w:rFonts w:ascii="Calibri" w:hAnsi="Calibri"/>
        </w:rPr>
        <w:t xml:space="preserve">desapropriação, confisco ou qualquer outra medida de qualquer entidade governamental brasileira que resulte na perda da propriedade ou posse direta dos ativos da Emissora e/ou das Intervenientes, ou na incapacidade de gestão de seus negócios, desde que tal desapropriação, confisco ou outra medida  possa impedir a Emissora e/ou as Intervenientes de efetuar seus pagamentos ou cumprir com suas obrigações decorrentes das Debêntures, </w:t>
      </w:r>
      <w:r>
        <w:rPr>
          <w:rFonts w:ascii="Calibri" w:eastAsia="Arial Unicode MS" w:hAnsi="Calibri"/>
        </w:rPr>
        <w:t>principais e acessórias,</w:t>
      </w:r>
      <w:r>
        <w:rPr>
          <w:rFonts w:ascii="Calibri" w:hAnsi="Calibri"/>
        </w:rPr>
        <w:t xml:space="preserve"> e tal medida não seja sanada pela Emissora e/ou pelas Intervenientes no prazo de 20 (vinte) dias úteis a contar da data em que a Emissora tomar conhecimento de referido evento; </w:t>
      </w:r>
    </w:p>
    <w:p>
      <w:pPr>
        <w:pStyle w:val="sub"/>
        <w:tabs>
          <w:tab w:val="clear" w:pos="0"/>
          <w:tab w:val="clear" w:pos="1440"/>
          <w:tab w:val="clear" w:pos="2880"/>
          <w:tab w:val="left" w:pos="1418"/>
          <w:tab w:val="left" w:pos="1560"/>
        </w:tabs>
        <w:spacing w:before="0" w:after="0" w:line="320" w:lineRule="exact"/>
        <w:ind w:firstLine="45"/>
        <w:rPr>
          <w:rFonts w:ascii="Calibri" w:hAnsi="Calibri"/>
        </w:rPr>
      </w:pPr>
    </w:p>
    <w:p>
      <w:pPr>
        <w:pStyle w:val="sub"/>
        <w:numPr>
          <w:ilvl w:val="0"/>
          <w:numId w:val="35"/>
        </w:numPr>
        <w:tabs>
          <w:tab w:val="clear" w:pos="0"/>
          <w:tab w:val="clear" w:pos="2880"/>
          <w:tab w:val="left" w:pos="1560"/>
        </w:tabs>
        <w:spacing w:before="0" w:after="0" w:line="320" w:lineRule="exact"/>
        <w:ind w:left="0" w:firstLine="45"/>
        <w:rPr>
          <w:rFonts w:ascii="Calibri" w:hAnsi="Calibri"/>
        </w:rPr>
      </w:pPr>
      <w:r>
        <w:rPr>
          <w:rFonts w:ascii="Calibri" w:hAnsi="Calibri"/>
        </w:rPr>
        <w:t xml:space="preserve">provarem-se falsas ou revelarem-se incorretas ou enganosas quaisquer das declarações ou garantias prestadas pela Emissora e/ou das Intervenientes, nesta Escritura e/ou nos demais Documentos da Operação; </w:t>
      </w:r>
    </w:p>
    <w:p>
      <w:pPr>
        <w:pStyle w:val="sub"/>
        <w:tabs>
          <w:tab w:val="clear" w:pos="2880"/>
          <w:tab w:val="left" w:pos="1560"/>
        </w:tabs>
        <w:spacing w:before="0" w:after="0" w:line="320" w:lineRule="exact"/>
        <w:ind w:firstLine="45"/>
        <w:rPr>
          <w:rFonts w:ascii="Calibri" w:hAnsi="Calibri"/>
        </w:rPr>
      </w:pPr>
    </w:p>
    <w:p>
      <w:pPr>
        <w:pStyle w:val="sub"/>
        <w:numPr>
          <w:ilvl w:val="0"/>
          <w:numId w:val="35"/>
        </w:numPr>
        <w:tabs>
          <w:tab w:val="clear" w:pos="0"/>
          <w:tab w:val="clear" w:pos="2880"/>
          <w:tab w:val="left" w:pos="1560"/>
        </w:tabs>
        <w:spacing w:before="0" w:after="0" w:line="320" w:lineRule="exact"/>
        <w:ind w:left="0" w:firstLine="45"/>
        <w:rPr>
          <w:rFonts w:ascii="Calibri" w:hAnsi="Calibri"/>
        </w:rPr>
      </w:pPr>
      <w:r>
        <w:rPr>
          <w:rFonts w:ascii="Calibri" w:hAnsi="Calibri"/>
        </w:rPr>
        <w:t xml:space="preserve">caso esta Escritura e/ou os demais Documentos da Operação sejam objeto de questionamento judicial por qualquer terceiro, com a emissão, por juízo brasileiro ou internacional, de sentença (ou instituto jurídico de mesma natureza na jurisdição aplicável) suspendendo, no todo ou em parte, a eficácia de qualquer cláusula desta Escritura e/ou dos demais Documentos da Operação; </w:t>
      </w:r>
    </w:p>
    <w:p>
      <w:pPr>
        <w:pStyle w:val="sub"/>
        <w:tabs>
          <w:tab w:val="clear" w:pos="2880"/>
          <w:tab w:val="left" w:pos="1560"/>
        </w:tabs>
        <w:spacing w:before="0" w:after="0" w:line="320" w:lineRule="exact"/>
        <w:ind w:firstLine="45"/>
        <w:rPr>
          <w:rFonts w:ascii="Calibri" w:hAnsi="Calibri"/>
        </w:rPr>
      </w:pPr>
    </w:p>
    <w:p>
      <w:pPr>
        <w:pStyle w:val="sub"/>
        <w:numPr>
          <w:ilvl w:val="0"/>
          <w:numId w:val="35"/>
        </w:numPr>
        <w:tabs>
          <w:tab w:val="clear" w:pos="0"/>
          <w:tab w:val="clear" w:pos="1440"/>
          <w:tab w:val="clear" w:pos="2880"/>
          <w:tab w:val="left" w:pos="1418"/>
          <w:tab w:val="left" w:pos="1560"/>
        </w:tabs>
        <w:spacing w:before="0" w:after="0" w:line="320" w:lineRule="exact"/>
        <w:ind w:left="0" w:firstLine="45"/>
        <w:rPr>
          <w:rFonts w:ascii="Calibri" w:hAnsi="Calibri"/>
        </w:rPr>
      </w:pPr>
      <w:r>
        <w:rPr>
          <w:rFonts w:ascii="Calibri" w:hAnsi="Calibri"/>
        </w:rPr>
        <w:t xml:space="preserve">se constatado um descumprimento pela Emissora, suas controladas, seus conselheiros, diretores e funcionários das normas aplicáveis que versam sobre atos de corrupção e atos lesivos contra a administração pública, na forma da Lei nº 12.846, de 01 de agosto de 2013, do </w:t>
      </w:r>
      <w:r>
        <w:rPr>
          <w:rFonts w:ascii="Calibri" w:hAnsi="Calibri"/>
          <w:i/>
        </w:rPr>
        <w:t>Foreign Corrupt Practices Act</w:t>
      </w:r>
      <w:r>
        <w:rPr>
          <w:rFonts w:ascii="Calibri" w:hAnsi="Calibri"/>
        </w:rPr>
        <w:t xml:space="preserve"> (FCPA), da </w:t>
      </w:r>
      <w:r>
        <w:rPr>
          <w:rFonts w:ascii="Calibri" w:hAnsi="Calibri"/>
          <w:i/>
        </w:rPr>
        <w:t>OECD Convention on Combating Bribery of Foreign Public Officials in International Business Transactions e do UK Bribery Act</w:t>
      </w:r>
      <w:r>
        <w:rPr>
          <w:rFonts w:ascii="Calibri" w:hAnsi="Calibri"/>
        </w:rPr>
        <w:t xml:space="preserve"> (UKBA), sem prejuízo das demais legislações anticorrupção (“</w:t>
      </w:r>
      <w:r>
        <w:rPr>
          <w:rFonts w:ascii="Calibri" w:hAnsi="Calibri"/>
          <w:u w:val="single"/>
        </w:rPr>
        <w:t>Legislação Anticorrupção</w:t>
      </w:r>
      <w:r>
        <w:rPr>
          <w:rFonts w:ascii="Calibri" w:hAnsi="Calibri"/>
        </w:rPr>
        <w:t>”);</w:t>
      </w:r>
    </w:p>
    <w:p>
      <w:pPr>
        <w:pStyle w:val="sub"/>
        <w:tabs>
          <w:tab w:val="clear" w:pos="2880"/>
          <w:tab w:val="left" w:pos="1560"/>
        </w:tabs>
        <w:spacing w:before="0" w:after="0" w:line="320" w:lineRule="exact"/>
        <w:ind w:firstLine="45"/>
        <w:rPr>
          <w:rFonts w:ascii="Calibri" w:hAnsi="Calibri"/>
        </w:rPr>
      </w:pPr>
    </w:p>
    <w:p>
      <w:pPr>
        <w:pStyle w:val="sub"/>
        <w:numPr>
          <w:ilvl w:val="0"/>
          <w:numId w:val="35"/>
        </w:numPr>
        <w:tabs>
          <w:tab w:val="clear" w:pos="0"/>
          <w:tab w:val="clear" w:pos="1440"/>
          <w:tab w:val="clear" w:pos="2880"/>
          <w:tab w:val="left" w:pos="1418"/>
          <w:tab w:val="left" w:pos="1560"/>
        </w:tabs>
        <w:spacing w:before="0" w:after="0" w:line="320" w:lineRule="exact"/>
        <w:ind w:left="0" w:firstLine="45"/>
        <w:rPr>
          <w:rFonts w:ascii="Calibri" w:hAnsi="Calibri"/>
        </w:rPr>
      </w:pPr>
      <w:r>
        <w:rPr>
          <w:rFonts w:ascii="Calibri" w:hAnsi="Calibri"/>
        </w:rPr>
        <w:t>se constatado que os Imóveis (a) possuem restrição ao uso, incluindo restrições relacionadas a parcelamento de solo, preservação do patrimônio arqueológico, paleontológico e histórico, ou que o tomador não cumpre exigências estabelecidas pelo órgão competente; (b) estão localizados em terras de ocupação indígena e quilombola e unidades de conservação, assim definidas pela autoridade competente;</w:t>
      </w:r>
    </w:p>
    <w:p>
      <w:pPr>
        <w:pStyle w:val="sub"/>
        <w:tabs>
          <w:tab w:val="clear" w:pos="1440"/>
          <w:tab w:val="left" w:pos="1418"/>
        </w:tabs>
        <w:spacing w:before="0" w:after="0" w:line="320" w:lineRule="exact"/>
        <w:ind w:firstLine="45"/>
        <w:rPr>
          <w:rFonts w:ascii="Calibri" w:hAnsi="Calibri"/>
        </w:rPr>
      </w:pPr>
    </w:p>
    <w:p>
      <w:pPr>
        <w:pStyle w:val="sub"/>
        <w:numPr>
          <w:ilvl w:val="0"/>
          <w:numId w:val="35"/>
        </w:numPr>
        <w:tabs>
          <w:tab w:val="clear" w:pos="0"/>
          <w:tab w:val="clear" w:pos="1440"/>
          <w:tab w:val="clear" w:pos="2880"/>
          <w:tab w:val="left" w:pos="1418"/>
          <w:tab w:val="left" w:pos="1560"/>
        </w:tabs>
        <w:spacing w:before="0" w:after="0" w:line="320" w:lineRule="exact"/>
        <w:ind w:left="0" w:firstLine="45"/>
        <w:rPr>
          <w:rFonts w:ascii="Calibri" w:hAnsi="Calibri"/>
        </w:rPr>
      </w:pPr>
      <w:r>
        <w:rPr>
          <w:rFonts w:ascii="Calibri" w:hAnsi="Calibri"/>
        </w:rPr>
        <w:t xml:space="preserve">caso as Intervenientes realizem qualquer captação de recursos junto a instituições financeiras e/ou mercado de capitais e/ou mútuo, empréstimo ou operação semelhante junto a terceiros, em valor superior a R$500.000,00 (quinhentos mil reais) sem aprovação de, no mínimo, 75% (setenta e cinco por cento) das Debêntures em Circulação; </w:t>
      </w:r>
    </w:p>
    <w:p>
      <w:pPr>
        <w:pStyle w:val="sub"/>
        <w:tabs>
          <w:tab w:val="clear" w:pos="1440"/>
          <w:tab w:val="left" w:pos="1418"/>
        </w:tabs>
        <w:spacing w:before="0" w:after="0" w:line="320" w:lineRule="exact"/>
        <w:rPr>
          <w:rFonts w:ascii="Calibri" w:hAnsi="Calibri"/>
        </w:rPr>
      </w:pPr>
    </w:p>
    <w:p>
      <w:pPr>
        <w:pStyle w:val="PargrafodaLista"/>
        <w:numPr>
          <w:ilvl w:val="2"/>
          <w:numId w:val="17"/>
        </w:num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0" w:firstLine="0"/>
        <w:jc w:val="both"/>
        <w:rPr>
          <w:rFonts w:eastAsia="Arial Unicode MS"/>
          <w:w w:val="0"/>
        </w:rPr>
      </w:pPr>
      <w:r>
        <w:rPr>
          <w:rFonts w:eastAsia="Arial Unicode MS"/>
          <w:w w:val="0"/>
        </w:rPr>
        <w:lastRenderedPageBreak/>
        <w:t>A Emissora</w:t>
      </w:r>
      <w:r>
        <w:t xml:space="preserve"> e/ou as Intervenientes</w:t>
      </w:r>
      <w:r>
        <w:rPr>
          <w:rFonts w:eastAsia="Arial Unicode MS"/>
          <w:w w:val="0"/>
        </w:rPr>
        <w:t xml:space="preserve"> obrigam-se a comunicar ao Agente Fiduciário sobre a ocorrência de qualquer Evento de Inadimplemento no prazo previsto no item abaixo, para que esta tome as providências devidas.</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numPr>
          <w:ilvl w:val="2"/>
          <w:numId w:val="17"/>
        </w:num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Para os fins de que trata essa Escritura de Emissão, “Data de Vencimento Antecipado” será qualquer uma das seguintes datas: (i) nas hipótese previstas na Cláusula 7.4.1 acima, será a data em que ocorrer qualquer das referidas Hipóteses de Vencimento Antecipado Automático, quando o vencimento antecipado das Debêntures será declarado automaticamente pelo Agente Fiduciário, independente de notificação nesse sentido, devendo o Agente Fiduciário, sem prejuízo do caráter automático das Hipóteses de Vencimento Antecipado Automático e de qualquer direito dos Debenturistas, notificar a Emissora de sua ocorrência; ou (ii) ocorrendo qualquer das Hipóteses de Vencimento Antecipado Não Automático, previstas na Cláusula 7.4.2 acima, será a data em que se realizar a Assembleia Geral de Debenturistas de que trata a Cláusula 7.4.5 abaixo, se tal Assembleia Geral de Debenturistas não deliberar pelo não vencimento antecipado, nos termos da Cláusula 7.4.6 abaixo, sendo que o Agente Fiduciário deverá comunicar a efetiva declaração do vencimento antecipado das Debêntures à Emissora no prazo máximo de 5 (cinco) dias úteis, contados da data da Assembleia Geral de Debenturistas aqui referida.</w:t>
      </w:r>
    </w:p>
    <w:p>
      <w:p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720"/>
        <w:jc w:val="both"/>
        <w:rPr>
          <w:rFonts w:ascii="Calibri" w:eastAsia="Arial Unicode MS" w:hAnsi="Calibri"/>
          <w:w w:val="0"/>
          <w:sz w:val="22"/>
          <w:szCs w:val="22"/>
        </w:rPr>
      </w:pPr>
    </w:p>
    <w:p>
      <w:pPr>
        <w:numPr>
          <w:ilvl w:val="2"/>
          <w:numId w:val="17"/>
        </w:num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Após a realização da Assembleia Geral de Debenturistas mencionada na Cláusula 7.4.4 acima, o Agente Fiduciário deverá declarar antecipadamente vencidas todas as obrigações decorrentes das Debêntures e exigir o imediato pagamento do saldo do Valor Nominal Unitário não amortizado das Debêntures acrescido da Remuneração, bem como de outros encargos devidos até a data do efetivo pagamento, a menos que Debenturistas titulares de Debêntures que representem, no mínimo, 75% (setenta e cinco por cento) das Debêntures em Circulação optem por não declarar o vencimento antecipado das obrigações decorrentes das Debêntures, na forma da Cláusula 7.4.4 (ii), acima, hipótese na qual não haverá vencimento antecipado das Debêntures.</w:t>
      </w:r>
    </w:p>
    <w:p>
      <w:p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720"/>
        <w:jc w:val="both"/>
        <w:rPr>
          <w:rFonts w:ascii="Calibri" w:eastAsia="Arial Unicode MS" w:hAnsi="Calibri"/>
          <w:w w:val="0"/>
          <w:sz w:val="22"/>
          <w:szCs w:val="22"/>
        </w:rPr>
      </w:pPr>
    </w:p>
    <w:p>
      <w:pPr>
        <w:numPr>
          <w:ilvl w:val="2"/>
          <w:numId w:val="17"/>
        </w:num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 xml:space="preserve">Em caso de declaração do vencimento antecipado das Debêntures pelo Agente Fiduciário, nos termos da Cláusula 7.4.4, itens (i) ou (ii)  acima, a Emissora se obriga a efetuar o pagamento do Valor Nominal Unitário ou saldo do Valor Nominal Unitário das Debêntures, conforme o caso, acrescido da Remuneração, calculada pro rata temporis desde a primeira Data de Integralização ou a Data de Pagamento da Remuneração imediatamente anterior, conforme o caso, até a data do efetivo pagamento, e de quaisquer outros valores eventualmente devidos pela Emissora nos termos desta Escritura da Emissão, fora do âmbito da B3, em até 2 (dois) dias úteis contados da comunicação por escrito a ser enviada pelo Agente Fiduciário à Emissora, sob pena de, em não o fazendo, ficar obrigada, ainda, ao pagamento dos Encargos Moratórios (exceto no caso do evento previsto na Cláusula 7.4.4, inciso I, caso em que os Encargos Moratórios serão devidos desde a respectiva data em que o pagamento deveria ter sido realizado). A B3 deverá ser comunicada </w:t>
      </w:r>
      <w:r>
        <w:rPr>
          <w:rFonts w:ascii="Calibri" w:eastAsia="Arial Unicode MS" w:hAnsi="Calibri"/>
          <w:w w:val="0"/>
          <w:sz w:val="22"/>
          <w:szCs w:val="22"/>
        </w:rPr>
        <w:lastRenderedPageBreak/>
        <w:t>imediatamente após a declaração do vencimento antecipado e conforme o Manual de Operações da B3.</w:t>
      </w:r>
    </w:p>
    <w:p>
      <w:p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720"/>
        <w:jc w:val="both"/>
        <w:rPr>
          <w:rFonts w:ascii="Calibri" w:eastAsia="Arial Unicode MS" w:hAnsi="Calibri"/>
          <w:w w:val="0"/>
          <w:sz w:val="22"/>
          <w:szCs w:val="22"/>
        </w:rPr>
      </w:pPr>
    </w:p>
    <w:p>
      <w:pPr>
        <w:numPr>
          <w:ilvl w:val="2"/>
          <w:numId w:val="17"/>
        </w:num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Para fins da apuração das obrigações dispostas acima, caso a Emissora, por qualquer razão, deixe de publicar suas demonstrações financeiras nos termos da legislação aplicável, a Emissora</w:t>
      </w:r>
      <w:r>
        <w:rPr>
          <w:rFonts w:ascii="Calibri" w:hAnsi="Calibri"/>
          <w:sz w:val="22"/>
          <w:szCs w:val="22"/>
        </w:rPr>
        <w:t xml:space="preserve"> </w:t>
      </w:r>
      <w:r>
        <w:rPr>
          <w:rFonts w:ascii="Calibri" w:eastAsia="Arial Unicode MS" w:hAnsi="Calibri"/>
          <w:w w:val="0"/>
          <w:sz w:val="22"/>
          <w:szCs w:val="22"/>
        </w:rPr>
        <w:t xml:space="preserve">se obriga a enviar ao Agente Fiduciário, no prazo de 30 (trinta) dias a contar da data que corresponde ao fim do prazo limite para publicar suas demonstrações financeiras, (i) a relação de suas sociedades controladas e coligadas, anualmente, até a Data de Vencimento; e (ii) cópia do seu balanço ou das demonstrações financeiras sem a sua necessária publicação. </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numPr>
          <w:ilvl w:val="2"/>
          <w:numId w:val="17"/>
        </w:numPr>
        <w:shd w:val="clear" w:color="auto" w:fill="FFFFFF"/>
        <w:tabs>
          <w:tab w:val="left" w:pos="24"/>
          <w:tab w:val="left" w:pos="284"/>
          <w:tab w:val="left" w:pos="1418"/>
          <w:tab w:val="left" w:pos="156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Caso a Emissora</w:t>
      </w:r>
      <w:r>
        <w:rPr>
          <w:rFonts w:ascii="Calibri" w:hAnsi="Calibri"/>
          <w:sz w:val="22"/>
          <w:szCs w:val="22"/>
        </w:rPr>
        <w:t xml:space="preserve"> </w:t>
      </w:r>
      <w:r>
        <w:rPr>
          <w:rFonts w:ascii="Calibri" w:eastAsia="Arial Unicode MS" w:hAnsi="Calibri"/>
          <w:w w:val="0"/>
          <w:sz w:val="22"/>
          <w:szCs w:val="22"/>
        </w:rPr>
        <w:t>não proceda ao pagamento das Debêntures na forma estipulada na Cláusula acima, além dos Juros Remuneratórios devidos, serão acrescidos ao Valor Nominal Unitário, os Encargos Moratórios incidentes desde a data de vencimento antecipado das Debêntures até a data de seu efetivo pagamento, conforme previsto nesta Escritura.</w:t>
      </w:r>
    </w:p>
    <w:p>
      <w:pPr>
        <w:pStyle w:val="sub"/>
        <w:tabs>
          <w:tab w:val="left" w:pos="770"/>
        </w:tabs>
        <w:spacing w:before="0" w:after="0" w:line="320" w:lineRule="exact"/>
        <w:rPr>
          <w:rFonts w:ascii="Calibri" w:eastAsia="Arial Unicode MS" w:hAnsi="Calibri"/>
        </w:rPr>
      </w:pPr>
    </w:p>
    <w:p>
      <w:pPr>
        <w:numPr>
          <w:ilvl w:val="0"/>
          <w:numId w:val="17"/>
        </w:numPr>
        <w:shd w:val="clear" w:color="auto" w:fill="FFFFFF"/>
        <w:tabs>
          <w:tab w:val="left" w:pos="1418"/>
        </w:tabs>
        <w:spacing w:line="320" w:lineRule="exact"/>
        <w:ind w:left="0" w:firstLine="0"/>
        <w:jc w:val="both"/>
        <w:rPr>
          <w:rFonts w:ascii="Calibri" w:eastAsia="Arial Unicode MS" w:hAnsi="Calibri"/>
          <w:b/>
          <w:w w:val="0"/>
          <w:sz w:val="22"/>
          <w:szCs w:val="22"/>
        </w:rPr>
      </w:pPr>
      <w:bookmarkStart w:id="59" w:name="_DV_M301"/>
      <w:bookmarkEnd w:id="58"/>
      <w:bookmarkEnd w:id="59"/>
      <w:r>
        <w:rPr>
          <w:rFonts w:ascii="Calibri" w:eastAsia="Arial Unicode MS" w:hAnsi="Calibri"/>
          <w:b/>
          <w:w w:val="0"/>
          <w:sz w:val="22"/>
          <w:szCs w:val="22"/>
        </w:rPr>
        <w:t>DAS OBRIGAÇÕES ADICIONAIS DA EMISSORA</w:t>
      </w:r>
      <w:r>
        <w:t xml:space="preserve"> </w:t>
      </w:r>
      <w:r>
        <w:rPr>
          <w:rFonts w:ascii="Calibri" w:eastAsia="Arial Unicode MS" w:hAnsi="Calibri"/>
          <w:b/>
          <w:w w:val="0"/>
          <w:sz w:val="22"/>
          <w:szCs w:val="22"/>
        </w:rPr>
        <w:t xml:space="preserve">E DAS INTERVENIENTES </w:t>
      </w:r>
    </w:p>
    <w:p>
      <w:pPr>
        <w:pStyle w:val="Ttulo1"/>
        <w:spacing w:before="0" w:after="0" w:line="320" w:lineRule="exact"/>
        <w:jc w:val="both"/>
        <w:rPr>
          <w:rFonts w:ascii="Calibri" w:hAnsi="Calibri" w:cs="Times New Roman"/>
          <w:b w:val="0"/>
          <w:w w:val="0"/>
          <w:sz w:val="22"/>
          <w:szCs w:val="22"/>
        </w:rPr>
      </w:pPr>
      <w:r>
        <w:rPr>
          <w:rFonts w:ascii="Calibri" w:hAnsi="Calibri" w:cs="Times New Roman"/>
          <w:b w:val="0"/>
          <w:w w:val="0"/>
          <w:sz w:val="22"/>
          <w:szCs w:val="22"/>
        </w:rPr>
        <w:t xml:space="preserve"> </w:t>
      </w:r>
    </w:p>
    <w:p>
      <w:pPr>
        <w:numPr>
          <w:ilvl w:val="1"/>
          <w:numId w:val="18"/>
        </w:numPr>
        <w:shd w:val="clear" w:color="auto" w:fill="FFFFFF"/>
        <w:tabs>
          <w:tab w:val="left" w:pos="1418"/>
        </w:tabs>
        <w:spacing w:line="320" w:lineRule="exact"/>
        <w:ind w:left="1418" w:hanging="1418"/>
        <w:jc w:val="both"/>
        <w:rPr>
          <w:rFonts w:ascii="Calibri" w:eastAsia="Arial Unicode MS" w:hAnsi="Calibri"/>
          <w:w w:val="0"/>
          <w:sz w:val="22"/>
          <w:szCs w:val="22"/>
        </w:rPr>
      </w:pPr>
      <w:bookmarkStart w:id="60" w:name="_DV_M188"/>
      <w:bookmarkEnd w:id="60"/>
      <w:r>
        <w:rPr>
          <w:rFonts w:ascii="Calibri" w:eastAsia="Arial Unicode MS" w:hAnsi="Calibri"/>
          <w:w w:val="0"/>
          <w:sz w:val="22"/>
          <w:szCs w:val="22"/>
        </w:rPr>
        <w:t>A Emissora</w:t>
      </w:r>
      <w:r>
        <w:rPr>
          <w:rFonts w:ascii="Calibri" w:hAnsi="Calibri"/>
          <w:sz w:val="22"/>
          <w:szCs w:val="22"/>
        </w:rPr>
        <w:t xml:space="preserve"> </w:t>
      </w:r>
      <w:r>
        <w:rPr>
          <w:rFonts w:ascii="Calibri" w:eastAsia="Arial Unicode MS" w:hAnsi="Calibri"/>
          <w:w w:val="0"/>
          <w:sz w:val="22"/>
          <w:szCs w:val="22"/>
        </w:rPr>
        <w:t>adicionalmente se obriga a:</w:t>
      </w:r>
    </w:p>
    <w:p>
      <w:pPr>
        <w:tabs>
          <w:tab w:val="left" w:pos="1800"/>
        </w:tabs>
        <w:spacing w:line="320" w:lineRule="exact"/>
        <w:jc w:val="both"/>
        <w:rPr>
          <w:rFonts w:ascii="Calibri" w:eastAsia="Arial Unicode MS" w:hAnsi="Calibri"/>
          <w:w w:val="0"/>
          <w:sz w:val="22"/>
          <w:szCs w:val="22"/>
          <w:u w:val="single"/>
        </w:rPr>
      </w:pPr>
    </w:p>
    <w:p>
      <w:pPr>
        <w:tabs>
          <w:tab w:val="left" w:pos="720"/>
        </w:tabs>
        <w:spacing w:line="320" w:lineRule="exact"/>
        <w:jc w:val="both"/>
        <w:rPr>
          <w:rFonts w:ascii="Calibri" w:eastAsia="Arial Unicode MS" w:hAnsi="Calibri"/>
          <w:w w:val="0"/>
          <w:sz w:val="22"/>
          <w:szCs w:val="22"/>
        </w:rPr>
      </w:pPr>
      <w:bookmarkStart w:id="61" w:name="_DV_M189"/>
      <w:bookmarkEnd w:id="61"/>
      <w:r>
        <w:rPr>
          <w:rFonts w:ascii="Calibri" w:eastAsia="Arial Unicode MS" w:hAnsi="Calibri"/>
          <w:w w:val="0"/>
          <w:sz w:val="22"/>
          <w:szCs w:val="22"/>
        </w:rPr>
        <w:t>(i)</w:t>
      </w:r>
      <w:r>
        <w:rPr>
          <w:rFonts w:ascii="Calibri" w:eastAsia="Arial Unicode MS" w:hAnsi="Calibri"/>
          <w:w w:val="0"/>
          <w:sz w:val="22"/>
          <w:szCs w:val="22"/>
        </w:rPr>
        <w:tab/>
      </w:r>
      <w:r>
        <w:rPr>
          <w:rFonts w:ascii="Calibri" w:eastAsia="Arial Unicode MS" w:hAnsi="Calibri"/>
          <w:w w:val="0"/>
          <w:sz w:val="22"/>
          <w:szCs w:val="22"/>
        </w:rPr>
        <w:tab/>
        <w:t>fornecer ao Agente Fiduciário os seguintes documentos e informações:</w:t>
      </w:r>
    </w:p>
    <w:p>
      <w:pPr>
        <w:tabs>
          <w:tab w:val="left" w:pos="1800"/>
        </w:tabs>
        <w:spacing w:line="320" w:lineRule="exact"/>
        <w:jc w:val="both"/>
        <w:rPr>
          <w:rFonts w:ascii="Calibri" w:eastAsia="Arial Unicode MS" w:hAnsi="Calibri"/>
          <w:w w:val="0"/>
          <w:sz w:val="22"/>
          <w:szCs w:val="22"/>
        </w:rPr>
      </w:pPr>
    </w:p>
    <w:p>
      <w:pPr>
        <w:pStyle w:val="sub"/>
        <w:widowControl/>
        <w:numPr>
          <w:ilvl w:val="0"/>
          <w:numId w:val="4"/>
        </w:numPr>
        <w:shd w:val="clear" w:color="auto" w:fill="FFFFFF"/>
        <w:tabs>
          <w:tab w:val="clear" w:pos="0"/>
          <w:tab w:val="clear" w:pos="1440"/>
          <w:tab w:val="left" w:pos="720"/>
          <w:tab w:val="left" w:pos="1418"/>
          <w:tab w:val="left" w:pos="1560"/>
          <w:tab w:val="left" w:pos="1800"/>
        </w:tabs>
        <w:spacing w:before="0" w:after="0" w:line="320" w:lineRule="exact"/>
        <w:ind w:left="1418" w:hanging="698"/>
        <w:rPr>
          <w:rFonts w:ascii="Calibri" w:eastAsia="Arial Unicode MS" w:hAnsi="Calibri"/>
          <w:w w:val="0"/>
        </w:rPr>
      </w:pPr>
      <w:bookmarkStart w:id="62" w:name="_DV_M190"/>
      <w:bookmarkStart w:id="63" w:name="_DV_M191"/>
      <w:bookmarkEnd w:id="62"/>
      <w:bookmarkEnd w:id="63"/>
      <w:r>
        <w:rPr>
          <w:rFonts w:ascii="Calibri" w:eastAsia="Arial Unicode MS" w:hAnsi="Calibri"/>
          <w:w w:val="0"/>
        </w:rPr>
        <w:t>dentro de, no máximo, 90 (noventa) dias após o término de cada exercício social, ou até 10 (dez) dias após a data de suas respectivas divulgações, o que ocorrer primeiro, exceto em hipótese em que as informações não possam ser fornecidas em tais prazos por força de lei ou ordem de autoridade governamental, (i) cópia de suas demonstrações financeiras consolidadas completas relativas ao respectivo exercício social encerrado, acompanhadas de parecer dos auditores independentes, e (ii) declaração do Diretor de Relações com Investidores da Emissora</w:t>
      </w:r>
      <w:r>
        <w:rPr>
          <w:rFonts w:ascii="Calibri" w:hAnsi="Calibri"/>
        </w:rPr>
        <w:t xml:space="preserve"> </w:t>
      </w:r>
      <w:r>
        <w:rPr>
          <w:rFonts w:ascii="Calibri" w:eastAsia="Arial Unicode MS" w:hAnsi="Calibri"/>
          <w:w w:val="0"/>
        </w:rPr>
        <w:t xml:space="preserve">atestando o cumprimento das obrigações, </w:t>
      </w:r>
      <w:r>
        <w:rPr>
          <w:rFonts w:ascii="Calibri" w:eastAsia="Arial Unicode MS" w:hAnsi="Calibri"/>
        </w:rPr>
        <w:t>principais e acessórias,</w:t>
      </w:r>
      <w:r>
        <w:rPr>
          <w:rFonts w:ascii="Calibri" w:eastAsia="Arial Unicode MS" w:hAnsi="Calibri"/>
          <w:w w:val="0"/>
        </w:rPr>
        <w:t xml:space="preserve"> constantes nesta Escritura; </w:t>
      </w:r>
    </w:p>
    <w:p>
      <w:pPr>
        <w:pStyle w:val="sub"/>
        <w:widowControl/>
        <w:shd w:val="clear" w:color="auto" w:fill="FFFFFF"/>
        <w:tabs>
          <w:tab w:val="clear" w:pos="0"/>
          <w:tab w:val="clear" w:pos="1440"/>
          <w:tab w:val="left" w:pos="720"/>
          <w:tab w:val="left" w:pos="1418"/>
          <w:tab w:val="left" w:pos="1800"/>
        </w:tabs>
        <w:spacing w:before="0" w:after="0" w:line="320" w:lineRule="exact"/>
        <w:ind w:left="1418" w:hanging="698"/>
        <w:rPr>
          <w:rFonts w:ascii="Calibri" w:eastAsia="Arial Unicode MS" w:hAnsi="Calibri"/>
          <w:w w:val="0"/>
        </w:rPr>
      </w:pPr>
    </w:p>
    <w:p>
      <w:pPr>
        <w:pStyle w:val="sub"/>
        <w:widowControl/>
        <w:numPr>
          <w:ilvl w:val="0"/>
          <w:numId w:val="4"/>
        </w:numPr>
        <w:shd w:val="clear" w:color="auto" w:fill="FFFFFF"/>
        <w:tabs>
          <w:tab w:val="clear" w:pos="0"/>
          <w:tab w:val="clear" w:pos="1440"/>
          <w:tab w:val="left" w:pos="720"/>
          <w:tab w:val="left" w:pos="1418"/>
          <w:tab w:val="left" w:pos="1800"/>
        </w:tabs>
        <w:spacing w:before="0" w:after="0" w:line="320" w:lineRule="exact"/>
        <w:ind w:left="1418" w:hanging="698"/>
        <w:rPr>
          <w:rFonts w:ascii="Calibri" w:eastAsia="Arial Unicode MS" w:hAnsi="Calibri"/>
          <w:b/>
          <w:smallCaps/>
          <w:w w:val="0"/>
        </w:rPr>
      </w:pPr>
      <w:r>
        <w:rPr>
          <w:rFonts w:ascii="Calibri" w:eastAsia="Arial Unicode MS" w:hAnsi="Calibri"/>
          <w:w w:val="0"/>
        </w:rPr>
        <w:t>dentro de, no máximo, 45 (quarenta e cinco) dias após o término de cada trimestre, ou até 10 (dez) dias após as datas de suas respectivas divulgações, o que ocorrer primeiro, exceto em hipótese em que as informações não possam ser fornecidas em tais prazos por força de lei ou ordem de autoridade governamental, (i) cópia de suas informações trimestrais consolidadas relativas aos respectivos trimestres, acompanhada do relatório da administração e do relatório de auditoria ou relatório de revisão especial dos auditores independentes, e (ii) declaração do Diretor de Relações com Investidores da Emissora</w:t>
      </w:r>
      <w:r>
        <w:rPr>
          <w:rFonts w:ascii="Calibri" w:hAnsi="Calibri"/>
        </w:rPr>
        <w:t xml:space="preserve"> </w:t>
      </w:r>
      <w:r>
        <w:rPr>
          <w:rFonts w:ascii="Calibri" w:eastAsia="Arial Unicode MS" w:hAnsi="Calibri"/>
          <w:w w:val="0"/>
        </w:rPr>
        <w:t xml:space="preserve">atestando o cumprimento das obrigações, </w:t>
      </w:r>
      <w:r>
        <w:rPr>
          <w:rFonts w:ascii="Calibri" w:eastAsia="Arial Unicode MS" w:hAnsi="Calibri"/>
        </w:rPr>
        <w:t>principais e acessórias,</w:t>
      </w:r>
      <w:r>
        <w:rPr>
          <w:rFonts w:ascii="Calibri" w:eastAsia="Arial Unicode MS" w:hAnsi="Calibri"/>
          <w:w w:val="0"/>
        </w:rPr>
        <w:t xml:space="preserve"> constantes nesta Escritura; </w:t>
      </w:r>
    </w:p>
    <w:p>
      <w:pPr>
        <w:pStyle w:val="PargrafodaLista"/>
        <w:tabs>
          <w:tab w:val="left" w:pos="1418"/>
        </w:tabs>
        <w:spacing w:line="320" w:lineRule="exact"/>
        <w:ind w:left="1418" w:hanging="698"/>
        <w:rPr>
          <w:rFonts w:eastAsia="Arial Unicode MS"/>
          <w:b/>
          <w:smallCaps/>
          <w:w w:val="0"/>
        </w:rPr>
      </w:pPr>
    </w:p>
    <w:p>
      <w:pPr>
        <w:pStyle w:val="sub"/>
        <w:widowControl/>
        <w:numPr>
          <w:ilvl w:val="0"/>
          <w:numId w:val="4"/>
        </w:numPr>
        <w:shd w:val="clear" w:color="auto" w:fill="FFFFFF"/>
        <w:tabs>
          <w:tab w:val="clear" w:pos="0"/>
          <w:tab w:val="clear" w:pos="1440"/>
          <w:tab w:val="left" w:pos="1418"/>
          <w:tab w:val="left" w:pos="1800"/>
        </w:tabs>
        <w:spacing w:before="0" w:after="0" w:line="320" w:lineRule="exact"/>
        <w:ind w:left="1418" w:hanging="698"/>
        <w:rPr>
          <w:rFonts w:ascii="Calibri" w:eastAsia="Arial Unicode MS" w:hAnsi="Calibri"/>
          <w:b/>
          <w:smallCaps/>
          <w:w w:val="0"/>
        </w:rPr>
      </w:pPr>
      <w:r>
        <w:rPr>
          <w:rFonts w:ascii="Calibri" w:eastAsia="Arial Unicode MS" w:hAnsi="Calibri"/>
          <w:w w:val="0"/>
        </w:rPr>
        <w:t>dentro de 30 (trinta) dias úteis após sua realização, cópias de todas as atas de todas as assembleias gerais de acionistas e fatos relevantes, bem como das reuniões do conselho de administração da Emissora;</w:t>
      </w:r>
    </w:p>
    <w:p>
      <w:pPr>
        <w:pStyle w:val="PargrafodaLista"/>
        <w:spacing w:line="320" w:lineRule="exact"/>
        <w:rPr>
          <w:rFonts w:eastAsia="Arial Unicode MS"/>
          <w:b/>
          <w:smallCaps/>
          <w:w w:val="0"/>
        </w:rPr>
      </w:pPr>
    </w:p>
    <w:p>
      <w:pPr>
        <w:pStyle w:val="sub"/>
        <w:widowControl/>
        <w:numPr>
          <w:ilvl w:val="0"/>
          <w:numId w:val="4"/>
        </w:numPr>
        <w:shd w:val="clear" w:color="auto" w:fill="FFFFFF"/>
        <w:tabs>
          <w:tab w:val="clear" w:pos="0"/>
          <w:tab w:val="clear" w:pos="1440"/>
          <w:tab w:val="left" w:pos="1418"/>
          <w:tab w:val="left" w:pos="1800"/>
        </w:tabs>
        <w:spacing w:before="0" w:after="0" w:line="320" w:lineRule="exact"/>
        <w:ind w:left="1418" w:hanging="698"/>
        <w:rPr>
          <w:rFonts w:ascii="Calibri" w:eastAsia="Arial Unicode MS" w:hAnsi="Calibri"/>
          <w:b/>
          <w:smallCaps/>
          <w:w w:val="0"/>
        </w:rPr>
      </w:pPr>
      <w:r>
        <w:rPr>
          <w:rFonts w:ascii="Calibri" w:eastAsia="Arial Unicode MS" w:hAnsi="Calibri"/>
          <w:w w:val="0"/>
        </w:rPr>
        <w:t>informações a respeito das Garantias e da destinação dos recursos relativos às Debêntures, em até 5 (cinco) dias úteis contados da data de recebimento de solicitação nesse sentido encaminhada pelo Agente Fiduciário;</w:t>
      </w:r>
    </w:p>
    <w:p>
      <w:pPr>
        <w:pStyle w:val="PargrafodaLista"/>
        <w:spacing w:line="320" w:lineRule="exact"/>
        <w:rPr>
          <w:rFonts w:eastAsia="Arial Unicode MS"/>
          <w:b/>
          <w:smallCaps/>
          <w:w w:val="0"/>
        </w:rPr>
      </w:pPr>
    </w:p>
    <w:p>
      <w:pPr>
        <w:pStyle w:val="sub"/>
        <w:widowControl/>
        <w:numPr>
          <w:ilvl w:val="0"/>
          <w:numId w:val="4"/>
        </w:numPr>
        <w:shd w:val="clear" w:color="auto" w:fill="FFFFFF"/>
        <w:tabs>
          <w:tab w:val="clear" w:pos="0"/>
          <w:tab w:val="left" w:pos="720"/>
          <w:tab w:val="left" w:pos="1800"/>
        </w:tabs>
        <w:spacing w:before="0" w:after="0" w:line="320" w:lineRule="exact"/>
        <w:ind w:left="1418" w:hanging="709"/>
        <w:rPr>
          <w:rFonts w:ascii="Calibri" w:eastAsia="Arial Unicode MS" w:hAnsi="Calibri"/>
          <w:b/>
          <w:smallCaps/>
          <w:w w:val="0"/>
        </w:rPr>
      </w:pPr>
      <w:r>
        <w:rPr>
          <w:rFonts w:ascii="Calibri" w:eastAsia="Arial Unicode MS" w:hAnsi="Calibri"/>
          <w:w w:val="0"/>
        </w:rPr>
        <w:t xml:space="preserve">informações a respeito de qualquer dos eventos indicados </w:t>
      </w:r>
      <w:bookmarkStart w:id="64" w:name="_DV_M209"/>
      <w:bookmarkEnd w:id="64"/>
      <w:r>
        <w:rPr>
          <w:rFonts w:ascii="Calibri" w:eastAsia="Arial Unicode MS" w:hAnsi="Calibri"/>
          <w:w w:val="0"/>
        </w:rPr>
        <w:t>na Cláusula 7.5.1 acima em até 5 (cinco) dias úteis contados da ciência do evento pela Emissora</w:t>
      </w:r>
      <w:r>
        <w:rPr>
          <w:rFonts w:ascii="Calibri" w:hAnsi="Calibri"/>
        </w:rPr>
        <w:t xml:space="preserve"> </w:t>
      </w:r>
      <w:r>
        <w:rPr>
          <w:rFonts w:ascii="Calibri" w:eastAsia="Arial Unicode MS" w:hAnsi="Calibri"/>
          <w:w w:val="0"/>
        </w:rPr>
        <w:t xml:space="preserve">ou da data de recebimento de solicitação encaminhada pela pelo Agente Fiduciário, caso outro prazo não tenha sido especificamente estabelecido; </w:t>
      </w:r>
    </w:p>
    <w:p>
      <w:pPr>
        <w:pStyle w:val="PargrafodaLista"/>
        <w:spacing w:line="320" w:lineRule="exact"/>
        <w:rPr>
          <w:rFonts w:eastAsia="Arial Unicode MS"/>
          <w:b/>
          <w:smallCaps/>
          <w:w w:val="0"/>
        </w:rPr>
      </w:pPr>
    </w:p>
    <w:p>
      <w:pPr>
        <w:pStyle w:val="sub"/>
        <w:widowControl/>
        <w:numPr>
          <w:ilvl w:val="0"/>
          <w:numId w:val="4"/>
        </w:numPr>
        <w:shd w:val="clear" w:color="auto" w:fill="FFFFFF"/>
        <w:tabs>
          <w:tab w:val="clear" w:pos="0"/>
          <w:tab w:val="left" w:pos="720"/>
          <w:tab w:val="left" w:pos="1800"/>
        </w:tabs>
        <w:spacing w:before="0" w:after="0" w:line="320" w:lineRule="exact"/>
        <w:ind w:left="1418" w:hanging="709"/>
        <w:rPr>
          <w:rFonts w:ascii="Calibri" w:eastAsia="Arial Unicode MS" w:hAnsi="Calibri"/>
          <w:b/>
          <w:smallCaps/>
          <w:w w:val="0"/>
        </w:rPr>
      </w:pPr>
      <w:r>
        <w:rPr>
          <w:rFonts w:ascii="Calibri" w:eastAsia="Arial Unicode MS" w:hAnsi="Calibri"/>
          <w:w w:val="0"/>
        </w:rPr>
        <w:t>no prazo de até 5 (cinco) dias úteis contados da data de recebimento, envio de cópia de qualquer correspondência ou notificação, judicial ou extrajudicial, recebida pela Emissora</w:t>
      </w:r>
      <w:r>
        <w:rPr>
          <w:rFonts w:ascii="Calibri" w:hAnsi="Calibri"/>
        </w:rPr>
        <w:t xml:space="preserve"> </w:t>
      </w:r>
      <w:r>
        <w:rPr>
          <w:rFonts w:ascii="Calibri" w:eastAsia="Arial Unicode MS" w:hAnsi="Calibri"/>
          <w:w w:val="0"/>
        </w:rPr>
        <w:t xml:space="preserve">relacionada à ocorrência de um Evento de Inadimplemento; </w:t>
      </w:r>
    </w:p>
    <w:p>
      <w:pPr>
        <w:pStyle w:val="PargrafodaLista"/>
        <w:spacing w:line="320" w:lineRule="exact"/>
        <w:rPr>
          <w:rFonts w:eastAsia="Arial Unicode MS"/>
          <w:b/>
          <w:smallCaps/>
          <w:w w:val="0"/>
        </w:rPr>
      </w:pPr>
    </w:p>
    <w:p>
      <w:pPr>
        <w:pStyle w:val="sub"/>
        <w:widowControl/>
        <w:numPr>
          <w:ilvl w:val="0"/>
          <w:numId w:val="4"/>
        </w:numPr>
        <w:shd w:val="clear" w:color="auto" w:fill="FFFFFF"/>
        <w:tabs>
          <w:tab w:val="clear" w:pos="0"/>
          <w:tab w:val="left" w:pos="720"/>
          <w:tab w:val="left" w:pos="1800"/>
        </w:tabs>
        <w:spacing w:before="0" w:after="0" w:line="320" w:lineRule="exact"/>
        <w:ind w:left="1418" w:hanging="709"/>
        <w:rPr>
          <w:rFonts w:ascii="Calibri" w:eastAsia="Arial Unicode MS" w:hAnsi="Calibri"/>
          <w:b/>
          <w:smallCaps/>
          <w:w w:val="0"/>
        </w:rPr>
      </w:pPr>
      <w:r>
        <w:rPr>
          <w:rFonts w:ascii="Calibri" w:eastAsia="Arial Unicode MS" w:hAnsi="Calibri"/>
          <w:w w:val="0"/>
        </w:rPr>
        <w:t xml:space="preserve">no prazo de até 5 (cinco) dias úteis contados da data em que tomar ciência, informações a respeito da ocorrência de um Efeito Material Adverso; </w:t>
      </w:r>
    </w:p>
    <w:p>
      <w:pPr>
        <w:pStyle w:val="p0"/>
        <w:widowControl/>
        <w:tabs>
          <w:tab w:val="clear" w:pos="720"/>
        </w:tabs>
        <w:spacing w:line="320" w:lineRule="exact"/>
        <w:rPr>
          <w:rStyle w:val="DeltaViewDeletion"/>
          <w:rFonts w:ascii="Calibri" w:eastAsia="Arial Unicode MS" w:hAnsi="Calibri"/>
          <w:snapToGrid/>
          <w:w w:val="100"/>
          <w:szCs w:val="22"/>
        </w:rPr>
      </w:pPr>
      <w:bookmarkStart w:id="65" w:name="_DV_M199"/>
      <w:bookmarkStart w:id="66" w:name="_DV_C375"/>
      <w:bookmarkEnd w:id="65"/>
    </w:p>
    <w:p>
      <w:pPr>
        <w:tabs>
          <w:tab w:val="left" w:pos="720"/>
        </w:tabs>
        <w:spacing w:line="320" w:lineRule="exact"/>
        <w:ind w:left="1418" w:hanging="1418"/>
        <w:jc w:val="both"/>
        <w:rPr>
          <w:rFonts w:ascii="Calibri" w:eastAsia="Arial Unicode MS" w:hAnsi="Calibri"/>
          <w:w w:val="0"/>
          <w:sz w:val="22"/>
          <w:szCs w:val="22"/>
        </w:rPr>
      </w:pPr>
      <w:bookmarkStart w:id="67" w:name="_DV_M210"/>
      <w:bookmarkEnd w:id="66"/>
      <w:bookmarkEnd w:id="67"/>
      <w:r>
        <w:rPr>
          <w:rFonts w:ascii="Calibri" w:eastAsia="Arial Unicode MS" w:hAnsi="Calibri"/>
          <w:w w:val="0"/>
          <w:sz w:val="22"/>
          <w:szCs w:val="22"/>
        </w:rPr>
        <w:t>(ii)</w:t>
      </w:r>
      <w:r>
        <w:rPr>
          <w:rFonts w:ascii="Calibri" w:eastAsia="Arial Unicode MS" w:hAnsi="Calibri"/>
          <w:w w:val="0"/>
          <w:sz w:val="22"/>
          <w:szCs w:val="22"/>
        </w:rPr>
        <w:tab/>
      </w:r>
      <w:r>
        <w:rPr>
          <w:rFonts w:ascii="Calibri" w:eastAsia="Arial Unicode MS" w:hAnsi="Calibri"/>
          <w:w w:val="0"/>
          <w:sz w:val="22"/>
          <w:szCs w:val="22"/>
        </w:rPr>
        <w:tab/>
        <w:t>proceder à adequada publicidade dos dados econômico-financeiros, nos termos exigidos pela Lei das Sociedades por Ações, promovendo a publicação das suas demonstrações financeiras, nos termos exigidos pela legislação em vigor;</w:t>
      </w:r>
    </w:p>
    <w:p>
      <w:pPr>
        <w:tabs>
          <w:tab w:val="left" w:pos="720"/>
        </w:tabs>
        <w:spacing w:line="320" w:lineRule="exact"/>
        <w:ind w:left="720" w:hanging="720"/>
        <w:jc w:val="both"/>
        <w:rPr>
          <w:rFonts w:ascii="Calibri" w:eastAsia="Arial Unicode MS" w:hAnsi="Calibri"/>
          <w:w w:val="0"/>
          <w:sz w:val="22"/>
          <w:szCs w:val="22"/>
        </w:rPr>
      </w:pPr>
      <w:bookmarkStart w:id="68" w:name="_DV_M211"/>
      <w:bookmarkStart w:id="69" w:name="_DV_M76"/>
      <w:bookmarkStart w:id="70" w:name="_DV_M77"/>
      <w:bookmarkStart w:id="71" w:name="_DV_M78"/>
      <w:bookmarkStart w:id="72" w:name="_DV_M75"/>
      <w:bookmarkStart w:id="73" w:name="_DV_M79"/>
      <w:bookmarkStart w:id="74" w:name="_DV_M80"/>
      <w:bookmarkEnd w:id="68"/>
      <w:bookmarkEnd w:id="69"/>
      <w:bookmarkEnd w:id="70"/>
      <w:bookmarkEnd w:id="71"/>
      <w:bookmarkEnd w:id="72"/>
      <w:bookmarkEnd w:id="73"/>
      <w:bookmarkEnd w:id="74"/>
    </w:p>
    <w:p>
      <w:pPr>
        <w:tabs>
          <w:tab w:val="left" w:pos="720"/>
        </w:tabs>
        <w:spacing w:line="320" w:lineRule="exact"/>
        <w:ind w:left="1440" w:hanging="1440"/>
        <w:jc w:val="both"/>
        <w:rPr>
          <w:rFonts w:ascii="Calibri" w:eastAsia="Arial Unicode MS" w:hAnsi="Calibri"/>
          <w:w w:val="0"/>
          <w:sz w:val="22"/>
          <w:szCs w:val="22"/>
        </w:rPr>
      </w:pPr>
      <w:r>
        <w:rPr>
          <w:rFonts w:ascii="Calibri" w:eastAsia="Arial Unicode MS" w:hAnsi="Calibri"/>
          <w:w w:val="0"/>
          <w:sz w:val="22"/>
          <w:szCs w:val="22"/>
        </w:rPr>
        <w:t>(iii)</w:t>
      </w:r>
      <w:r>
        <w:rPr>
          <w:rFonts w:ascii="Calibri" w:eastAsia="Arial Unicode MS" w:hAnsi="Calibri"/>
          <w:w w:val="0"/>
          <w:sz w:val="22"/>
          <w:szCs w:val="22"/>
        </w:rPr>
        <w:tab/>
      </w:r>
      <w:r>
        <w:rPr>
          <w:rFonts w:ascii="Calibri" w:eastAsia="Arial Unicode MS" w:hAnsi="Calibri"/>
          <w:w w:val="0"/>
          <w:sz w:val="22"/>
          <w:szCs w:val="22"/>
        </w:rPr>
        <w:tab/>
        <w:t>manter a sua contabilidade atualizada e efetuar os respectivos registros de acordo com os princípios contábeis geralmente aceitos no Brasil;</w:t>
      </w:r>
    </w:p>
    <w:p>
      <w:pPr>
        <w:tabs>
          <w:tab w:val="left" w:pos="720"/>
        </w:tabs>
        <w:spacing w:line="320" w:lineRule="exact"/>
        <w:ind w:left="720" w:hanging="720"/>
        <w:jc w:val="both"/>
        <w:rPr>
          <w:rFonts w:ascii="Calibri" w:eastAsia="Arial Unicode MS" w:hAnsi="Calibri"/>
          <w:w w:val="0"/>
          <w:sz w:val="22"/>
          <w:szCs w:val="22"/>
        </w:rPr>
      </w:pPr>
    </w:p>
    <w:p>
      <w:pPr>
        <w:tabs>
          <w:tab w:val="left" w:pos="720"/>
        </w:tabs>
        <w:spacing w:line="320" w:lineRule="exact"/>
        <w:ind w:left="1440" w:hanging="1440"/>
        <w:jc w:val="both"/>
        <w:rPr>
          <w:rFonts w:ascii="Calibri" w:eastAsia="Arial Unicode MS" w:hAnsi="Calibri"/>
          <w:w w:val="0"/>
          <w:sz w:val="22"/>
          <w:szCs w:val="22"/>
        </w:rPr>
      </w:pPr>
      <w:bookmarkStart w:id="75" w:name="_DV_M212"/>
      <w:bookmarkStart w:id="76" w:name="_DV_M213"/>
      <w:bookmarkStart w:id="77" w:name="_DV_M214"/>
      <w:bookmarkStart w:id="78" w:name="_DV_M217"/>
      <w:bookmarkEnd w:id="75"/>
      <w:bookmarkEnd w:id="76"/>
      <w:bookmarkEnd w:id="77"/>
      <w:bookmarkEnd w:id="78"/>
      <w:r>
        <w:rPr>
          <w:rFonts w:ascii="Calibri" w:eastAsia="Arial Unicode MS" w:hAnsi="Calibri"/>
          <w:w w:val="0"/>
          <w:sz w:val="22"/>
          <w:szCs w:val="22"/>
        </w:rPr>
        <w:t>(iv)</w:t>
      </w:r>
      <w:r>
        <w:rPr>
          <w:rFonts w:ascii="Calibri" w:eastAsia="Arial Unicode MS" w:hAnsi="Calibri"/>
          <w:w w:val="0"/>
          <w:sz w:val="22"/>
          <w:szCs w:val="22"/>
        </w:rPr>
        <w:tab/>
      </w:r>
      <w:r>
        <w:rPr>
          <w:rFonts w:ascii="Calibri" w:eastAsia="Arial Unicode MS" w:hAnsi="Calibri"/>
          <w:w w:val="0"/>
          <w:sz w:val="22"/>
          <w:szCs w:val="22"/>
        </w:rPr>
        <w:tab/>
        <w:t>não realizar operações estranhas ao seu objeto social, observadas as disposições estatutárias, legais e regulamentares em vigor;</w:t>
      </w:r>
    </w:p>
    <w:p>
      <w:pPr>
        <w:pStyle w:val="p0"/>
        <w:widowControl/>
        <w:spacing w:line="320" w:lineRule="exact"/>
        <w:ind w:left="720" w:hanging="720"/>
        <w:rPr>
          <w:rFonts w:ascii="Calibri" w:eastAsia="Arial Unicode MS" w:hAnsi="Calibri"/>
          <w:szCs w:val="22"/>
        </w:rPr>
      </w:pPr>
      <w:bookmarkStart w:id="79" w:name="_DV_M218"/>
      <w:bookmarkStart w:id="80" w:name="_DV_M219"/>
      <w:bookmarkStart w:id="81" w:name="_DV_M223"/>
      <w:bookmarkEnd w:id="79"/>
      <w:bookmarkEnd w:id="80"/>
      <w:bookmarkEnd w:id="81"/>
    </w:p>
    <w:p>
      <w:pPr>
        <w:tabs>
          <w:tab w:val="left" w:pos="720"/>
        </w:tabs>
        <w:spacing w:line="320" w:lineRule="exact"/>
        <w:ind w:left="1440" w:hanging="1440"/>
        <w:jc w:val="both"/>
        <w:rPr>
          <w:rFonts w:ascii="Calibri" w:eastAsia="Arial Unicode MS" w:hAnsi="Calibri"/>
          <w:w w:val="0"/>
          <w:sz w:val="22"/>
          <w:szCs w:val="22"/>
        </w:rPr>
      </w:pPr>
      <w:r>
        <w:rPr>
          <w:rFonts w:ascii="Calibri" w:eastAsia="Arial Unicode MS" w:hAnsi="Calibri"/>
          <w:w w:val="0"/>
          <w:sz w:val="22"/>
          <w:szCs w:val="22"/>
        </w:rPr>
        <w:t>(v)</w:t>
      </w:r>
      <w:r>
        <w:rPr>
          <w:rFonts w:ascii="Calibri" w:eastAsia="Arial Unicode MS" w:hAnsi="Calibri"/>
          <w:w w:val="0"/>
          <w:sz w:val="22"/>
          <w:szCs w:val="22"/>
        </w:rPr>
        <w:tab/>
      </w:r>
      <w:r>
        <w:rPr>
          <w:rFonts w:ascii="Calibri" w:eastAsia="Arial Unicode MS" w:hAnsi="Calibri"/>
          <w:w w:val="0"/>
          <w:sz w:val="22"/>
          <w:szCs w:val="22"/>
        </w:rPr>
        <w:tab/>
        <w:t>notificar, em até 3 (três) dias úteis, o Agente Fiduciário, sobre qualquer ato ou fato que cause interrupção ou suspensão das atividades da Emissora;</w:t>
      </w:r>
    </w:p>
    <w:p>
      <w:pPr>
        <w:tabs>
          <w:tab w:val="left" w:pos="720"/>
        </w:tabs>
        <w:spacing w:line="320" w:lineRule="exact"/>
        <w:ind w:left="720" w:hanging="720"/>
        <w:jc w:val="both"/>
        <w:rPr>
          <w:rFonts w:ascii="Calibri" w:eastAsia="Arial Unicode MS" w:hAnsi="Calibri"/>
          <w:w w:val="0"/>
          <w:sz w:val="22"/>
          <w:szCs w:val="22"/>
        </w:rPr>
      </w:pPr>
    </w:p>
    <w:p>
      <w:pPr>
        <w:tabs>
          <w:tab w:val="left" w:pos="720"/>
        </w:tabs>
        <w:spacing w:line="320" w:lineRule="exact"/>
        <w:ind w:left="1440" w:hanging="1440"/>
        <w:jc w:val="both"/>
        <w:rPr>
          <w:rFonts w:ascii="Calibri" w:eastAsia="Arial Unicode MS" w:hAnsi="Calibri"/>
          <w:w w:val="0"/>
          <w:sz w:val="22"/>
          <w:szCs w:val="22"/>
        </w:rPr>
      </w:pPr>
      <w:r>
        <w:rPr>
          <w:rFonts w:ascii="Calibri" w:eastAsia="Arial Unicode MS" w:hAnsi="Calibri"/>
          <w:w w:val="0"/>
          <w:sz w:val="22"/>
          <w:szCs w:val="22"/>
        </w:rPr>
        <w:t>(vi)</w:t>
      </w:r>
      <w:r>
        <w:rPr>
          <w:rFonts w:ascii="Calibri" w:eastAsia="Arial Unicode MS" w:hAnsi="Calibri"/>
          <w:w w:val="0"/>
          <w:sz w:val="22"/>
          <w:szCs w:val="22"/>
        </w:rPr>
        <w:tab/>
      </w:r>
      <w:r>
        <w:rPr>
          <w:rFonts w:ascii="Calibri" w:eastAsia="Arial Unicode MS" w:hAnsi="Calibri"/>
          <w:w w:val="0"/>
          <w:sz w:val="22"/>
          <w:szCs w:val="22"/>
        </w:rPr>
        <w:tab/>
        <w:t>não pagar dividendos aos seus acionistas além do mínimo obrigatório de 25% (vinte e cinco inteiros por cento) quando ocorrer qualquer hipótese de declaração de vencimento antecipado não curada que envolver um inadimplemento de obrigação de pagar, no que diz respeito à Emissão.</w:t>
      </w:r>
    </w:p>
    <w:p>
      <w:pPr>
        <w:tabs>
          <w:tab w:val="left" w:pos="720"/>
        </w:tabs>
        <w:spacing w:line="320" w:lineRule="exact"/>
        <w:ind w:left="1440" w:hanging="1440"/>
        <w:jc w:val="both"/>
        <w:rPr>
          <w:rFonts w:ascii="Calibri" w:eastAsia="Arial Unicode MS" w:hAnsi="Calibri"/>
          <w:w w:val="0"/>
          <w:sz w:val="22"/>
          <w:szCs w:val="22"/>
        </w:rPr>
      </w:pPr>
    </w:p>
    <w:p>
      <w:pPr>
        <w:spacing w:line="320" w:lineRule="exact"/>
        <w:ind w:left="1440" w:hanging="1440"/>
        <w:jc w:val="both"/>
        <w:rPr>
          <w:rFonts w:ascii="Calibri" w:eastAsia="Arial Unicode MS" w:hAnsi="Calibri"/>
          <w:w w:val="0"/>
          <w:sz w:val="22"/>
          <w:szCs w:val="22"/>
        </w:rPr>
      </w:pPr>
      <w:r>
        <w:rPr>
          <w:rFonts w:ascii="Calibri" w:eastAsia="Arial Unicode MS" w:hAnsi="Calibri"/>
          <w:w w:val="0"/>
          <w:sz w:val="22"/>
          <w:szCs w:val="22"/>
        </w:rPr>
        <w:lastRenderedPageBreak/>
        <w:t>(vii)</w:t>
      </w:r>
      <w:r>
        <w:rPr>
          <w:rFonts w:ascii="Calibri" w:eastAsia="Arial Unicode MS" w:hAnsi="Calibri"/>
          <w:w w:val="0"/>
          <w:sz w:val="22"/>
          <w:szCs w:val="22"/>
        </w:rPr>
        <w:tab/>
        <w:t xml:space="preserve">não alterar seu estatuto social para alterar os dividendos mínimos obrigatórios, em montante superior a 25% (vinte e cinco por cento), salvo para atendimento de determinação imposta por nova lei, ou nova regulamentação a que a Emissora esteja subordinada. </w:t>
      </w:r>
    </w:p>
    <w:p>
      <w:pPr>
        <w:spacing w:line="320" w:lineRule="exact"/>
        <w:ind w:left="1440" w:hanging="1440"/>
        <w:jc w:val="both"/>
        <w:rPr>
          <w:rFonts w:ascii="Calibri" w:eastAsia="Arial Unicode MS" w:hAnsi="Calibri"/>
          <w:w w:val="0"/>
          <w:sz w:val="22"/>
          <w:szCs w:val="22"/>
        </w:rPr>
      </w:pPr>
    </w:p>
    <w:p>
      <w:pPr>
        <w:spacing w:line="320" w:lineRule="exact"/>
        <w:ind w:left="1440" w:hanging="1440"/>
        <w:jc w:val="both"/>
        <w:rPr>
          <w:rFonts w:ascii="Calibri" w:eastAsia="Arial Unicode MS" w:hAnsi="Calibri"/>
          <w:b/>
          <w:sz w:val="22"/>
          <w:szCs w:val="22"/>
        </w:rPr>
      </w:pPr>
      <w:r>
        <w:rPr>
          <w:rFonts w:ascii="Calibri" w:eastAsia="Arial Unicode MS" w:hAnsi="Calibri"/>
          <w:w w:val="0"/>
          <w:sz w:val="22"/>
          <w:szCs w:val="22"/>
        </w:rPr>
        <w:t xml:space="preserve">(viii) </w:t>
      </w:r>
      <w:r>
        <w:rPr>
          <w:rFonts w:ascii="Calibri" w:eastAsia="Arial Unicode MS" w:hAnsi="Calibri"/>
          <w:w w:val="0"/>
          <w:sz w:val="22"/>
          <w:szCs w:val="22"/>
        </w:rPr>
        <w:tab/>
        <w:t>arcar com todos os custos decorrentes (a) da Emissão</w:t>
      </w:r>
      <w:r>
        <w:rPr>
          <w:rFonts w:ascii="Calibri" w:hAnsi="Calibri"/>
          <w:sz w:val="22"/>
          <w:szCs w:val="22"/>
        </w:rPr>
        <w:t xml:space="preserve"> de Debêntures</w:t>
      </w:r>
      <w:r>
        <w:rPr>
          <w:rFonts w:ascii="Calibri" w:eastAsia="Arial Unicode MS" w:hAnsi="Calibri"/>
          <w:w w:val="0"/>
          <w:sz w:val="22"/>
          <w:szCs w:val="22"/>
        </w:rPr>
        <w:t>, (b) de registro e de publicação dos atos necessários à Emissão, tais como esta Escritura, seus eventuais aditamentos e a ata de RCA, (c) da celebração, registro e execução das Garantias; (d) da Oferta Restrita; (e) da Operação, incluindo, mas não se limitando, do registro perante a B3 e quaisquer aditamentos porventura necessários;</w:t>
      </w:r>
    </w:p>
    <w:p>
      <w:pPr>
        <w:pStyle w:val="p0"/>
        <w:widowControl/>
        <w:tabs>
          <w:tab w:val="clear" w:pos="720"/>
        </w:tabs>
        <w:spacing w:line="320" w:lineRule="exact"/>
        <w:ind w:left="720" w:hanging="720"/>
        <w:rPr>
          <w:rFonts w:ascii="Calibri" w:hAnsi="Calibri"/>
          <w:spacing w:val="-2"/>
          <w:szCs w:val="22"/>
        </w:rPr>
      </w:pPr>
    </w:p>
    <w:p>
      <w:pPr>
        <w:pStyle w:val="p0"/>
        <w:tabs>
          <w:tab w:val="clear" w:pos="720"/>
        </w:tabs>
        <w:spacing w:line="320" w:lineRule="exact"/>
        <w:ind w:left="1440" w:hanging="1440"/>
        <w:rPr>
          <w:rFonts w:ascii="Calibri" w:hAnsi="Calibri"/>
          <w:spacing w:val="-2"/>
          <w:szCs w:val="22"/>
        </w:rPr>
      </w:pPr>
      <w:r>
        <w:rPr>
          <w:rFonts w:ascii="Calibri" w:hAnsi="Calibri"/>
          <w:spacing w:val="-2"/>
          <w:szCs w:val="22"/>
        </w:rPr>
        <w:t xml:space="preserve">(ix) </w:t>
      </w:r>
      <w:r>
        <w:rPr>
          <w:rFonts w:ascii="Calibri" w:hAnsi="Calibri"/>
          <w:spacing w:val="-2"/>
          <w:szCs w:val="22"/>
        </w:rPr>
        <w:tab/>
        <w:t>cumprir, em todos os aspectos, todas as leis, regras, regulamentos e ordens aplicáveis, inclusive socioambientais e trabalhistas, em qualquer jurisdição na qual realize negócios ou possua ativos, salvo nos casos em que esteja discutindo a aplicabilidade da lei, tendo sido proferida decisão suspendendo os efeitos da referida norma nas esferas administrativa ou judicial, que não possa causar um Efeito Material Adverso (conforme definido abaixo);</w:t>
      </w:r>
    </w:p>
    <w:p>
      <w:pPr>
        <w:pStyle w:val="p0"/>
        <w:spacing w:line="320" w:lineRule="exact"/>
        <w:ind w:left="720" w:hanging="720"/>
        <w:rPr>
          <w:rFonts w:ascii="Calibri" w:hAnsi="Calibri"/>
          <w:spacing w:val="-2"/>
          <w:szCs w:val="22"/>
        </w:rPr>
      </w:pPr>
      <w:r>
        <w:rPr>
          <w:rFonts w:ascii="Calibri" w:hAnsi="Calibri"/>
          <w:spacing w:val="-2"/>
          <w:szCs w:val="22"/>
        </w:rPr>
        <w:tab/>
      </w:r>
    </w:p>
    <w:p>
      <w:pPr>
        <w:pStyle w:val="p0"/>
        <w:tabs>
          <w:tab w:val="clear" w:pos="720"/>
        </w:tabs>
        <w:spacing w:line="320" w:lineRule="exact"/>
        <w:ind w:left="1440" w:hanging="1440"/>
        <w:rPr>
          <w:rFonts w:ascii="Calibri" w:hAnsi="Calibri"/>
          <w:spacing w:val="-2"/>
          <w:szCs w:val="22"/>
        </w:rPr>
      </w:pPr>
      <w:r>
        <w:rPr>
          <w:rFonts w:ascii="Calibri" w:hAnsi="Calibri"/>
          <w:spacing w:val="-2"/>
          <w:szCs w:val="22"/>
        </w:rPr>
        <w:t xml:space="preserve">(x) </w:t>
      </w:r>
      <w:r>
        <w:rPr>
          <w:rFonts w:ascii="Calibri" w:hAnsi="Calibri"/>
          <w:spacing w:val="-2"/>
          <w:szCs w:val="22"/>
        </w:rPr>
        <w:tab/>
        <w:t>notificar o Agente fiduciário</w:t>
      </w:r>
      <w:r>
        <w:rPr>
          <w:rFonts w:ascii="Calibri" w:eastAsia="Arial Unicode MS" w:hAnsi="Calibri"/>
          <w:szCs w:val="22"/>
        </w:rPr>
        <w:t>, se for o caso</w:t>
      </w:r>
      <w:r>
        <w:rPr>
          <w:rFonts w:ascii="Calibri" w:hAnsi="Calibri"/>
          <w:spacing w:val="-2"/>
          <w:szCs w:val="22"/>
        </w:rPr>
        <w:t>, no prazo de até 5 (cinco) dias úteis contados a partir do evento, sobre qualquer ato ou fato que possa prejudicar o pagamento das Debêntures ou resultar em qualquer dos casos de vencimento antecipado, inclusive no que diz respeito a qualquer mudança relevante na natureza ou escopo dos negócios e operações da Emissora</w:t>
      </w:r>
      <w:r>
        <w:rPr>
          <w:rFonts w:ascii="Calibri" w:hAnsi="Calibri"/>
          <w:szCs w:val="22"/>
        </w:rPr>
        <w:t xml:space="preserve"> </w:t>
      </w:r>
      <w:r>
        <w:rPr>
          <w:rFonts w:ascii="Calibri" w:hAnsi="Calibri"/>
          <w:spacing w:val="-2"/>
          <w:szCs w:val="22"/>
        </w:rPr>
        <w:t>e suas controladoras, ou sobre qualquer evento ou fato que afete ou que possa afetar adversamente, de forma significativa, a condição financeira da Emissora</w:t>
      </w:r>
      <w:r>
        <w:rPr>
          <w:rFonts w:ascii="Calibri" w:hAnsi="Calibri"/>
          <w:szCs w:val="22"/>
        </w:rPr>
        <w:t xml:space="preserve"> </w:t>
      </w:r>
      <w:r>
        <w:rPr>
          <w:rFonts w:ascii="Calibri" w:hAnsi="Calibri"/>
          <w:spacing w:val="-2"/>
          <w:szCs w:val="22"/>
        </w:rPr>
        <w:t xml:space="preserve">e suas controladoras, ou a capacidade de cumprimento das obrigações desta Escritura; </w:t>
      </w:r>
    </w:p>
    <w:p>
      <w:pPr>
        <w:pStyle w:val="p0"/>
        <w:spacing w:line="320" w:lineRule="exact"/>
        <w:ind w:left="720" w:hanging="720"/>
        <w:rPr>
          <w:rFonts w:ascii="Calibri" w:hAnsi="Calibri"/>
          <w:spacing w:val="-2"/>
          <w:szCs w:val="22"/>
        </w:rPr>
      </w:pPr>
      <w:r>
        <w:rPr>
          <w:rFonts w:ascii="Calibri" w:hAnsi="Calibri"/>
          <w:spacing w:val="-2"/>
          <w:szCs w:val="22"/>
        </w:rPr>
        <w:tab/>
      </w:r>
      <w:r>
        <w:rPr>
          <w:rFonts w:ascii="Calibri" w:hAnsi="Calibri"/>
          <w:spacing w:val="-2"/>
          <w:szCs w:val="22"/>
        </w:rPr>
        <w:tab/>
      </w:r>
    </w:p>
    <w:p>
      <w:pPr>
        <w:pStyle w:val="p0"/>
        <w:spacing w:line="320" w:lineRule="exact"/>
        <w:ind w:left="1440" w:hanging="1440"/>
        <w:rPr>
          <w:rFonts w:ascii="Calibri" w:hAnsi="Calibri"/>
          <w:spacing w:val="-2"/>
          <w:szCs w:val="22"/>
        </w:rPr>
      </w:pPr>
      <w:r>
        <w:rPr>
          <w:rFonts w:ascii="Calibri" w:hAnsi="Calibri"/>
          <w:spacing w:val="-2"/>
          <w:szCs w:val="22"/>
        </w:rPr>
        <w:t xml:space="preserve">(xi) </w:t>
      </w:r>
      <w:r>
        <w:rPr>
          <w:rFonts w:ascii="Calibri" w:hAnsi="Calibri"/>
          <w:spacing w:val="-2"/>
          <w:szCs w:val="22"/>
        </w:rPr>
        <w:tab/>
      </w:r>
      <w:r>
        <w:rPr>
          <w:rFonts w:ascii="Calibri" w:hAnsi="Calibri"/>
          <w:spacing w:val="-2"/>
          <w:szCs w:val="22"/>
        </w:rPr>
        <w:tab/>
        <w:t>manter válidas e regulares as licenças, concessões, autorizações ou aprovações, inclusive socioambientais, necessárias ao regular funcionamento da Emissora, e fazer com que sejam mantidas válidas e regulares as licenças, concessões, autorizações ou aprovações necessárias ao regular funcionamento da Emissora, exceto no que se referir a licenças, concessões ou aprovações cuja perda, revogação ou cancelamento não possa resultar em Efeito Material Adverso (conforme definido abaixo) para as atividades da Emissora</w:t>
      </w:r>
      <w:r>
        <w:rPr>
          <w:rFonts w:ascii="Calibri" w:hAnsi="Calibri"/>
          <w:szCs w:val="22"/>
        </w:rPr>
        <w:t xml:space="preserve"> </w:t>
      </w:r>
      <w:r>
        <w:rPr>
          <w:rFonts w:ascii="Calibri" w:hAnsi="Calibri"/>
          <w:spacing w:val="-2"/>
          <w:szCs w:val="22"/>
        </w:rPr>
        <w:t>ou para a sua capacidade em honrar as obrigações relativas às Debêntures;  e (b) caso a perda, revogação ou cancelamento das referidas licenças, concessões, autorizações ou aprovações possa resultar em um Efeito Adverso Relevante (conforme definido abaixo), se tal perda, revogação ou cancelamento seja decorrente de caso fortuito, força maior ou qualquer outro evento alheio à vontade e/ou alcance da Emissora;</w:t>
      </w:r>
      <w:r>
        <w:rPr>
          <w:rFonts w:ascii="Calibri" w:hAnsi="Calibri"/>
          <w:szCs w:val="22"/>
        </w:rPr>
        <w:t xml:space="preserve"> </w:t>
      </w:r>
    </w:p>
    <w:p>
      <w:pPr>
        <w:pStyle w:val="p0"/>
        <w:spacing w:line="320" w:lineRule="exact"/>
        <w:ind w:left="720" w:hanging="720"/>
        <w:rPr>
          <w:rFonts w:ascii="Calibri" w:hAnsi="Calibri"/>
          <w:spacing w:val="-2"/>
          <w:szCs w:val="22"/>
        </w:rPr>
      </w:pPr>
      <w:r>
        <w:rPr>
          <w:rFonts w:ascii="Calibri" w:hAnsi="Calibri"/>
          <w:spacing w:val="-2"/>
          <w:szCs w:val="22"/>
        </w:rPr>
        <w:lastRenderedPageBreak/>
        <w:tab/>
      </w:r>
    </w:p>
    <w:p>
      <w:pPr>
        <w:pStyle w:val="p0"/>
        <w:spacing w:line="320" w:lineRule="exact"/>
        <w:ind w:left="1440" w:hanging="1440"/>
        <w:rPr>
          <w:rFonts w:ascii="Calibri" w:hAnsi="Calibri"/>
          <w:spacing w:val="-2"/>
          <w:szCs w:val="22"/>
        </w:rPr>
      </w:pPr>
      <w:r>
        <w:rPr>
          <w:rFonts w:ascii="Calibri" w:hAnsi="Calibri"/>
          <w:spacing w:val="-2"/>
          <w:szCs w:val="22"/>
        </w:rPr>
        <w:t xml:space="preserve">(xii) </w:t>
      </w:r>
      <w:r>
        <w:rPr>
          <w:rFonts w:ascii="Calibri" w:hAnsi="Calibri"/>
          <w:spacing w:val="-2"/>
          <w:szCs w:val="22"/>
        </w:rPr>
        <w:tab/>
      </w:r>
      <w:r>
        <w:rPr>
          <w:rFonts w:ascii="Calibri" w:hAnsi="Calibri"/>
          <w:spacing w:val="-2"/>
          <w:szCs w:val="22"/>
        </w:rPr>
        <w:tab/>
        <w:t xml:space="preserve">manter-se adimplente com relação a todos os tributos, taxas e/ou contribuições decorrentes da Emissão, cujo recolhimento lhe seja imputável, exceto aqueles objeto de contestação administrativa ou judicial; </w:t>
      </w:r>
    </w:p>
    <w:p>
      <w:pPr>
        <w:pStyle w:val="p0"/>
        <w:spacing w:line="320" w:lineRule="exact"/>
        <w:ind w:left="720" w:hanging="720"/>
        <w:rPr>
          <w:rFonts w:ascii="Calibri" w:hAnsi="Calibri"/>
          <w:spacing w:val="-2"/>
          <w:szCs w:val="22"/>
        </w:rPr>
      </w:pPr>
    </w:p>
    <w:p>
      <w:pPr>
        <w:pStyle w:val="p0"/>
        <w:spacing w:line="320" w:lineRule="exact"/>
        <w:ind w:left="1440" w:hanging="1440"/>
        <w:rPr>
          <w:rFonts w:ascii="Calibri" w:hAnsi="Calibri"/>
          <w:szCs w:val="22"/>
        </w:rPr>
      </w:pPr>
      <w:r>
        <w:rPr>
          <w:rFonts w:ascii="Calibri" w:hAnsi="Calibri"/>
          <w:spacing w:val="-2"/>
          <w:szCs w:val="22"/>
        </w:rPr>
        <w:t>(xiii)</w:t>
      </w:r>
      <w:r>
        <w:rPr>
          <w:rFonts w:ascii="Calibri" w:hAnsi="Calibri"/>
          <w:spacing w:val="-2"/>
          <w:szCs w:val="22"/>
        </w:rPr>
        <w:tab/>
      </w:r>
      <w:r>
        <w:rPr>
          <w:rFonts w:ascii="Calibri" w:hAnsi="Calibri"/>
          <w:spacing w:val="-2"/>
          <w:szCs w:val="22"/>
        </w:rPr>
        <w:tab/>
      </w:r>
      <w:r>
        <w:rPr>
          <w:rFonts w:ascii="Calibri" w:hAnsi="Calibri"/>
          <w:szCs w:val="22"/>
        </w:rPr>
        <w:t xml:space="preserve">obriga-se a utilizar os recursos decorrentes da integralização das Debêntures exclusivamente em atividades lícitas e em conformidade com as leis, regulamentos e normas relativas à proteção ao meio ambiente, ao direito do trabalho, segurança e saúde ocupacional, além de outras normas que lhe sejam aplicáveis em função de suas atividades; </w:t>
      </w:r>
    </w:p>
    <w:p>
      <w:pPr>
        <w:pStyle w:val="p0"/>
        <w:spacing w:line="320" w:lineRule="exact"/>
        <w:ind w:left="720" w:right="51" w:hanging="720"/>
        <w:rPr>
          <w:rFonts w:ascii="Calibri" w:hAnsi="Calibri"/>
          <w:spacing w:val="-2"/>
          <w:szCs w:val="22"/>
        </w:rPr>
      </w:pPr>
    </w:p>
    <w:p>
      <w:pPr>
        <w:pStyle w:val="p0"/>
        <w:widowControl/>
        <w:tabs>
          <w:tab w:val="clear" w:pos="720"/>
        </w:tabs>
        <w:spacing w:line="320" w:lineRule="exact"/>
        <w:ind w:left="1440" w:right="51" w:hanging="1440"/>
        <w:rPr>
          <w:rFonts w:ascii="Calibri" w:hAnsi="Calibri"/>
          <w:spacing w:val="-2"/>
          <w:szCs w:val="22"/>
        </w:rPr>
      </w:pPr>
      <w:r>
        <w:rPr>
          <w:rFonts w:ascii="Calibri" w:hAnsi="Calibri"/>
          <w:spacing w:val="-2"/>
          <w:szCs w:val="22"/>
        </w:rPr>
        <w:t>(xiv)</w:t>
      </w:r>
      <w:r>
        <w:rPr>
          <w:rFonts w:ascii="Calibri" w:hAnsi="Calibri"/>
          <w:spacing w:val="-2"/>
          <w:szCs w:val="22"/>
        </w:rPr>
        <w:tab/>
        <w:t>cumprir, em seus aspectos relevantes, o disposto na legislação em vigor pertinente à Política Nacional do Meio Ambiente, às Resoluções do Conama - Conselho Nacional do Meio Ambiente e às demais legislações e regulamentações socioambientais supletivas, adotando as medidas e ações preventivas ou reparatórias, destinadas a evitar e corrigir eventuais danos socioambientais apurados, decorrentes da atividade descrita em seu objeto social, responsabilizando-se, única e exclusivamente, pela destinação dos recursos financeiros obtidos com a Emissão;</w:t>
      </w:r>
    </w:p>
    <w:p>
      <w:pPr>
        <w:pStyle w:val="p0"/>
        <w:widowControl/>
        <w:tabs>
          <w:tab w:val="clear" w:pos="720"/>
        </w:tabs>
        <w:spacing w:line="320" w:lineRule="exact"/>
        <w:ind w:left="1440" w:right="51" w:hanging="1440"/>
        <w:rPr>
          <w:rFonts w:ascii="Calibri" w:hAnsi="Calibri"/>
          <w:spacing w:val="-2"/>
          <w:szCs w:val="22"/>
        </w:rPr>
      </w:pPr>
    </w:p>
    <w:p>
      <w:pPr>
        <w:pStyle w:val="p0"/>
        <w:widowControl/>
        <w:tabs>
          <w:tab w:val="clear" w:pos="720"/>
        </w:tabs>
        <w:spacing w:line="320" w:lineRule="exact"/>
        <w:ind w:left="1440" w:right="51" w:hanging="1440"/>
        <w:rPr>
          <w:rFonts w:ascii="Calibri" w:hAnsi="Calibri"/>
          <w:spacing w:val="-2"/>
          <w:szCs w:val="22"/>
        </w:rPr>
      </w:pPr>
      <w:r>
        <w:rPr>
          <w:rFonts w:ascii="Calibri" w:hAnsi="Calibri"/>
          <w:spacing w:val="-2"/>
          <w:szCs w:val="22"/>
        </w:rPr>
        <w:t>(xv)</w:t>
      </w:r>
      <w:r>
        <w:rPr>
          <w:rFonts w:ascii="Calibri" w:hAnsi="Calibri"/>
          <w:spacing w:val="-2"/>
          <w:szCs w:val="22"/>
        </w:rPr>
        <w:tab/>
        <w:t xml:space="preserve">não realizar e nem autorizar, seus administradores, prestadores de serviços e/ou contratados e/ou funcionários, a realizar, em benefício próprio ou para a Emissão, (a) o uso de recursos para contribuições, doações ou despesas de representação ilegais ou outras despesas ilegais relativas a atividades políticas; (b) qualquer pagamento ilegal, direto ou indireto, a empregados ou funcionários públicos, partidos políticos, políticos ou candidatos políticos (incluindo seus familiares), nacionais ou estrangeiros, ou quaisquer atos para obter ou manter qualquer negócio, transação ou vantagem comercial indevida; (c) qualquer ato que tenha violado qualquer dispositivo de qualquer lei ou regulamento nacional contra prática de corrupção ou atos lesivos à administração pública, incluindo, mas não se limitando a Legislação Anticorrupção; e/ou (d) qualquer pagamento de propina, abatimento ilícito, remuneração ilícita, suborno, tráfico de influência, "caixinha" ou outro pagamento ilegal; </w:t>
      </w:r>
    </w:p>
    <w:p>
      <w:pPr>
        <w:pStyle w:val="p0"/>
        <w:widowControl/>
        <w:tabs>
          <w:tab w:val="clear" w:pos="720"/>
        </w:tabs>
        <w:spacing w:line="320" w:lineRule="exact"/>
        <w:ind w:left="1440" w:right="51" w:hanging="1440"/>
        <w:rPr>
          <w:rFonts w:ascii="Calibri" w:hAnsi="Calibri"/>
          <w:spacing w:val="-2"/>
          <w:szCs w:val="22"/>
        </w:rPr>
      </w:pPr>
    </w:p>
    <w:p>
      <w:pPr>
        <w:spacing w:line="320" w:lineRule="exact"/>
        <w:ind w:left="1418" w:right="51" w:hanging="1418"/>
        <w:jc w:val="both"/>
        <w:rPr>
          <w:rFonts w:ascii="Calibri" w:hAnsi="Calibri"/>
          <w:sz w:val="22"/>
          <w:szCs w:val="22"/>
        </w:rPr>
      </w:pPr>
      <w:r>
        <w:rPr>
          <w:rFonts w:ascii="Calibri" w:hAnsi="Calibri"/>
          <w:spacing w:val="-2"/>
          <w:sz w:val="22"/>
          <w:szCs w:val="22"/>
        </w:rPr>
        <w:t>(xvi)</w:t>
      </w:r>
      <w:r>
        <w:rPr>
          <w:rFonts w:ascii="Calibri" w:hAnsi="Calibri"/>
          <w:spacing w:val="-2"/>
          <w:sz w:val="22"/>
          <w:szCs w:val="22"/>
        </w:rPr>
        <w:tab/>
      </w:r>
      <w:r>
        <w:rPr>
          <w:rFonts w:ascii="Calibri" w:hAnsi="Calibri"/>
          <w:sz w:val="22"/>
          <w:szCs w:val="22"/>
        </w:rPr>
        <w:t xml:space="preserve">cumprir integralmente as leis, regulamentos e demais normas ambientais e relativas ao direito do trabalho, segurança e saúde ocupacional, bem como obter todos os documentos (laudos, estudos, relatórios, licenças etc.) exigidos pela legislação e necessários para o exercício regular e seguro de suas atividades, apresentando ao Agente Fiduciário, sempre que por estes solicitado, as </w:t>
      </w:r>
      <w:r>
        <w:rPr>
          <w:rFonts w:ascii="Calibri" w:hAnsi="Calibri"/>
          <w:sz w:val="22"/>
          <w:szCs w:val="22"/>
        </w:rPr>
        <w:lastRenderedPageBreak/>
        <w:t>informações e documentos que comprovem a conformidade legal de suas atividades e o cumprimento das obrigações assumidas neste item;</w:t>
      </w:r>
    </w:p>
    <w:p>
      <w:pPr>
        <w:spacing w:line="320" w:lineRule="exact"/>
        <w:ind w:left="1418" w:right="51" w:hanging="1418"/>
        <w:jc w:val="both"/>
        <w:rPr>
          <w:rFonts w:ascii="Calibri" w:hAnsi="Calibri"/>
          <w:sz w:val="22"/>
          <w:szCs w:val="22"/>
        </w:rPr>
      </w:pPr>
    </w:p>
    <w:p>
      <w:pPr>
        <w:spacing w:line="320" w:lineRule="exact"/>
        <w:ind w:left="1418" w:right="51" w:hanging="1418"/>
        <w:jc w:val="both"/>
        <w:rPr>
          <w:rFonts w:ascii="Calibri" w:hAnsi="Calibri"/>
          <w:sz w:val="22"/>
          <w:szCs w:val="22"/>
        </w:rPr>
      </w:pPr>
      <w:r>
        <w:rPr>
          <w:rFonts w:ascii="Calibri" w:hAnsi="Calibri"/>
          <w:sz w:val="22"/>
          <w:szCs w:val="22"/>
        </w:rPr>
        <w:t>(xvii)</w:t>
      </w:r>
      <w:r>
        <w:rPr>
          <w:rFonts w:ascii="Calibri" w:hAnsi="Calibri"/>
          <w:sz w:val="22"/>
          <w:szCs w:val="22"/>
        </w:rPr>
        <w:tab/>
        <w:t>envidar os melhores esforços para que seus clientes, fornecedores diretos e relevantes, e prestadores de serviço adotem as melhores práticas de proteção ao meio ambiente e relativas a segurança e saúde do trabalho, inclusive no tocante a não utilização de trabalho infantil ou análogo ao escravo, se possível mediante condição contratual específica;</w:t>
      </w:r>
    </w:p>
    <w:p>
      <w:pPr>
        <w:spacing w:line="320" w:lineRule="exact"/>
        <w:ind w:left="1418" w:right="51" w:hanging="1418"/>
        <w:jc w:val="both"/>
        <w:rPr>
          <w:rFonts w:ascii="Calibri" w:hAnsi="Calibri"/>
          <w:sz w:val="22"/>
          <w:szCs w:val="22"/>
        </w:rPr>
      </w:pPr>
    </w:p>
    <w:p>
      <w:pPr>
        <w:spacing w:line="320" w:lineRule="exact"/>
        <w:ind w:left="1418" w:right="51" w:hanging="1418"/>
        <w:jc w:val="both"/>
        <w:rPr>
          <w:rFonts w:ascii="Calibri" w:hAnsi="Calibri"/>
          <w:sz w:val="22"/>
          <w:szCs w:val="22"/>
        </w:rPr>
      </w:pPr>
      <w:r>
        <w:rPr>
          <w:rFonts w:ascii="Calibri" w:hAnsi="Calibri"/>
          <w:sz w:val="22"/>
          <w:szCs w:val="22"/>
        </w:rPr>
        <w:t>(xviii)</w:t>
      </w:r>
      <w:r>
        <w:rPr>
          <w:rFonts w:ascii="Calibri" w:hAnsi="Calibri"/>
          <w:sz w:val="22"/>
          <w:szCs w:val="22"/>
        </w:rPr>
        <w:tab/>
        <w:t xml:space="preserve">comunicar ao Agente Fiduciário, sobre eventual autuação pelos órgãos responsáveis pela fiscalização de normas ambientais e trabalhistas no que tange a saúde e segurança ocupacional, trabalho em condições análogas a escravo e trabalho infantil, bem como sobre a revogação, cancelamento ou não obtenção de autorizações ou licenças necessárias para o seu funcionamento; </w:t>
      </w:r>
    </w:p>
    <w:p>
      <w:pPr>
        <w:spacing w:line="320" w:lineRule="exact"/>
        <w:ind w:left="1418" w:right="51" w:hanging="1418"/>
        <w:jc w:val="both"/>
        <w:rPr>
          <w:rFonts w:ascii="Calibri" w:hAnsi="Calibri"/>
          <w:sz w:val="22"/>
          <w:szCs w:val="22"/>
        </w:rPr>
      </w:pPr>
    </w:p>
    <w:p>
      <w:pPr>
        <w:spacing w:line="320" w:lineRule="exact"/>
        <w:ind w:left="1418" w:right="51" w:hanging="1418"/>
        <w:jc w:val="both"/>
        <w:rPr>
          <w:rFonts w:ascii="Calibri" w:hAnsi="Calibri"/>
          <w:sz w:val="22"/>
          <w:szCs w:val="22"/>
        </w:rPr>
      </w:pPr>
      <w:r>
        <w:rPr>
          <w:rFonts w:ascii="Calibri" w:hAnsi="Calibri"/>
          <w:sz w:val="22"/>
          <w:szCs w:val="22"/>
        </w:rPr>
        <w:t xml:space="preserve">(xix) </w:t>
      </w:r>
      <w:r>
        <w:rPr>
          <w:rFonts w:ascii="Calibri" w:hAnsi="Calibri"/>
          <w:sz w:val="22"/>
          <w:szCs w:val="22"/>
        </w:rPr>
        <w:tab/>
        <w:t>comunicar ao Agente Fiduciário caso tenha conhecimento de qualquer ato, fato ou omissão da Emissora, de suas controladas e coligadas, seus acionistas controladores e/ou administradores que viole a Legislação Anticorrupção;</w:t>
      </w:r>
    </w:p>
    <w:p>
      <w:pPr>
        <w:spacing w:line="320" w:lineRule="exact"/>
        <w:ind w:left="1418" w:right="51" w:hanging="1418"/>
        <w:jc w:val="both"/>
        <w:rPr>
          <w:rFonts w:ascii="Calibri" w:hAnsi="Calibri"/>
          <w:sz w:val="22"/>
          <w:szCs w:val="22"/>
        </w:rPr>
      </w:pPr>
    </w:p>
    <w:p>
      <w:pPr>
        <w:spacing w:line="320" w:lineRule="exact"/>
        <w:ind w:left="1418" w:right="51" w:hanging="1418"/>
        <w:jc w:val="both"/>
        <w:rPr>
          <w:rFonts w:ascii="Calibri" w:hAnsi="Calibri"/>
          <w:sz w:val="22"/>
          <w:szCs w:val="22"/>
        </w:rPr>
      </w:pPr>
      <w:r>
        <w:rPr>
          <w:rFonts w:ascii="Calibri" w:hAnsi="Calibri"/>
          <w:sz w:val="22"/>
          <w:szCs w:val="22"/>
        </w:rPr>
        <w:t>(xx)</w:t>
      </w:r>
      <w:r>
        <w:rPr>
          <w:rFonts w:ascii="Calibri" w:hAnsi="Calibri"/>
          <w:sz w:val="22"/>
          <w:szCs w:val="22"/>
        </w:rPr>
        <w:tab/>
        <w:t xml:space="preserve">não utilizar os recursos das Debêntures em desacordo com as finalidades previstas nesta Escritura, em especial para o desenvolvimento de atividade de pesquisa ou projeto voltados para obtenção de Organismos Geneticamente Modificados - OGM e seus derivados ou avaliação de biossegurança desses organismos, o que engloba, no âmbito experimental, a construção, cultivo, produção, manipulação, transporte, transferência, importação, exportação, armazenamento, pesquisa, comercialização, consumo, liberação no meio ambiente e ao descarte de OGM e seus derivados; </w:t>
      </w:r>
    </w:p>
    <w:p>
      <w:pPr>
        <w:spacing w:line="320" w:lineRule="exact"/>
        <w:ind w:left="1418" w:right="51" w:hanging="1418"/>
        <w:jc w:val="both"/>
        <w:rPr>
          <w:rFonts w:ascii="Calibri" w:hAnsi="Calibri"/>
          <w:sz w:val="22"/>
          <w:szCs w:val="22"/>
        </w:rPr>
      </w:pPr>
    </w:p>
    <w:p>
      <w:pPr>
        <w:spacing w:line="320" w:lineRule="exact"/>
        <w:ind w:left="1418" w:right="51" w:hanging="1418"/>
        <w:jc w:val="both"/>
        <w:rPr>
          <w:rFonts w:ascii="Calibri" w:hAnsi="Calibri"/>
          <w:sz w:val="22"/>
          <w:szCs w:val="22"/>
        </w:rPr>
      </w:pPr>
      <w:r>
        <w:rPr>
          <w:rFonts w:ascii="Calibri" w:hAnsi="Calibri"/>
          <w:sz w:val="22"/>
          <w:szCs w:val="22"/>
        </w:rPr>
        <w:t>(xxi)</w:t>
      </w:r>
      <w:r>
        <w:rPr>
          <w:rFonts w:ascii="Calibri" w:hAnsi="Calibri"/>
          <w:sz w:val="22"/>
          <w:szCs w:val="22"/>
        </w:rPr>
        <w:tab/>
        <w:t>manter os Debenturista indenes contra qualquer responsabilidade por danos ambientais ou autuações de natureza trabalhista ou relativas a saúde e segurança ocupacional, obrigando-se a ressarci-lo de quaisquer quantias que venha a desembolsar em função de condenações ou autuações nas quais a autoridade entenda estar relacionada à utilização dos recursos financeiros decorrentes das Debêntures;</w:t>
      </w:r>
    </w:p>
    <w:p>
      <w:pPr>
        <w:spacing w:line="320" w:lineRule="exact"/>
        <w:ind w:left="1418" w:right="51" w:hanging="1418"/>
        <w:jc w:val="both"/>
        <w:rPr>
          <w:rFonts w:ascii="Calibri" w:hAnsi="Calibri"/>
          <w:sz w:val="22"/>
          <w:szCs w:val="22"/>
        </w:rPr>
      </w:pPr>
    </w:p>
    <w:p>
      <w:pPr>
        <w:spacing w:line="320" w:lineRule="exact"/>
        <w:ind w:left="1418" w:right="51" w:hanging="1418"/>
        <w:jc w:val="both"/>
        <w:rPr>
          <w:rFonts w:ascii="Calibri" w:hAnsi="Calibri"/>
          <w:sz w:val="22"/>
          <w:szCs w:val="22"/>
        </w:rPr>
      </w:pPr>
      <w:r>
        <w:rPr>
          <w:rFonts w:ascii="Calibri" w:hAnsi="Calibri"/>
          <w:sz w:val="22"/>
          <w:szCs w:val="22"/>
        </w:rPr>
        <w:t xml:space="preserve">(xxii) </w:t>
      </w:r>
      <w:r>
        <w:rPr>
          <w:rFonts w:ascii="Calibri" w:hAnsi="Calibri"/>
          <w:sz w:val="22"/>
          <w:szCs w:val="22"/>
        </w:rPr>
        <w:tab/>
      </w:r>
      <w:r>
        <w:rPr>
          <w:rFonts w:ascii="Calibri" w:hAnsi="Calibri"/>
          <w:spacing w:val="-2"/>
          <w:sz w:val="22"/>
          <w:szCs w:val="22"/>
        </w:rPr>
        <w:t>enviar ao Agente Fiduciário a atualização do laudo de avaliação dos Imóveis, em caso de necessidade de nova avaliação, que deverá ser preparado nos termos da Escritura de Alienação Fiduciária de Imóveis.</w:t>
      </w:r>
      <w:r>
        <w:rPr>
          <w:rFonts w:ascii="Calibri" w:hAnsi="Calibri"/>
          <w:sz w:val="22"/>
          <w:szCs w:val="22"/>
        </w:rPr>
        <w:tab/>
      </w:r>
    </w:p>
    <w:p>
      <w:pPr>
        <w:spacing w:line="320" w:lineRule="exact"/>
        <w:ind w:left="1418" w:right="51" w:hanging="1418"/>
        <w:jc w:val="both"/>
        <w:rPr>
          <w:rFonts w:ascii="Calibri" w:hAnsi="Calibri"/>
          <w:sz w:val="22"/>
          <w:szCs w:val="22"/>
        </w:rPr>
      </w:pPr>
    </w:p>
    <w:p>
      <w:pPr>
        <w:pStyle w:val="PargrafodaLista"/>
        <w:widowControl w:val="0"/>
        <w:tabs>
          <w:tab w:val="left" w:pos="1418"/>
          <w:tab w:val="left" w:pos="1560"/>
        </w:tabs>
        <w:spacing w:line="320" w:lineRule="exact"/>
        <w:ind w:left="1276" w:hanging="1276"/>
        <w:contextualSpacing/>
        <w:jc w:val="both"/>
        <w:rPr>
          <w:rFonts w:eastAsia="Times New Roman"/>
          <w:spacing w:val="-2"/>
        </w:rPr>
      </w:pPr>
      <w:r>
        <w:rPr>
          <w:rFonts w:eastAsia="Times New Roman"/>
          <w:spacing w:val="-2"/>
        </w:rPr>
        <w:lastRenderedPageBreak/>
        <w:t xml:space="preserve">(xxiii) </w:t>
      </w:r>
      <w:r>
        <w:rPr>
          <w:rFonts w:eastAsia="Times New Roman"/>
          <w:spacing w:val="-2"/>
        </w:rPr>
        <w:tab/>
        <w:t>não divulgar ao público informações referentes à Emissora, à Emissão ou às Debêntures, em desacordo com o disposto na regulamentação aplicável, incluindo, mas não se limitando, ao disposto na Instrução CVM 476 e no artigo 48 da Instrução CVM nº 400, de 29 de dezembro de 2003, conforme alterada (“</w:t>
      </w:r>
      <w:r>
        <w:rPr>
          <w:rFonts w:eastAsia="Times New Roman"/>
          <w:spacing w:val="-2"/>
          <w:u w:val="single"/>
        </w:rPr>
        <w:t>Instrução CVM 400</w:t>
      </w:r>
      <w:r>
        <w:rPr>
          <w:rFonts w:eastAsia="Times New Roman"/>
          <w:spacing w:val="-2"/>
        </w:rPr>
        <w:t>”);</w:t>
      </w:r>
    </w:p>
    <w:p>
      <w:pPr>
        <w:pStyle w:val="PargrafodaLista"/>
        <w:spacing w:line="320" w:lineRule="exact"/>
        <w:ind w:left="1276" w:hanging="1276"/>
        <w:rPr>
          <w:rFonts w:eastAsia="Times New Roman"/>
          <w:spacing w:val="-2"/>
        </w:rPr>
      </w:pPr>
    </w:p>
    <w:p>
      <w:pPr>
        <w:pStyle w:val="PargrafodaLista"/>
        <w:widowControl w:val="0"/>
        <w:spacing w:line="320" w:lineRule="exact"/>
        <w:ind w:left="1276" w:hanging="1276"/>
        <w:contextualSpacing/>
        <w:jc w:val="both"/>
        <w:rPr>
          <w:rFonts w:eastAsia="Times New Roman"/>
          <w:spacing w:val="-2"/>
        </w:rPr>
      </w:pPr>
      <w:r>
        <w:rPr>
          <w:rFonts w:eastAsia="Times New Roman"/>
          <w:spacing w:val="-2"/>
        </w:rPr>
        <w:t xml:space="preserve">(xxiv) </w:t>
      </w:r>
      <w:r>
        <w:rPr>
          <w:rFonts w:eastAsia="Times New Roman"/>
          <w:spacing w:val="-2"/>
        </w:rPr>
        <w:tab/>
        <w:t>abster-se de negociar valores mobiliários de sua emissão, até o envio da comunicação de encerramento da Oferta Restrita, salvo nas hipóteses previstas no artigo 48 da Instrução CVM 400; e</w:t>
      </w:r>
    </w:p>
    <w:p>
      <w:pPr>
        <w:pStyle w:val="PargrafodaLista"/>
        <w:widowControl w:val="0"/>
        <w:spacing w:line="320" w:lineRule="exact"/>
        <w:ind w:left="1276" w:hanging="1276"/>
        <w:contextualSpacing/>
        <w:jc w:val="both"/>
        <w:rPr>
          <w:rFonts w:eastAsia="Times New Roman"/>
          <w:spacing w:val="-2"/>
        </w:rPr>
      </w:pPr>
    </w:p>
    <w:p>
      <w:pPr>
        <w:pStyle w:val="PargrafodaLista"/>
        <w:widowControl w:val="0"/>
        <w:spacing w:line="320" w:lineRule="exact"/>
        <w:ind w:left="1276" w:hanging="1276"/>
        <w:contextualSpacing/>
        <w:jc w:val="both"/>
        <w:rPr>
          <w:rFonts w:eastAsia="Times New Roman"/>
          <w:spacing w:val="-2"/>
        </w:rPr>
      </w:pPr>
      <w:r>
        <w:rPr>
          <w:rFonts w:eastAsia="Times New Roman"/>
          <w:spacing w:val="-2"/>
        </w:rPr>
        <w:t xml:space="preserve">(xxv) </w:t>
      </w:r>
      <w:r>
        <w:rPr>
          <w:rFonts w:eastAsia="Times New Roman"/>
          <w:spacing w:val="-2"/>
        </w:rPr>
        <w:tab/>
        <w:t>abster-se, até o envio da comunicação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w:t>
      </w:r>
    </w:p>
    <w:p>
      <w:pPr>
        <w:pStyle w:val="PargrafodaLista"/>
        <w:widowControl w:val="0"/>
        <w:spacing w:line="320" w:lineRule="exact"/>
        <w:ind w:left="1276" w:hanging="1276"/>
        <w:contextualSpacing/>
        <w:jc w:val="both"/>
        <w:rPr>
          <w:rFonts w:eastAsia="Times New Roman"/>
          <w:spacing w:val="-2"/>
        </w:rPr>
      </w:pPr>
    </w:p>
    <w:p>
      <w:pPr>
        <w:pStyle w:val="PargrafodaLista"/>
        <w:widowControl w:val="0"/>
        <w:numPr>
          <w:ilvl w:val="1"/>
          <w:numId w:val="18"/>
        </w:numPr>
        <w:tabs>
          <w:tab w:val="left" w:pos="1276"/>
        </w:tabs>
        <w:spacing w:line="320" w:lineRule="exact"/>
        <w:ind w:left="0" w:firstLine="0"/>
        <w:contextualSpacing/>
        <w:jc w:val="both"/>
        <w:rPr>
          <w:rFonts w:eastAsia="Times New Roman"/>
          <w:spacing w:val="-2"/>
        </w:rPr>
      </w:pPr>
      <w:r>
        <w:rPr>
          <w:rFonts w:eastAsia="Times New Roman"/>
          <w:spacing w:val="-2"/>
        </w:rPr>
        <w:t>Sem prejuízo de outras obrigações expressamente previstas na regulamentação em vigor e nesta Escritura, a Emissora se obriga a, nos termos da Instrução CVM 476:</w:t>
      </w:r>
    </w:p>
    <w:p>
      <w:pPr>
        <w:pStyle w:val="PargrafodaLista"/>
        <w:spacing w:line="320" w:lineRule="exact"/>
        <w:rPr>
          <w:rFonts w:eastAsia="Times New Roman"/>
          <w:spacing w:val="-2"/>
        </w:rPr>
      </w:pPr>
    </w:p>
    <w:p>
      <w:pPr>
        <w:pStyle w:val="PargrafodaLista"/>
        <w:widowControl w:val="0"/>
        <w:numPr>
          <w:ilvl w:val="0"/>
          <w:numId w:val="30"/>
        </w:numPr>
        <w:tabs>
          <w:tab w:val="left" w:pos="1276"/>
        </w:tabs>
        <w:spacing w:line="320" w:lineRule="exact"/>
        <w:ind w:left="1276" w:hanging="1276"/>
        <w:contextualSpacing/>
        <w:jc w:val="both"/>
        <w:rPr>
          <w:rFonts w:eastAsia="Times New Roman"/>
          <w:spacing w:val="-2"/>
        </w:rPr>
      </w:pPr>
      <w:r>
        <w:rPr>
          <w:rFonts w:eastAsia="Times New Roman"/>
          <w:spacing w:val="-2"/>
        </w:rPr>
        <w:t>preparar suas demonstrações financeiras de encerramento de exercício e, se for o caso, demonstrações consolidadas, em conformidade com a Lei das Sociedades por Ações e com as regras emitidas pela CVM;</w:t>
      </w:r>
    </w:p>
    <w:p>
      <w:pPr>
        <w:pStyle w:val="PargrafodaLista"/>
        <w:widowControl w:val="0"/>
        <w:tabs>
          <w:tab w:val="left" w:pos="1276"/>
          <w:tab w:val="left" w:pos="1843"/>
        </w:tabs>
        <w:spacing w:line="320" w:lineRule="exact"/>
        <w:ind w:left="1276" w:hanging="1276"/>
        <w:rPr>
          <w:rFonts w:eastAsia="Times New Roman"/>
          <w:spacing w:val="-2"/>
        </w:rPr>
      </w:pPr>
    </w:p>
    <w:p>
      <w:pPr>
        <w:pStyle w:val="PargrafodaLista"/>
        <w:widowControl w:val="0"/>
        <w:numPr>
          <w:ilvl w:val="0"/>
          <w:numId w:val="30"/>
        </w:numPr>
        <w:tabs>
          <w:tab w:val="left" w:pos="1276"/>
        </w:tabs>
        <w:spacing w:line="320" w:lineRule="exact"/>
        <w:ind w:left="1276" w:hanging="1276"/>
        <w:contextualSpacing/>
        <w:jc w:val="both"/>
        <w:rPr>
          <w:rFonts w:eastAsia="Times New Roman"/>
          <w:spacing w:val="-2"/>
        </w:rPr>
      </w:pPr>
      <w:r>
        <w:rPr>
          <w:rFonts w:eastAsia="Times New Roman"/>
          <w:spacing w:val="-2"/>
        </w:rPr>
        <w:t>submeter suas demonstrações financeiras a Auditor Independente;</w:t>
      </w:r>
    </w:p>
    <w:p>
      <w:pPr>
        <w:pStyle w:val="PargrafodaLista"/>
        <w:tabs>
          <w:tab w:val="left" w:pos="1276"/>
        </w:tabs>
        <w:spacing w:line="320" w:lineRule="exact"/>
        <w:ind w:left="1276" w:hanging="1276"/>
        <w:rPr>
          <w:rFonts w:eastAsia="Times New Roman"/>
          <w:spacing w:val="-2"/>
        </w:rPr>
      </w:pPr>
    </w:p>
    <w:p>
      <w:pPr>
        <w:pStyle w:val="PargrafodaLista"/>
        <w:widowControl w:val="0"/>
        <w:numPr>
          <w:ilvl w:val="0"/>
          <w:numId w:val="30"/>
        </w:numPr>
        <w:tabs>
          <w:tab w:val="left" w:pos="1276"/>
        </w:tabs>
        <w:spacing w:line="320" w:lineRule="exact"/>
        <w:ind w:left="1276" w:hanging="1276"/>
        <w:contextualSpacing/>
        <w:jc w:val="both"/>
        <w:rPr>
          <w:rFonts w:eastAsia="Times New Roman"/>
          <w:spacing w:val="-2"/>
        </w:rPr>
      </w:pPr>
      <w:bookmarkStart w:id="82" w:name="_Ref496178862"/>
      <w:r>
        <w:rPr>
          <w:rFonts w:eastAsia="Times New Roman"/>
          <w:spacing w:val="-2"/>
        </w:rPr>
        <w:t>divulgar suas demonstrações financeiras, acompanhadas de notas explicativas e relatório do Auditor Independente, em sua página na rede mundial de computadores, dentro de 3 (três) meses contados do encerramento do exercício social;</w:t>
      </w:r>
      <w:bookmarkEnd w:id="82"/>
    </w:p>
    <w:p>
      <w:pPr>
        <w:pStyle w:val="PargrafodaLista"/>
        <w:tabs>
          <w:tab w:val="left" w:pos="1276"/>
        </w:tabs>
        <w:spacing w:line="320" w:lineRule="exact"/>
        <w:ind w:left="1276" w:hanging="1276"/>
        <w:rPr>
          <w:rFonts w:eastAsia="Times New Roman"/>
          <w:spacing w:val="-2"/>
        </w:rPr>
      </w:pPr>
    </w:p>
    <w:p>
      <w:pPr>
        <w:pStyle w:val="PargrafodaLista"/>
        <w:widowControl w:val="0"/>
        <w:numPr>
          <w:ilvl w:val="0"/>
          <w:numId w:val="30"/>
        </w:numPr>
        <w:tabs>
          <w:tab w:val="left" w:pos="1276"/>
        </w:tabs>
        <w:spacing w:line="320" w:lineRule="exact"/>
        <w:ind w:left="1276" w:hanging="1276"/>
        <w:contextualSpacing/>
        <w:jc w:val="both"/>
        <w:rPr>
          <w:rFonts w:eastAsia="Times New Roman"/>
          <w:spacing w:val="-2"/>
        </w:rPr>
      </w:pPr>
      <w:r>
        <w:rPr>
          <w:rFonts w:eastAsia="Times New Roman"/>
          <w:spacing w:val="-2"/>
        </w:rPr>
        <w:t>manter os documentos mencionados na alínea (iii) acima em sua página na rede mundial de computadores, por um prazo de 3 (três) anos;</w:t>
      </w:r>
    </w:p>
    <w:p>
      <w:pPr>
        <w:pStyle w:val="PargrafodaLista"/>
        <w:tabs>
          <w:tab w:val="left" w:pos="1276"/>
        </w:tabs>
        <w:spacing w:line="320" w:lineRule="exact"/>
        <w:ind w:left="1276" w:hanging="1276"/>
        <w:rPr>
          <w:rFonts w:eastAsia="Times New Roman"/>
          <w:spacing w:val="-2"/>
        </w:rPr>
      </w:pPr>
    </w:p>
    <w:p>
      <w:pPr>
        <w:pStyle w:val="PargrafodaLista"/>
        <w:widowControl w:val="0"/>
        <w:numPr>
          <w:ilvl w:val="0"/>
          <w:numId w:val="30"/>
        </w:numPr>
        <w:tabs>
          <w:tab w:val="left" w:pos="1276"/>
        </w:tabs>
        <w:spacing w:line="320" w:lineRule="exact"/>
        <w:ind w:left="1276" w:hanging="1276"/>
        <w:contextualSpacing/>
        <w:jc w:val="both"/>
        <w:rPr>
          <w:rFonts w:eastAsia="Times New Roman"/>
          <w:spacing w:val="-2"/>
        </w:rPr>
      </w:pPr>
      <w:r>
        <w:rPr>
          <w:rFonts w:eastAsia="Times New Roman"/>
          <w:spacing w:val="-2"/>
        </w:rPr>
        <w:t>observar as disposições da Instrução CVM 358, no que se refere a dever de sigilo e vedações à negociação;</w:t>
      </w:r>
    </w:p>
    <w:p>
      <w:pPr>
        <w:pStyle w:val="PargrafodaLista"/>
        <w:tabs>
          <w:tab w:val="left" w:pos="1276"/>
        </w:tabs>
        <w:spacing w:line="320" w:lineRule="exact"/>
        <w:ind w:left="1276" w:hanging="1276"/>
        <w:rPr>
          <w:rFonts w:eastAsia="Times New Roman"/>
          <w:spacing w:val="-2"/>
        </w:rPr>
      </w:pPr>
    </w:p>
    <w:p>
      <w:pPr>
        <w:pStyle w:val="PargrafodaLista"/>
        <w:widowControl w:val="0"/>
        <w:numPr>
          <w:ilvl w:val="0"/>
          <w:numId w:val="30"/>
        </w:numPr>
        <w:tabs>
          <w:tab w:val="left" w:pos="1276"/>
        </w:tabs>
        <w:spacing w:line="320" w:lineRule="exact"/>
        <w:ind w:left="1276" w:hanging="1276"/>
        <w:contextualSpacing/>
        <w:jc w:val="both"/>
        <w:rPr>
          <w:rFonts w:eastAsia="Times New Roman"/>
          <w:spacing w:val="-2"/>
        </w:rPr>
      </w:pPr>
      <w:r>
        <w:rPr>
          <w:rFonts w:eastAsia="Times New Roman"/>
          <w:spacing w:val="-2"/>
        </w:rPr>
        <w:t>divulgar em sua página na rede mundial de computadores a ocorrência de qualquer “Fato Relevante”, conforme definido no artigo 2º da Instrução CVM 358; e</w:t>
      </w:r>
    </w:p>
    <w:p>
      <w:pPr>
        <w:pStyle w:val="PargrafodaLista"/>
        <w:rPr>
          <w:rFonts w:eastAsia="Times New Roman"/>
          <w:spacing w:val="-2"/>
        </w:rPr>
      </w:pPr>
    </w:p>
    <w:p>
      <w:pPr>
        <w:pStyle w:val="PargrafodaLista"/>
        <w:widowControl w:val="0"/>
        <w:numPr>
          <w:ilvl w:val="0"/>
          <w:numId w:val="30"/>
        </w:numPr>
        <w:tabs>
          <w:tab w:val="left" w:pos="1276"/>
        </w:tabs>
        <w:spacing w:line="320" w:lineRule="exact"/>
        <w:ind w:left="1276" w:hanging="1276"/>
        <w:contextualSpacing/>
        <w:jc w:val="both"/>
        <w:rPr>
          <w:rFonts w:eastAsia="Times New Roman"/>
          <w:spacing w:val="-2"/>
        </w:rPr>
      </w:pPr>
      <w:r>
        <w:rPr>
          <w:rFonts w:eastAsia="Times New Roman"/>
          <w:spacing w:val="-2"/>
        </w:rPr>
        <w:t>fornecer todas as informações solicitadas pela CVM e/ou pela B3.</w:t>
      </w:r>
    </w:p>
    <w:p>
      <w:pPr>
        <w:pStyle w:val="p0"/>
        <w:widowControl/>
        <w:tabs>
          <w:tab w:val="clear" w:pos="720"/>
        </w:tabs>
        <w:spacing w:line="320" w:lineRule="exact"/>
        <w:ind w:left="1440" w:hanging="1440"/>
        <w:rPr>
          <w:rFonts w:ascii="Calibri" w:eastAsia="Arial Unicode MS" w:hAnsi="Calibri"/>
          <w:szCs w:val="22"/>
        </w:rPr>
      </w:pPr>
    </w:p>
    <w:p>
      <w:pPr>
        <w:numPr>
          <w:ilvl w:val="1"/>
          <w:numId w:val="18"/>
        </w:numPr>
        <w:shd w:val="clear" w:color="auto" w:fill="FFFFFF"/>
        <w:tabs>
          <w:tab w:val="left" w:pos="1418"/>
        </w:tabs>
        <w:spacing w:line="320" w:lineRule="exact"/>
        <w:ind w:left="0" w:firstLine="0"/>
        <w:jc w:val="both"/>
        <w:rPr>
          <w:rFonts w:ascii="Calibri" w:eastAsia="Arial Unicode MS" w:hAnsi="Calibri"/>
          <w:szCs w:val="22"/>
        </w:rPr>
      </w:pPr>
      <w:r>
        <w:rPr>
          <w:rFonts w:ascii="Calibri" w:hAnsi="Calibri"/>
          <w:spacing w:val="-2"/>
          <w:sz w:val="22"/>
          <w:szCs w:val="22"/>
        </w:rPr>
        <w:lastRenderedPageBreak/>
        <w:t>As Intervenientes</w:t>
      </w:r>
      <w:r>
        <w:rPr>
          <w:rFonts w:ascii="Calibri" w:eastAsia="Arial Unicode MS" w:hAnsi="Calibri"/>
          <w:sz w:val="22"/>
          <w:szCs w:val="22"/>
        </w:rPr>
        <w:t xml:space="preserve"> adicionalmente se obrigam a fornecer ao Agente Fiduciário informações sobre quaisquer descumprimentos, pelas Intervenientes, de quaisquer cláusulas, termos ou condições desta Escritura ou dos Contratos de Garantia, no prazo de até 5 (cinco) dias úteis contados da data em que tomar conhecimento de tal descumprimento.</w:t>
      </w:r>
    </w:p>
    <w:p>
      <w:pPr>
        <w:pStyle w:val="p0"/>
        <w:widowControl/>
        <w:tabs>
          <w:tab w:val="clear" w:pos="720"/>
        </w:tabs>
        <w:spacing w:line="320" w:lineRule="exact"/>
        <w:rPr>
          <w:rFonts w:ascii="Calibri" w:eastAsia="Arial Unicode MS" w:hAnsi="Calibri"/>
          <w:szCs w:val="22"/>
        </w:rPr>
      </w:pPr>
    </w:p>
    <w:p>
      <w:pPr>
        <w:numPr>
          <w:ilvl w:val="1"/>
          <w:numId w:val="18"/>
        </w:numPr>
        <w:shd w:val="clear" w:color="auto" w:fill="FFFFFF"/>
        <w:tabs>
          <w:tab w:val="left" w:pos="1418"/>
        </w:tabs>
        <w:spacing w:line="320" w:lineRule="exact"/>
        <w:ind w:left="0" w:firstLine="0"/>
        <w:jc w:val="both"/>
        <w:rPr>
          <w:rFonts w:ascii="Calibri" w:eastAsia="Arial Unicode MS" w:hAnsi="Calibri"/>
          <w:szCs w:val="22"/>
        </w:rPr>
      </w:pPr>
      <w:r>
        <w:rPr>
          <w:rFonts w:ascii="Calibri" w:eastAsia="Arial Unicode MS" w:hAnsi="Calibri"/>
          <w:sz w:val="22"/>
          <w:szCs w:val="22"/>
        </w:rPr>
        <w:t>A Emissora e as Intervenientes, conforme aplicável, adicionalmente, se comprometem a observar todos as obrigações, termos e demais condições previstas na presente Escritura e nos Contratos de Garantia, nos prazos estipulados nos referidos instrumentos.</w:t>
      </w:r>
      <w:bookmarkStart w:id="83" w:name="_DV_M225"/>
      <w:bookmarkStart w:id="84" w:name="_DV_M230"/>
      <w:bookmarkEnd w:id="83"/>
      <w:bookmarkEnd w:id="84"/>
    </w:p>
    <w:p>
      <w:pPr>
        <w:pStyle w:val="Ttulo1"/>
        <w:tabs>
          <w:tab w:val="left" w:pos="1418"/>
        </w:tabs>
        <w:spacing w:before="0" w:after="0" w:line="320" w:lineRule="exact"/>
        <w:jc w:val="both"/>
        <w:rPr>
          <w:rFonts w:ascii="Calibri" w:hAnsi="Calibri" w:cs="Times New Roman"/>
          <w:w w:val="0"/>
          <w:sz w:val="22"/>
          <w:szCs w:val="22"/>
        </w:rPr>
      </w:pPr>
    </w:p>
    <w:p>
      <w:pPr>
        <w:numPr>
          <w:ilvl w:val="0"/>
          <w:numId w:val="17"/>
        </w:numPr>
        <w:shd w:val="clear" w:color="auto" w:fill="FFFFFF"/>
        <w:tabs>
          <w:tab w:val="left" w:pos="1418"/>
        </w:tabs>
        <w:spacing w:line="320" w:lineRule="exact"/>
        <w:ind w:left="0" w:firstLine="0"/>
        <w:jc w:val="both"/>
        <w:rPr>
          <w:rFonts w:ascii="Calibri" w:eastAsia="Arial Unicode MS" w:hAnsi="Calibri"/>
          <w:b/>
          <w:w w:val="0"/>
          <w:sz w:val="22"/>
          <w:szCs w:val="22"/>
        </w:rPr>
      </w:pPr>
      <w:r>
        <w:rPr>
          <w:rFonts w:ascii="Calibri" w:eastAsia="Arial Unicode MS" w:hAnsi="Calibri"/>
          <w:b/>
          <w:w w:val="0"/>
          <w:sz w:val="22"/>
          <w:szCs w:val="22"/>
        </w:rPr>
        <w:t>Agente Fiduciário</w:t>
      </w:r>
    </w:p>
    <w:p>
      <w:pPr>
        <w:pStyle w:val="PargrafodaLista"/>
        <w:widowControl w:val="0"/>
        <w:tabs>
          <w:tab w:val="left" w:pos="567"/>
        </w:tabs>
        <w:spacing w:line="320" w:lineRule="exact"/>
        <w:ind w:left="567"/>
        <w:rPr>
          <w:sz w:val="24"/>
          <w:szCs w:val="24"/>
        </w:rPr>
      </w:pPr>
    </w:p>
    <w:p>
      <w:pPr>
        <w:pStyle w:val="PargrafodaLista"/>
        <w:widowControl w:val="0"/>
        <w:numPr>
          <w:ilvl w:val="1"/>
          <w:numId w:val="25"/>
        </w:numPr>
        <w:tabs>
          <w:tab w:val="left" w:pos="1418"/>
        </w:tabs>
        <w:spacing w:line="320" w:lineRule="exact"/>
        <w:ind w:left="0" w:firstLine="0"/>
        <w:contextualSpacing/>
        <w:jc w:val="both"/>
      </w:pPr>
      <w:bookmarkStart w:id="85" w:name="_Ref496178916"/>
      <w:r>
        <w:t xml:space="preserve">A Emissora nomeia e constitui como Agente Fiduciário da Emissão, a </w:t>
      </w:r>
      <w:r>
        <w:rPr>
          <w:rFonts w:cs="Calibri"/>
          <w:b/>
        </w:rPr>
        <w:t>OLIVEIRA TRUST DISTRIBUIDORA DE TÍTULOS E VALORES MOBILIÁRIOS S.A.</w:t>
      </w:r>
      <w:r>
        <w:rPr>
          <w:rFonts w:eastAsia="MS Mincho" w:cs="Calibri"/>
          <w:color w:val="000000"/>
        </w:rPr>
        <w:t>, instituição financeira, com domicilio na Cidade de São Paulo, Estado de São Paulo, na Rua Joaquim Floriano, nº 1052, sala 132, CEP 04534-004</w:t>
      </w:r>
      <w:r>
        <w:rPr>
          <w:rFonts w:cs="Calibri"/>
        </w:rPr>
        <w:t>,</w:t>
      </w:r>
      <w:r>
        <w:rPr>
          <w:rFonts w:eastAsia="MS Mincho" w:cs="Calibri"/>
          <w:color w:val="000000"/>
        </w:rPr>
        <w:t xml:space="preserve"> inscrita no CNPJ/MF sob o nº </w:t>
      </w:r>
      <w:r>
        <w:rPr>
          <w:rFonts w:asciiTheme="minorHAnsi" w:eastAsia="MS Mincho" w:hAnsiTheme="minorHAnsi" w:cstheme="minorHAnsi"/>
          <w:color w:val="000000"/>
        </w:rPr>
        <w:t>36.113.876/0004-34</w:t>
      </w:r>
      <w:r>
        <w:rPr>
          <w:smallCaps/>
        </w:rPr>
        <w:t>,</w:t>
      </w:r>
      <w:r>
        <w:t xml:space="preserve"> qualificada no preâmbulo desta Escritura, que assina na qualidade de Agente Fiduciário, e que, neste ato, e na melhor forma de direito, aceita a nomeação para, nos termos da lei e desta Escritura, representar a comunhão dos Debenturistas perante a Emissora, declarando que:</w:t>
      </w:r>
      <w:bookmarkEnd w:id="85"/>
    </w:p>
    <w:p>
      <w:pPr>
        <w:pStyle w:val="PargrafodaLista"/>
        <w:widowControl w:val="0"/>
        <w:spacing w:line="320" w:lineRule="exact"/>
        <w:ind w:left="567"/>
      </w:pPr>
    </w:p>
    <w:p>
      <w:pPr>
        <w:pStyle w:val="PargrafodaLista"/>
        <w:widowControl w:val="0"/>
        <w:numPr>
          <w:ilvl w:val="0"/>
          <w:numId w:val="20"/>
        </w:numPr>
        <w:tabs>
          <w:tab w:val="left" w:pos="1276"/>
        </w:tabs>
        <w:spacing w:line="320" w:lineRule="exact"/>
        <w:ind w:left="1276" w:hanging="1276"/>
        <w:contextualSpacing/>
        <w:jc w:val="both"/>
      </w:pPr>
      <w:r>
        <w:t>não tem, sob as penas de lei, qualquer impedimento legal, conforme o parágrafo 3º do artigo 66 da Lei das Sociedades por Ações, a Instrução CVM nº 583, de 20 de dezembro de 2016, conforme alterada (“</w:t>
      </w:r>
      <w:r>
        <w:rPr>
          <w:u w:val="single"/>
        </w:rPr>
        <w:t>Instrução CVM 583</w:t>
      </w:r>
      <w:r>
        <w:t>”), e demais normas aplicáveis, ou, em caso de alteração, a que vier a substituí-las, para exercer a função que lhe é conferida;</w:t>
      </w:r>
    </w:p>
    <w:p>
      <w:pPr>
        <w:pStyle w:val="PargrafodaLista"/>
        <w:widowControl w:val="0"/>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aceita a função que lhe é conferida, assumindo integralmente os deveres e atribuições previstos na legislação específica e nesta Escritura;</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está ciente da regulamentação aplicável emanada do Banco Central do Brasil e da CVM;</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não se encontra em nenhuma das situações de conflito de interesse indicadas no artigo 6º da Instrução CVM 583;</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não tem qualquer ligação com a Emissora que o impeça de exercer suas funções;</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verificou a veracidade das informações contidas nesta Escritura;</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aceita integralmente esta Escritura e todos os seus termos e condições;</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verificou, na Data de Integralização das Debêntures, a regularidade da constituição das Garantias e observará a manutenção de sua suficiência e exequibilidade;</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é uma instituição financeira, estando devidamente organizado, constituído e existente de acordo com as leis brasileiras;</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está devidamente autorizado a celebrar esta Escritura e a cumprir suas obrigações aqui previstas, tendo sido satisfeitos todos os requisitos legais e estatutários necessários para tanto;</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a celebração desta Escritura e o cumprimento de suas obrigações aqui previstas não infringem qualquer obrigação anteriormente assumida pelo Agente Fiduciário;</w:t>
      </w:r>
    </w:p>
    <w:p>
      <w:pPr>
        <w:pStyle w:val="PargrafodaLista"/>
        <w:tabs>
          <w:tab w:val="left" w:pos="1276"/>
        </w:tabs>
        <w:spacing w:line="320" w:lineRule="exact"/>
        <w:ind w:left="1276" w:hanging="1276"/>
      </w:pPr>
    </w:p>
    <w:p>
      <w:pPr>
        <w:pStyle w:val="PargrafodaLista"/>
        <w:widowControl w:val="0"/>
        <w:numPr>
          <w:ilvl w:val="0"/>
          <w:numId w:val="20"/>
        </w:numPr>
        <w:tabs>
          <w:tab w:val="left" w:pos="1276"/>
        </w:tabs>
        <w:spacing w:line="320" w:lineRule="exact"/>
        <w:ind w:left="1276" w:hanging="1276"/>
        <w:contextualSpacing/>
        <w:jc w:val="both"/>
      </w:pPr>
      <w:r>
        <w:t>esta Escritura constitui obrigação válida e eficaz do Agente Fiduciário e exequível de acordo com os seus termos; e</w:t>
      </w:r>
    </w:p>
    <w:p>
      <w:pPr>
        <w:pStyle w:val="PargrafodaLista"/>
        <w:tabs>
          <w:tab w:val="left" w:pos="1418"/>
        </w:tabs>
        <w:spacing w:line="320" w:lineRule="exact"/>
        <w:ind w:left="1276" w:hanging="1276"/>
      </w:pPr>
    </w:p>
    <w:p>
      <w:pPr>
        <w:pStyle w:val="PargrafodaLista"/>
        <w:widowControl w:val="0"/>
        <w:numPr>
          <w:ilvl w:val="0"/>
          <w:numId w:val="20"/>
        </w:numPr>
        <w:tabs>
          <w:tab w:val="left" w:pos="1418"/>
        </w:tabs>
        <w:spacing w:line="320" w:lineRule="exact"/>
        <w:ind w:left="1276" w:hanging="1276"/>
        <w:jc w:val="both"/>
      </w:pPr>
      <w:r>
        <w:t>que, para os fins do §2° do artigo 6º da Instrução CVM 583, não exerce, na data de assinatura da presente Escritura, conforme organograma encaminhado pela Emissora, a função de agente fiduciário em outra emissão da Emissora ou de sociedade coligada, controlada, controladora ou integrante do mesmo grupo da Emissora .</w:t>
      </w:r>
    </w:p>
    <w:p>
      <w:pPr>
        <w:pStyle w:val="PargrafodaLista"/>
      </w:pPr>
    </w:p>
    <w:p>
      <w:pPr>
        <w:pStyle w:val="PargrafodaLista"/>
        <w:widowControl w:val="0"/>
        <w:numPr>
          <w:ilvl w:val="1"/>
          <w:numId w:val="25"/>
        </w:numPr>
        <w:tabs>
          <w:tab w:val="left" w:pos="1418"/>
        </w:tabs>
        <w:spacing w:line="320" w:lineRule="exact"/>
        <w:ind w:left="0" w:firstLine="0"/>
        <w:contextualSpacing/>
        <w:jc w:val="both"/>
      </w:pPr>
      <w:r>
        <w:t>O Agente Fiduciário notificará imediatamente a Emissora caso quaisquer das declarações prestadas na Cláusula 9.1 acima se tornem total ou parcialmente inverídicas, incompletas ou incorretas.</w:t>
      </w:r>
    </w:p>
    <w:p>
      <w:pPr>
        <w:pStyle w:val="PargrafodaLista"/>
        <w:widowControl w:val="0"/>
        <w:spacing w:line="320" w:lineRule="exact"/>
        <w:ind w:left="567"/>
        <w:rPr>
          <w:sz w:val="24"/>
          <w:szCs w:val="24"/>
        </w:rPr>
      </w:pPr>
    </w:p>
    <w:p>
      <w:pPr>
        <w:pStyle w:val="PargrafodaLista"/>
        <w:widowControl w:val="0"/>
        <w:numPr>
          <w:ilvl w:val="1"/>
          <w:numId w:val="25"/>
        </w:numPr>
        <w:tabs>
          <w:tab w:val="left" w:pos="1418"/>
        </w:tabs>
        <w:spacing w:line="320" w:lineRule="exact"/>
        <w:ind w:left="0" w:firstLine="0"/>
        <w:contextualSpacing/>
        <w:jc w:val="both"/>
      </w:pPr>
      <w:r>
        <w:t>O Agente Fiduciário exercerá suas funções a partir da data de assinatura desta Escritura, devendo permanecer no exercício de suas funções até a Data de Vencimento, ou até sua efetiva substituição, o que ocorrer por último.</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r>
        <w:t xml:space="preserve">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(conforme definida abaixo)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em até 15 (quinze) dias úteis antes do término do prazo acima citado, caberá à Emissora efetuá-la, sendo certo que a CVM poderá nomear substituto provisório, enquanto não se consumar o processo de escolha </w:t>
      </w:r>
      <w:r>
        <w:lastRenderedPageBreak/>
        <w:t>do novo agente fiduciário da Emissão. A substituição não implicará em remuneração ao novo agente fiduciário superior à ora avençada.</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bookmarkStart w:id="86" w:name="_Ref130284025"/>
      <w:r>
        <w:t>Na hipótese de não poder o Agente Fiduciário continuar a exercer as suas funções por circunstâncias supervenientes a esta Escritura, deverá esse comunicar imediatamente o fato à Emissora e aos Debenturistas, solicitando sua substituição, que deverá ser providenciada pela Emissora com a maior brevidade possível.</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r>
        <w:t>É facultado aos Debenturistas, após o encerramento do prazo para a subscrição e integralização da totalidade das Debêntures, proceder à substituição do Agente Fiduciário e à indicação de seu substituto, em Assembleia Geral Debenturistas especialmente convocada para esse fim.</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r>
        <w:t xml:space="preserve">Caso ocorra a efetiva substituição do Agente Fiduciário, o substituto receberá a mesma remuneração recebida pelo Agente Fiduciário, em todos os seus termos e condições, sendo que a primeira parcela anual devida ao substituto será calculada </w:t>
      </w:r>
      <w:r>
        <w:rPr>
          <w:i/>
          <w:iCs/>
        </w:rPr>
        <w:t>pro rata temporis</w:t>
      </w:r>
      <w:r>
        <w:t>, a partir da data de início do exercício de sua função como agente fiduciário da Emissão. Esta remuneração poderá ser alterada de comum acordo entre a Emissora e o agente fiduciário substituto, desde que previamente aprovada pela Assembleia Geral de Debenturistas (conforme definida abaixo).</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r>
        <w:t>A substituição do Agente Fiduciário deve ser  comunicada à CVM no prazo de até 07 (sete) dias úteis, contados do registro do aditamento da presente Escritura nos órgãos copetentes e deverá ser acompanhada da declaração e as demais informações previstas no artigo 5º da Instrução CVM 583 e eventuais normas posteriores.</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r>
        <w:t>A substituição do Agente Fiduciário em caráter permanente deverá ser objeto de aditamento à Escritura, que deverá ser registrado na Junta Comercial junto com a presente Escritura.</w:t>
      </w:r>
    </w:p>
    <w:p>
      <w:pPr>
        <w:pStyle w:val="PargrafodaLista"/>
        <w:spacing w:line="320" w:lineRule="exact"/>
      </w:pPr>
    </w:p>
    <w:p>
      <w:pPr>
        <w:pStyle w:val="PargrafodaLista"/>
        <w:widowControl w:val="0"/>
        <w:numPr>
          <w:ilvl w:val="1"/>
          <w:numId w:val="25"/>
        </w:numPr>
        <w:tabs>
          <w:tab w:val="left" w:pos="1418"/>
        </w:tabs>
        <w:spacing w:line="320" w:lineRule="exact"/>
        <w:ind w:left="0" w:firstLine="0"/>
        <w:contextualSpacing/>
        <w:jc w:val="both"/>
      </w:pPr>
      <w:r>
        <w:t>O agente fiduciário substituto deverá, imediatamente após sua nomeação, comunicá-la aos Debenturistas em forma de aviso na forma prevista nesta Escritura.</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r>
        <w:t>O agente fiduciário substituto exercerá suas funções a partir da data em que for celebrado o correspondente aditamento a esta Escritura, inclusive, até sua efetiva substituição ou até que todas as obrigações contempladas na presente Escritura sejam cumpridas.</w:t>
      </w:r>
    </w:p>
    <w:p>
      <w:pPr>
        <w:pStyle w:val="PargrafodaLista"/>
        <w:spacing w:line="320" w:lineRule="exact"/>
      </w:pPr>
    </w:p>
    <w:p>
      <w:pPr>
        <w:pStyle w:val="PargrafodaLista"/>
        <w:widowControl w:val="0"/>
        <w:numPr>
          <w:ilvl w:val="1"/>
          <w:numId w:val="25"/>
        </w:numPr>
        <w:tabs>
          <w:tab w:val="left" w:pos="1418"/>
        </w:tabs>
        <w:spacing w:line="320" w:lineRule="exact"/>
        <w:ind w:left="0" w:firstLine="0"/>
        <w:contextualSpacing/>
        <w:jc w:val="both"/>
      </w:pPr>
      <w:r>
        <w:t>Aplicam-se às hipóteses de substituição do Agente Fiduciário as normas e preceitos a este respeito promulgados por atos da CVM.</w:t>
      </w:r>
    </w:p>
    <w:p>
      <w:pPr>
        <w:pStyle w:val="PargrafodaLista"/>
        <w:spacing w:line="320" w:lineRule="exact"/>
        <w:rPr>
          <w:sz w:val="24"/>
          <w:szCs w:val="24"/>
        </w:rPr>
      </w:pPr>
    </w:p>
    <w:p>
      <w:pPr>
        <w:pStyle w:val="PargrafodaLista"/>
        <w:widowControl w:val="0"/>
        <w:numPr>
          <w:ilvl w:val="1"/>
          <w:numId w:val="25"/>
        </w:numPr>
        <w:tabs>
          <w:tab w:val="left" w:pos="1418"/>
        </w:tabs>
        <w:spacing w:line="320" w:lineRule="exact"/>
        <w:ind w:left="0" w:firstLine="0"/>
        <w:contextualSpacing/>
        <w:jc w:val="both"/>
      </w:pPr>
      <w:bookmarkStart w:id="87" w:name="_Ref496178956"/>
      <w:r>
        <w:lastRenderedPageBreak/>
        <w:t>Pelo desempenho dos deveres e atribuições que lhe competem, nos termos da lei e desta Escritura, o Agente Fiduciário, ou a instituição que vier a substituí</w:t>
      </w:r>
      <w:r>
        <w:noBreakHyphen/>
        <w:t>lo nesta qualidade, receberá remuneração anual no valor de R$ 16.000,00 (dezesseis mil reais), sendo que o primeiro pagamento deverá ser realizado em até 05 (cinco) dias corridos da data de assinatura dos documentos da operação, e as demais parcelas serão devidas nas mesmas datas dos anos subsequentes. Tais parcelas serão devidas até a liquidação integral das Debêntures, caso estas não sejam quitadas nas respectivas datas de vencimento..</w:t>
      </w:r>
      <w:bookmarkEnd w:id="87"/>
    </w:p>
    <w:p>
      <w:pPr>
        <w:pStyle w:val="PargrafodaLista"/>
        <w:spacing w:line="320" w:lineRule="exact"/>
        <w:rPr>
          <w:sz w:val="24"/>
          <w:szCs w:val="24"/>
        </w:rPr>
      </w:pPr>
    </w:p>
    <w:p>
      <w:pPr>
        <w:pStyle w:val="PargrafodaLista"/>
        <w:widowControl w:val="0"/>
        <w:numPr>
          <w:ilvl w:val="2"/>
          <w:numId w:val="25"/>
        </w:numPr>
        <w:tabs>
          <w:tab w:val="left" w:pos="1418"/>
        </w:tabs>
        <w:spacing w:line="320" w:lineRule="exact"/>
        <w:ind w:left="0" w:firstLine="0"/>
        <w:contextualSpacing/>
        <w:jc w:val="both"/>
        <w:rPr>
          <w:sz w:val="24"/>
          <w:szCs w:val="24"/>
        </w:rPr>
      </w:pPr>
      <w: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 (ii) execução das garantia; (iii) participação em reuniões formais ou virtuais com a Emissora e/ou com Debenturistas;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(ii) prazos de pagamento e (iii) condições relacionadas ao vencimento antecipado. Os eventos relacionados a amortização das Debêntures não são considerados reestruturação das Debêntures.</w:t>
      </w:r>
    </w:p>
    <w:p>
      <w:pPr>
        <w:pStyle w:val="PargrafodaLista"/>
        <w:spacing w:line="320" w:lineRule="exact"/>
        <w:rPr>
          <w:sz w:val="24"/>
          <w:szCs w:val="24"/>
        </w:rPr>
      </w:pPr>
    </w:p>
    <w:p>
      <w:pPr>
        <w:pStyle w:val="PargrafodaLista"/>
        <w:widowControl w:val="0"/>
        <w:numPr>
          <w:ilvl w:val="2"/>
          <w:numId w:val="25"/>
        </w:numPr>
        <w:tabs>
          <w:tab w:val="left" w:pos="1418"/>
        </w:tabs>
        <w:spacing w:line="320" w:lineRule="exact"/>
        <w:ind w:left="0" w:firstLine="0"/>
        <w:contextualSpacing/>
        <w:jc w:val="both"/>
      </w:pPr>
      <w:r>
        <w:t xml:space="preserve">No caso de celebração de aditamentos a escritura de emissão bem como nas horas externas ao escritório da Agente Fiduciário, serão cobradas, adicionalmente, o valor de </w:t>
      </w:r>
      <w:r>
        <w:rPr>
          <w:bCs/>
        </w:rPr>
        <w:t>R$ 500,00 (quinhentos reais)</w:t>
      </w:r>
      <w:r>
        <w:t xml:space="preserve"> por hora-homem de trabalho dedicado a tais alterações/serviços.</w:t>
      </w:r>
    </w:p>
    <w:p>
      <w:pPr>
        <w:pStyle w:val="PargrafodaLista"/>
      </w:pPr>
    </w:p>
    <w:p>
      <w:pPr>
        <w:pStyle w:val="PargrafodaLista"/>
        <w:widowControl w:val="0"/>
        <w:numPr>
          <w:ilvl w:val="2"/>
          <w:numId w:val="25"/>
        </w:numPr>
        <w:tabs>
          <w:tab w:val="left" w:pos="1418"/>
        </w:tabs>
        <w:spacing w:line="320" w:lineRule="exact"/>
        <w:ind w:left="0" w:firstLine="0"/>
        <w:contextualSpacing/>
        <w:jc w:val="both"/>
      </w:pPr>
      <w:r>
        <w:t>Em caso de mora no pagamento de qualquer quantia devida em decorrência da remuneração do Agente Fiduciário, os débitos em atraso ficarão sujeitos a juros de mora de 1% (um por cento) ao mês e multa de 2% (dois por cento).</w:t>
      </w:r>
    </w:p>
    <w:p>
      <w:pPr>
        <w:pStyle w:val="PargrafodaLista"/>
      </w:pPr>
    </w:p>
    <w:p>
      <w:pPr>
        <w:pStyle w:val="PargrafodaLista"/>
        <w:widowControl w:val="0"/>
        <w:numPr>
          <w:ilvl w:val="2"/>
          <w:numId w:val="25"/>
        </w:numPr>
        <w:tabs>
          <w:tab w:val="left" w:pos="1418"/>
        </w:tabs>
        <w:spacing w:line="320" w:lineRule="exact"/>
        <w:ind w:left="0" w:firstLine="0"/>
        <w:contextualSpacing/>
        <w:jc w:val="both"/>
      </w:pPr>
      <w:r>
        <w:t>Os impostos incidentes sobre a remuneração serão acrescidos às parcelas mencionadas acima nas datas de pagamento. Além disso, todos os valores mencionados acima serão atualizados pelo IGP-M, sempre na menor periodicidade permitida em lei, a partir da data de assinatura da presente Escritura.</w:t>
      </w:r>
    </w:p>
    <w:p>
      <w:pPr>
        <w:pStyle w:val="PargrafodaLista"/>
        <w:spacing w:line="320" w:lineRule="exact"/>
        <w:rPr>
          <w:sz w:val="24"/>
          <w:szCs w:val="24"/>
        </w:rPr>
      </w:pPr>
    </w:p>
    <w:p>
      <w:pPr>
        <w:pStyle w:val="PargrafodaLista"/>
        <w:spacing w:line="320" w:lineRule="exact"/>
        <w:rPr>
          <w:sz w:val="24"/>
          <w:szCs w:val="24"/>
        </w:rPr>
      </w:pPr>
    </w:p>
    <w:p>
      <w:pPr>
        <w:pStyle w:val="PargrafodaLista"/>
        <w:widowControl w:val="0"/>
        <w:numPr>
          <w:ilvl w:val="2"/>
          <w:numId w:val="25"/>
        </w:numPr>
        <w:tabs>
          <w:tab w:val="left" w:pos="1418"/>
        </w:tabs>
        <w:spacing w:line="320" w:lineRule="exact"/>
        <w:ind w:left="0" w:firstLine="0"/>
        <w:contextualSpacing/>
        <w:jc w:val="both"/>
      </w:pPr>
      <w:r>
        <w:t xml:space="preserve">A remuneração não inclui as despesas com viagens, estadias, transporte e publicação necessários ao exercício de nossa função, durante ou após a implantação do serviço, a serem cobertas pela Emissora, após prévia aprovação. Não estão incluídas igualmente, e serão arcadas pela Emissora, despesas com especialistas, tais como auditoria nas garantias concedidas ao </w:t>
      </w:r>
      <w:r>
        <w:lastRenderedPageBreak/>
        <w:t>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pPr>
        <w:pStyle w:val="PargrafodaLista"/>
        <w:spacing w:line="320" w:lineRule="exact"/>
        <w:rPr>
          <w:sz w:val="24"/>
          <w:szCs w:val="24"/>
        </w:rPr>
      </w:pPr>
    </w:p>
    <w:p>
      <w:pPr>
        <w:pStyle w:val="PargrafodaLista"/>
        <w:widowControl w:val="0"/>
        <w:numPr>
          <w:ilvl w:val="2"/>
          <w:numId w:val="25"/>
        </w:numPr>
        <w:tabs>
          <w:tab w:val="left" w:pos="1418"/>
        </w:tabs>
        <w:spacing w:line="320" w:lineRule="exact"/>
        <w:ind w:left="0" w:firstLine="0"/>
        <w:contextualSpacing/>
        <w:jc w:val="both"/>
      </w:pPr>
      <w:bookmarkStart w:id="88" w:name="_Ref496178969"/>
      <w: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bookmarkEnd w:id="88"/>
    <w:p>
      <w:pPr>
        <w:pStyle w:val="PargrafodaLista"/>
        <w:widowControl w:val="0"/>
        <w:spacing w:line="320" w:lineRule="exact"/>
        <w:ind w:left="567"/>
        <w:rPr>
          <w:sz w:val="24"/>
          <w:szCs w:val="24"/>
        </w:rPr>
      </w:pPr>
    </w:p>
    <w:p>
      <w:pPr>
        <w:pStyle w:val="PargrafodaLista"/>
        <w:widowControl w:val="0"/>
        <w:numPr>
          <w:ilvl w:val="1"/>
          <w:numId w:val="25"/>
        </w:numPr>
        <w:tabs>
          <w:tab w:val="left" w:pos="1418"/>
        </w:tabs>
        <w:spacing w:line="320" w:lineRule="exact"/>
        <w:ind w:left="0" w:firstLine="0"/>
        <w:contextualSpacing/>
        <w:jc w:val="both"/>
      </w:pPr>
      <w:bookmarkStart w:id="89" w:name="_Ref164589409"/>
      <w:bookmarkEnd w:id="86"/>
      <w:r>
        <w:t>Além de outros previstos em lei, na regulamentação da CVM e nesta Escritura, constituem deveres e atribuições do Agente Fiduciário:</w:t>
      </w:r>
      <w:bookmarkEnd w:id="89"/>
    </w:p>
    <w:p>
      <w:pPr>
        <w:pStyle w:val="PargrafodaLista"/>
        <w:widowControl w:val="0"/>
        <w:spacing w:line="320" w:lineRule="exact"/>
        <w:ind w:left="567"/>
        <w:rPr>
          <w:sz w:val="24"/>
          <w:szCs w:val="24"/>
        </w:rPr>
      </w:pPr>
    </w:p>
    <w:p>
      <w:pPr>
        <w:pStyle w:val="PargrafodaLista"/>
        <w:widowControl w:val="0"/>
        <w:numPr>
          <w:ilvl w:val="0"/>
          <w:numId w:val="21"/>
        </w:numPr>
        <w:tabs>
          <w:tab w:val="left" w:pos="1276"/>
        </w:tabs>
        <w:spacing w:line="320" w:lineRule="exact"/>
        <w:ind w:left="1276" w:hanging="1276"/>
        <w:contextualSpacing/>
        <w:jc w:val="both"/>
      </w:pPr>
      <w:bookmarkStart w:id="90" w:name="_Ref130286449"/>
      <w:r>
        <w:t>exercer suas atividades com boa fé, transparência e lealdade para com os Debenturistas;</w:t>
      </w:r>
    </w:p>
    <w:p>
      <w:pPr>
        <w:pStyle w:val="PargrafodaLista"/>
        <w:widowControl w:val="0"/>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proteger os direitos e interesses dos Debenturistas, empregando, no exercício da função, o cuidado e a diligência que todo homem ativo e probo costuma empregar na administração dos seus próprios bens;</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renunciar à função na hipótese de superveniência de conflitos de interesse ou de qualquer outra modalidade de inaptidão e realizar a imediata convocação da Assembleia Geral de Debenturistas para deliberar sobre sua substituição;</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conservar em boa guarda toda a escrituração, correspondência e demais papéis relacionados com o exercício de suas funções;</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verificar, no momento de aceitar a função, a veracidade das informações relativas às Garantias e a consistência das demais informações contidas nesta Escritura, diligenciando para que sejam sanadas as omissões, falhas ou defeitos de que tenha conhecimento, conforme já verificado em declaração prestada acima;</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promover, caso a Emissora não o faça, às expensas da Emissora, a inscrição desta Escritura e respectivos aditamentos na Junta Comercial, hipótese em que a Emissora deverá fornecer as informações e documentos necessários à referida inscrição, sem prejuízo da ocorrência do descumprimento de obrigação não pecuniária pela Emissora;</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acompanhar a observância da periodicidade na prestação das informações obrigatórias, alertando os Debenturistas em seu relatório anual, acerca de eventuais inconsistências ou omissões de que tenha conhecimento;</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emitir parecer sobre a suficiência das informações constantes das propostas de modificações nas condições das Debêntures;</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verificar (a) a regularidade da constituição das Garantias, mediante verificação do registro da Cessão Fiduciária nos competentes Cartórios de Registro de Títulos e Documentos, e da Escritura de Alienação de Imóveis nos competentes Cartórios de Registro de Imóveis; (b) a exequibilidade dos contratos das Garantias; e (c) o valor dos bens dados em garantia, observando a manutenção de sua suficiência e exequibilidade, na forma e de acordo com os limites previstos nos Documentos da Operação;</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examinar eventuais propostas de substituição das Garantias, manifestando sua opinião a respeito do assunto de forma justificada;</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intimar a Emissora a reforçar as Garantias, na hipótese de sua deterioração ou depreciação;</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bookmarkStart w:id="91" w:name="_Ref496178701"/>
      <w:r>
        <w:t>solicitar, quando julgar necessário ao fiel desempenho de suas funções, e às expensas da Emissora, certidões atualizadas dos distribuidores cíveis, das Varas da Fazenda Pública, Cartórios de Protesto, Justiça do Trabalho, das Varas da Justiça Federal e da Procuradoria da Fazenda Pública do Foro da sede da Emissora, bem como das demais comarcas em que a Emissora exerça suas atividades;</w:t>
      </w:r>
      <w:bookmarkEnd w:id="91"/>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solicitar, quando considerar necessário, auditoria externa extraordinária na Emissora;</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bookmarkStart w:id="92" w:name="_Ref496178613"/>
      <w:r>
        <w:t>convocar, quando necessário, a Assembleia Geral de Debenturistas (conforme definida abaixo), mediante anúncio publicado, pelo menos 3 (três) vezes, nos órgãos de imprensa previstos nesta Escritura;</w:t>
      </w:r>
      <w:bookmarkEnd w:id="92"/>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comparecer à Assembleia Geral de Debenturistas (conforme definida abaixo) a fim de prestar as informações que lhe forem solicitadas;</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manter atualizada a relação dos Debenturistas;</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fiscalizar o cumprimento pela Emissora, das cláusulas constantes desta Escritura, especialmente em relação às obrigações de fazer e não fazer;</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comunicar aos Debenturistas qualquer inadimplemento, pela Emissora, de obrigações financeiras assumidas nesta Escritura, incluindo obrigações relativas à Cessão Fiduciária, bem como qualquer outra disposição que vise proteger os interesses dos Debenturistas, indicando as consequências e as providências que pretende tomar a respeito, observado o disposto no artigo 16, II da Instrução CVM 583;</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bookmarkStart w:id="93" w:name="_Ref496179050"/>
      <w:r>
        <w:t>elaborar relatórios destinados aos Debenturistas, nos termos da alínea (b) do parágrafo 1º do artigo 68 da Lei das Sociedades por Ações e da Instrução CVM 583, relativos aos exercícios sociais da Emissora, os quais deverão conter, ao menos, as seguintes informações:</w:t>
      </w:r>
      <w:bookmarkEnd w:id="93"/>
    </w:p>
    <w:p>
      <w:pPr>
        <w:pStyle w:val="PargrafodaLista"/>
        <w:tabs>
          <w:tab w:val="left" w:pos="1560"/>
        </w:tabs>
        <w:spacing w:line="320" w:lineRule="exact"/>
        <w:ind w:left="1418"/>
      </w:pPr>
    </w:p>
    <w:bookmarkEnd w:id="90"/>
    <w:p>
      <w:pPr>
        <w:pStyle w:val="PargrafodaLista"/>
        <w:widowControl w:val="0"/>
        <w:numPr>
          <w:ilvl w:val="1"/>
          <w:numId w:val="24"/>
        </w:numPr>
        <w:tabs>
          <w:tab w:val="left" w:pos="1560"/>
        </w:tabs>
        <w:spacing w:line="320" w:lineRule="exact"/>
        <w:ind w:left="1418" w:firstLine="0"/>
        <w:contextualSpacing/>
        <w:jc w:val="both"/>
      </w:pPr>
      <w:r>
        <w:t>cumprimento pela Emissora de suas obrigações de prestação de informações periódicas indicando eventual omissão de que tenha conhecimento;</w:t>
      </w:r>
    </w:p>
    <w:p>
      <w:pPr>
        <w:pStyle w:val="PargrafodaLista"/>
        <w:widowControl w:val="0"/>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r>
        <w:t>alterações estatutárias da Emissora ocorridas no período que tenham efeitos relevantes para os Debenturistas;</w:t>
      </w:r>
    </w:p>
    <w:p>
      <w:pPr>
        <w:pStyle w:val="PargrafodaLista"/>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r>
        <w:t>comentários sobre as demonstrações financeiras da Emissora, com enfoque nos indicadores econômicos, financeiros e de estrutura de capital da Emissora;</w:t>
      </w:r>
    </w:p>
    <w:p>
      <w:pPr>
        <w:pStyle w:val="PargrafodaLista"/>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r>
        <w:t>posição da distribuição ou colocação das Debêntures no mercado;</w:t>
      </w:r>
    </w:p>
    <w:p>
      <w:pPr>
        <w:pStyle w:val="PargrafodaLista"/>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r>
        <w:t>resgate, amortização, repactuação e pagamentos da Remuneração realizados no período, bem como aquisições e vendas de Debêntures efetuadas pela Emissora;</w:t>
      </w:r>
    </w:p>
    <w:p>
      <w:pPr>
        <w:pStyle w:val="PargrafodaLista"/>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r>
        <w:t>acompanhamento da destinação dos recursos captados através das Debêntures, de acordo com os dados obtidos junto aos administradores da Emissora;</w:t>
      </w:r>
    </w:p>
    <w:p>
      <w:pPr>
        <w:pStyle w:val="PargrafodaLista"/>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r>
        <w:t>relação dos bens e valores entregues à sua administração;</w:t>
      </w:r>
    </w:p>
    <w:p>
      <w:pPr>
        <w:pStyle w:val="PargrafodaLista"/>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r>
        <w:t>cumprimento das demais obrigações assumidas pela Emissora, conforme informações públicas disponíveis e/ou obtidas junto aos administradores da Emissora;</w:t>
      </w:r>
    </w:p>
    <w:p>
      <w:pPr>
        <w:pStyle w:val="PargrafodaLista"/>
        <w:tabs>
          <w:tab w:val="left" w:pos="1560"/>
        </w:tabs>
        <w:spacing w:line="320" w:lineRule="exact"/>
        <w:ind w:left="1418"/>
      </w:pPr>
    </w:p>
    <w:p>
      <w:pPr>
        <w:pStyle w:val="PargrafodaLista"/>
        <w:numPr>
          <w:ilvl w:val="1"/>
          <w:numId w:val="24"/>
        </w:numPr>
        <w:tabs>
          <w:tab w:val="left" w:pos="1560"/>
        </w:tabs>
        <w:spacing w:line="320" w:lineRule="exact"/>
        <w:ind w:left="1418" w:firstLine="0"/>
        <w:contextualSpacing/>
        <w:jc w:val="both"/>
      </w:pPr>
      <w:r>
        <w:t>existência de outras emissões de debêntures, públicas ou privadas, feitas pela própria Emissora, por sociedade coligada, controlada, controladora ou integrante do mesmo grupo da Emissora em que tenha atuado como agente fiduciário, bem como os seguintes dados sobre tais emissões: (1) denominação da companhia ofertante; (2) valor da emissão; (3) quantidade de debêntures emitidas; (4) espécie e garantias envolvidas; (5) prazo de vencimento das debêntures e taxa de juros; e (6) inadimplemento no período; e</w:t>
      </w:r>
    </w:p>
    <w:p>
      <w:pPr>
        <w:pStyle w:val="PargrafodaLista"/>
        <w:tabs>
          <w:tab w:val="left" w:pos="1560"/>
        </w:tabs>
        <w:spacing w:line="320" w:lineRule="exact"/>
        <w:ind w:left="1418"/>
      </w:pPr>
    </w:p>
    <w:p>
      <w:pPr>
        <w:pStyle w:val="PargrafodaLista"/>
        <w:widowControl w:val="0"/>
        <w:numPr>
          <w:ilvl w:val="1"/>
          <w:numId w:val="24"/>
        </w:numPr>
        <w:tabs>
          <w:tab w:val="left" w:pos="1560"/>
        </w:tabs>
        <w:spacing w:line="320" w:lineRule="exact"/>
        <w:ind w:left="1418" w:firstLine="0"/>
        <w:contextualSpacing/>
        <w:jc w:val="both"/>
      </w:pPr>
      <w:bookmarkStart w:id="94" w:name="_Ref496179057"/>
      <w:bookmarkStart w:id="95" w:name="_Ref130286453"/>
      <w:r>
        <w:t>declaração sobre a inexistência de situações de conflito de interesse que impeçam o Agente Fiduciário de continuar a exercer sua função no âmbito da Emissão.</w:t>
      </w:r>
      <w:bookmarkEnd w:id="94"/>
    </w:p>
    <w:p>
      <w:pPr>
        <w:pStyle w:val="PargrafodaLista"/>
        <w:tabs>
          <w:tab w:val="left" w:pos="1560"/>
        </w:tabs>
        <w:spacing w:line="320" w:lineRule="exact"/>
        <w:ind w:left="1418"/>
      </w:pPr>
    </w:p>
    <w:p>
      <w:pPr>
        <w:pStyle w:val="PargrafodaLista"/>
        <w:widowControl w:val="0"/>
        <w:numPr>
          <w:ilvl w:val="0"/>
          <w:numId w:val="21"/>
        </w:numPr>
        <w:tabs>
          <w:tab w:val="left" w:pos="1276"/>
        </w:tabs>
        <w:spacing w:line="320" w:lineRule="exact"/>
        <w:ind w:left="1276" w:hanging="1276"/>
        <w:contextualSpacing/>
        <w:jc w:val="both"/>
      </w:pPr>
      <w:r>
        <w:t xml:space="preserve">disponibilizar o relatório a que se refere a alínea anterior até o dia 30 de abril de cada ano, nos termos do artigo 15 da Instrução CVM 583. </w:t>
      </w:r>
    </w:p>
    <w:p>
      <w:pPr>
        <w:pStyle w:val="PargrafodaLista"/>
        <w:widowControl w:val="0"/>
        <w:tabs>
          <w:tab w:val="left" w:pos="1276"/>
        </w:tabs>
        <w:spacing w:line="320" w:lineRule="exact"/>
        <w:ind w:left="1276" w:hanging="1276"/>
      </w:pPr>
    </w:p>
    <w:bookmarkEnd w:id="95"/>
    <w:p>
      <w:pPr>
        <w:pStyle w:val="PargrafodaLista"/>
        <w:widowControl w:val="0"/>
        <w:numPr>
          <w:ilvl w:val="0"/>
          <w:numId w:val="21"/>
        </w:numPr>
        <w:tabs>
          <w:tab w:val="left" w:pos="1276"/>
        </w:tabs>
        <w:spacing w:line="320" w:lineRule="exact"/>
        <w:ind w:left="1276" w:hanging="1276"/>
        <w:contextualSpacing/>
        <w:jc w:val="both"/>
      </w:pPr>
      <w:r>
        <w:t>manter atualizada a relação dos Debenturistas e seus endereços, mediante, inclusive, solicitação de informações junto à Emissora, o Escriturador, ao Banco Liquidante e à B3, sendo que, para fins de atendimento ao disposto nesta alínea, a Emissora e os titulares de Debêntures, mediante subscrição e integralização das Debêntures, expressamente autorizam, desde já, o Escriturador, o Banco Liquidante e a B3 a atenderem quaisquer solicitações feitas pelo Agente Fiduciário, inclusive referente à divulgação, a qualquer momento, da posição de Debêntures, e seus respectivos titulares;</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fiscalizar o cumprimento das cláusulas constantes desta Escritura e todas aquelas impositivas de obrigações de fazer e não fazer;</w:t>
      </w:r>
    </w:p>
    <w:p>
      <w:pPr>
        <w:pStyle w:val="PargrafodaLista"/>
        <w:widowControl w:val="0"/>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 xml:space="preserve">notificar os Debenturistas, se possível individualmente, no prazo máximo de 10 (dez) dias corridos da ciência da ocorrência do evento, a respeito de qualquer inadimplemento pela Emissora de obrigações assumidas nesta Escritura, indicando o local em que fornecerá aos interessados maiores informações. Comunicação de igual teor deverá ser enviada à CVM e à B3; </w:t>
      </w:r>
    </w:p>
    <w:p>
      <w:pPr>
        <w:pStyle w:val="PargrafodaLista"/>
        <w:widowControl w:val="0"/>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 xml:space="preserve">disponibilizar o Valor Unitário das Debêntures, calculado pela Emissora, aos investidores e aos participantes do mercado, através de sua central de atendimento e/ou de seu </w:t>
      </w:r>
      <w:r>
        <w:rPr>
          <w:i/>
        </w:rPr>
        <w:t>website</w:t>
      </w:r>
      <w:r>
        <w:t>; e</w:t>
      </w:r>
    </w:p>
    <w:p>
      <w:pPr>
        <w:pStyle w:val="PargrafodaLista"/>
        <w:tabs>
          <w:tab w:val="left" w:pos="1276"/>
        </w:tabs>
        <w:spacing w:line="320" w:lineRule="exact"/>
        <w:ind w:left="1276" w:hanging="1276"/>
      </w:pPr>
    </w:p>
    <w:p>
      <w:pPr>
        <w:pStyle w:val="PargrafodaLista"/>
        <w:widowControl w:val="0"/>
        <w:numPr>
          <w:ilvl w:val="0"/>
          <w:numId w:val="21"/>
        </w:numPr>
        <w:tabs>
          <w:tab w:val="left" w:pos="1276"/>
        </w:tabs>
        <w:spacing w:line="320" w:lineRule="exact"/>
        <w:ind w:left="1276" w:hanging="1276"/>
        <w:contextualSpacing/>
        <w:jc w:val="both"/>
      </w:pPr>
      <w:r>
        <w:t>divulgar as informações referidas na alínea “</w:t>
      </w:r>
      <w:r>
        <w:fldChar w:fldCharType="begin"/>
      </w:r>
      <w:r>
        <w:instrText xml:space="preserve"> REF _Ref496179057 \r \h  \* MERGEFORMAT </w:instrText>
      </w:r>
      <w:r>
        <w:fldChar w:fldCharType="separate"/>
      </w:r>
      <w:r>
        <w:t>(j)</w:t>
      </w:r>
      <w:r>
        <w:fldChar w:fldCharType="end"/>
      </w:r>
      <w:r>
        <w:t xml:space="preserve">” do item </w:t>
      </w:r>
      <w:r>
        <w:fldChar w:fldCharType="begin"/>
      </w:r>
      <w:r>
        <w:instrText xml:space="preserve"> REF _Ref496179050 \r \h  \* MERGEFORMAT </w:instrText>
      </w:r>
      <w:r>
        <w:fldChar w:fldCharType="separate"/>
      </w:r>
      <w:r>
        <w:t>(xix)</w:t>
      </w:r>
      <w:r>
        <w:fldChar w:fldCharType="end"/>
      </w:r>
      <w:r>
        <w:t xml:space="preserve"> acima em sua página na rede mundial de computadores tão logo delas tenha conhecimento.</w:t>
      </w:r>
    </w:p>
    <w:p>
      <w:pPr>
        <w:pStyle w:val="PargrafodaLista"/>
        <w:spacing w:line="320" w:lineRule="exact"/>
        <w:rPr>
          <w:sz w:val="24"/>
          <w:szCs w:val="24"/>
        </w:rPr>
      </w:pPr>
    </w:p>
    <w:p>
      <w:pPr>
        <w:pStyle w:val="PargrafodaLista"/>
        <w:widowControl w:val="0"/>
        <w:numPr>
          <w:ilvl w:val="2"/>
          <w:numId w:val="25"/>
        </w:numPr>
        <w:tabs>
          <w:tab w:val="left" w:pos="1418"/>
        </w:tabs>
        <w:spacing w:line="320" w:lineRule="exact"/>
        <w:ind w:left="0" w:firstLine="0"/>
        <w:contextualSpacing/>
        <w:jc w:val="both"/>
      </w:pPr>
      <w:r>
        <w:t>O Agente Fiduciário não será obrigado a efetuar nenhuma verificação de veracidade nas deliberações societárias e em atos da administração da Emissora ou ainda em qualquer documento ou registro que considere autêntico e que tenha sido, ou seja, encaminhado pela Emissora, ou por seus colaboradores, para se basear nas suas decisões. Não será ainda, sob qualquer hipótese, responsável pela elaboração destes documentos, que permanecerão sob obrigação legal e regulamentar da Emissora elaborá-los, nos termos da legislação aplicável.</w:t>
      </w:r>
    </w:p>
    <w:p>
      <w:pPr>
        <w:pStyle w:val="PargrafodaLista"/>
        <w:widowControl w:val="0"/>
        <w:spacing w:line="320" w:lineRule="exact"/>
        <w:ind w:left="567"/>
        <w:rPr>
          <w:sz w:val="24"/>
          <w:szCs w:val="24"/>
        </w:rPr>
      </w:pPr>
    </w:p>
    <w:p>
      <w:pPr>
        <w:pStyle w:val="PargrafodaLista"/>
        <w:widowControl w:val="0"/>
        <w:numPr>
          <w:ilvl w:val="2"/>
          <w:numId w:val="25"/>
        </w:numPr>
        <w:tabs>
          <w:tab w:val="left" w:pos="1418"/>
        </w:tabs>
        <w:spacing w:line="320" w:lineRule="exact"/>
        <w:ind w:left="0" w:firstLine="0"/>
        <w:contextualSpacing/>
        <w:jc w:val="both"/>
      </w:pPr>
      <w:r>
        <w:t>Os atos ou manifestações por parte do Agente Fiduciário, que criarem responsabilidade para os Debenturistas e/ou exonerarem terceiros de obrigações para com eles, bem como aqueles relacionados ao devido cumprimento das obrigações assumidas nesta Escritura, somente serão válidos quando previamente assim deliberado pelos Debenturistas reunidos em Assembleia Geral.</w:t>
      </w:r>
    </w:p>
    <w:p>
      <w:pPr>
        <w:pStyle w:val="PargrafodaLista"/>
        <w:tabs>
          <w:tab w:val="left" w:pos="1418"/>
        </w:tabs>
        <w:spacing w:line="320" w:lineRule="exact"/>
        <w:ind w:left="0"/>
      </w:pPr>
    </w:p>
    <w:p>
      <w:pPr>
        <w:pStyle w:val="PargrafodaLista"/>
        <w:widowControl w:val="0"/>
        <w:numPr>
          <w:ilvl w:val="1"/>
          <w:numId w:val="25"/>
        </w:numPr>
        <w:tabs>
          <w:tab w:val="left" w:pos="1418"/>
        </w:tabs>
        <w:spacing w:line="320" w:lineRule="exact"/>
        <w:ind w:left="0" w:firstLine="0"/>
        <w:contextualSpacing/>
        <w:jc w:val="both"/>
      </w:pPr>
      <w:r>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conforme alterada e dos artigos aplicáveis da Lei das Sociedades por Ações.</w:t>
      </w:r>
    </w:p>
    <w:p>
      <w:pPr>
        <w:pStyle w:val="PargrafodaLista"/>
        <w:widowControl w:val="0"/>
        <w:tabs>
          <w:tab w:val="left" w:pos="1418"/>
        </w:tabs>
        <w:spacing w:line="320" w:lineRule="exact"/>
        <w:ind w:left="0"/>
      </w:pPr>
    </w:p>
    <w:p>
      <w:pPr>
        <w:pStyle w:val="PargrafodaLista"/>
        <w:widowControl w:val="0"/>
        <w:numPr>
          <w:ilvl w:val="1"/>
          <w:numId w:val="25"/>
        </w:numPr>
        <w:tabs>
          <w:tab w:val="left" w:pos="1418"/>
        </w:tabs>
        <w:spacing w:line="320" w:lineRule="exact"/>
        <w:ind w:left="0" w:firstLine="0"/>
        <w:contextualSpacing/>
        <w:jc w:val="both"/>
      </w:pPr>
      <w:bookmarkStart w:id="96" w:name="_Ref130283640"/>
      <w:r>
        <w:t>O Agente Fiduciário usará de quaisquer procedimentos judiciais ou extrajudiciais contra a Emissora para a proteção e defesa dos interesses da comunhão dos Debenturistas na realização de seus créditos, devendo, em caso de inadimplemento da Emissora:</w:t>
      </w:r>
      <w:bookmarkEnd w:id="96"/>
    </w:p>
    <w:p>
      <w:pPr>
        <w:pStyle w:val="PargrafodaLista"/>
        <w:spacing w:line="320" w:lineRule="exact"/>
      </w:pPr>
    </w:p>
    <w:p>
      <w:pPr>
        <w:pStyle w:val="PargrafodaLista"/>
        <w:widowControl w:val="0"/>
        <w:numPr>
          <w:ilvl w:val="0"/>
          <w:numId w:val="22"/>
        </w:numPr>
        <w:tabs>
          <w:tab w:val="left" w:pos="1276"/>
        </w:tabs>
        <w:spacing w:line="320" w:lineRule="exact"/>
        <w:ind w:left="1276" w:hanging="1276"/>
        <w:contextualSpacing/>
        <w:jc w:val="both"/>
      </w:pPr>
      <w:bookmarkStart w:id="97" w:name="_Ref130286637"/>
      <w:bookmarkStart w:id="98" w:name="_Ref130286653"/>
      <w:r>
        <w:t xml:space="preserve">declarar antecipadamente vencidas as Debêntures e cobrar seu principal e acessórios, observadas as condições da presente Escritura, em especial a aprovação, ratificação ou possível sustação do vencimento antecipado pela Assembleia Geral de </w:t>
      </w:r>
      <w:r>
        <w:lastRenderedPageBreak/>
        <w:t>Debenturistas;</w:t>
      </w:r>
      <w:bookmarkEnd w:id="97"/>
    </w:p>
    <w:p>
      <w:pPr>
        <w:pStyle w:val="PargrafodaLista"/>
        <w:widowControl w:val="0"/>
        <w:tabs>
          <w:tab w:val="left" w:pos="1276"/>
        </w:tabs>
        <w:spacing w:line="320" w:lineRule="exact"/>
        <w:ind w:left="1276" w:hanging="1276"/>
      </w:pPr>
      <w:r>
        <w:t xml:space="preserve"> </w:t>
      </w:r>
    </w:p>
    <w:p>
      <w:pPr>
        <w:pStyle w:val="PargrafodaLista"/>
        <w:widowControl w:val="0"/>
        <w:numPr>
          <w:ilvl w:val="0"/>
          <w:numId w:val="22"/>
        </w:numPr>
        <w:tabs>
          <w:tab w:val="left" w:pos="1276"/>
        </w:tabs>
        <w:spacing w:line="320" w:lineRule="exact"/>
        <w:ind w:left="1276" w:hanging="1276"/>
        <w:contextualSpacing/>
        <w:jc w:val="both"/>
      </w:pPr>
      <w:bookmarkStart w:id="99" w:name="_Ref203216699"/>
      <w:r>
        <w:t>executar as garantias relacionadas à Cessão Fiduciária, aplicando o produto no pagamento, integral ou proporcional, das Debêntures;</w:t>
      </w:r>
      <w:bookmarkEnd w:id="99"/>
    </w:p>
    <w:p>
      <w:pPr>
        <w:pStyle w:val="PargrafodaLista"/>
        <w:tabs>
          <w:tab w:val="left" w:pos="1276"/>
        </w:tabs>
        <w:spacing w:line="320" w:lineRule="exact"/>
        <w:ind w:left="1276" w:hanging="1276"/>
      </w:pPr>
    </w:p>
    <w:p>
      <w:pPr>
        <w:pStyle w:val="PargrafodaLista"/>
        <w:widowControl w:val="0"/>
        <w:numPr>
          <w:ilvl w:val="0"/>
          <w:numId w:val="22"/>
        </w:numPr>
        <w:tabs>
          <w:tab w:val="left" w:pos="1276"/>
        </w:tabs>
        <w:spacing w:line="320" w:lineRule="exact"/>
        <w:ind w:left="1276" w:hanging="1276"/>
        <w:contextualSpacing/>
        <w:jc w:val="both"/>
      </w:pPr>
      <w:bookmarkStart w:id="100" w:name="_Ref130286640"/>
      <w:r>
        <w:t>requerer a falência e/ou insolvência civil da Emissora;</w:t>
      </w:r>
      <w:bookmarkEnd w:id="100"/>
    </w:p>
    <w:p>
      <w:pPr>
        <w:pStyle w:val="PargrafodaLista"/>
        <w:tabs>
          <w:tab w:val="left" w:pos="1276"/>
        </w:tabs>
        <w:spacing w:line="320" w:lineRule="exact"/>
        <w:ind w:left="1276" w:hanging="1276"/>
      </w:pPr>
    </w:p>
    <w:p>
      <w:pPr>
        <w:pStyle w:val="PargrafodaLista"/>
        <w:widowControl w:val="0"/>
        <w:numPr>
          <w:ilvl w:val="0"/>
          <w:numId w:val="22"/>
        </w:numPr>
        <w:tabs>
          <w:tab w:val="left" w:pos="1276"/>
        </w:tabs>
        <w:spacing w:line="320" w:lineRule="exact"/>
        <w:ind w:left="1276" w:hanging="1276"/>
        <w:contextualSpacing/>
        <w:jc w:val="both"/>
      </w:pPr>
      <w:bookmarkStart w:id="101" w:name="_Ref130286643"/>
      <w:r>
        <w:t>tomar quaisquer outras providências necessárias para que os Debenturistas realizem seus créditos; e</w:t>
      </w:r>
      <w:bookmarkEnd w:id="101"/>
    </w:p>
    <w:p>
      <w:pPr>
        <w:pStyle w:val="PargrafodaLista"/>
        <w:tabs>
          <w:tab w:val="left" w:pos="1276"/>
        </w:tabs>
        <w:spacing w:line="320" w:lineRule="exact"/>
        <w:ind w:left="1276" w:hanging="1276"/>
      </w:pPr>
    </w:p>
    <w:p>
      <w:pPr>
        <w:pStyle w:val="PargrafodaLista"/>
        <w:widowControl w:val="0"/>
        <w:numPr>
          <w:ilvl w:val="0"/>
          <w:numId w:val="22"/>
        </w:numPr>
        <w:tabs>
          <w:tab w:val="left" w:pos="1276"/>
        </w:tabs>
        <w:spacing w:line="320" w:lineRule="exact"/>
        <w:ind w:left="1276" w:hanging="1276"/>
        <w:contextualSpacing/>
        <w:jc w:val="both"/>
      </w:pPr>
      <w:bookmarkStart w:id="102" w:name="_Ref203216751"/>
      <w:r>
        <w:t>representar os Debenturistas em processo de falência, recuperação judicial ou extrajudicial da Emissora.</w:t>
      </w:r>
      <w:bookmarkEnd w:id="98"/>
      <w:bookmarkEnd w:id="102"/>
    </w:p>
    <w:p>
      <w:pPr>
        <w:pStyle w:val="PargrafodaLista"/>
        <w:spacing w:line="320" w:lineRule="exact"/>
      </w:pPr>
    </w:p>
    <w:p>
      <w:pPr>
        <w:pStyle w:val="PargrafodaLista"/>
        <w:widowControl w:val="0"/>
        <w:numPr>
          <w:ilvl w:val="2"/>
          <w:numId w:val="25"/>
        </w:numPr>
        <w:tabs>
          <w:tab w:val="left" w:pos="1418"/>
        </w:tabs>
        <w:spacing w:line="320" w:lineRule="exact"/>
        <w:ind w:left="0" w:firstLine="0"/>
        <w:contextualSpacing/>
        <w:jc w:val="both"/>
      </w:pPr>
      <w:bookmarkStart w:id="103" w:name="_Ref130283644"/>
      <w:r>
        <w:t xml:space="preserve">O Agente Fiduciário somente se eximirá da responsabilidade pela não adoção das medidas contempladas nas alíneas </w:t>
      </w:r>
      <w:r>
        <w:fldChar w:fldCharType="begin"/>
      </w:r>
      <w:r>
        <w:instrText xml:space="preserve"> REF _Ref130286637 \r \h  \* MERGEFORMAT </w:instrText>
      </w:r>
      <w:r>
        <w:fldChar w:fldCharType="separate"/>
      </w:r>
      <w:r>
        <w:t>(i)</w:t>
      </w:r>
      <w:r>
        <w:fldChar w:fldCharType="end"/>
      </w:r>
      <w:r>
        <w:t xml:space="preserve">, </w:t>
      </w:r>
      <w:r>
        <w:fldChar w:fldCharType="begin"/>
      </w:r>
      <w:r>
        <w:instrText xml:space="preserve"> REF _Ref203216699 \r \h  \* MERGEFORMAT </w:instrText>
      </w:r>
      <w:r>
        <w:fldChar w:fldCharType="separate"/>
      </w:r>
      <w:r>
        <w:t>(ii)</w:t>
      </w:r>
      <w:r>
        <w:fldChar w:fldCharType="end"/>
      </w:r>
      <w:r>
        <w:t xml:space="preserve">, </w:t>
      </w:r>
      <w:r>
        <w:fldChar w:fldCharType="begin"/>
      </w:r>
      <w:r>
        <w:instrText xml:space="preserve"> REF _Ref130286640 \r \h  \* MERGEFORMAT </w:instrText>
      </w:r>
      <w:r>
        <w:fldChar w:fldCharType="separate"/>
      </w:r>
      <w:r>
        <w:t>(iii)</w:t>
      </w:r>
      <w:r>
        <w:fldChar w:fldCharType="end"/>
      </w:r>
      <w:r>
        <w:t xml:space="preserve"> e </w:t>
      </w:r>
      <w:r>
        <w:fldChar w:fldCharType="begin"/>
      </w:r>
      <w:r>
        <w:instrText xml:space="preserve"> REF _Ref130286643 \r \h  \* MERGEFORMAT </w:instrText>
      </w:r>
      <w:r>
        <w:fldChar w:fldCharType="separate"/>
      </w:r>
      <w:r>
        <w:t>(iv)</w:t>
      </w:r>
      <w:r>
        <w:fldChar w:fldCharType="end"/>
      </w:r>
      <w:r>
        <w:t xml:space="preserve"> acima se, convocada Assembleia Geral de Debenturistas, esta assim o autorizar por deliberação da unanimidade das Debêntures em Circulação. Na hipótese prevista na alínea </w:t>
      </w:r>
      <w:r>
        <w:fldChar w:fldCharType="begin"/>
      </w:r>
      <w:r>
        <w:instrText xml:space="preserve"> REF _Ref203216751 \r \h  \* MERGEFORMAT </w:instrText>
      </w:r>
      <w:r>
        <w:fldChar w:fldCharType="separate"/>
      </w:r>
      <w:r>
        <w:t>(v)</w:t>
      </w:r>
      <w:r>
        <w:fldChar w:fldCharType="end"/>
      </w:r>
      <w:r>
        <w:t>, o Agente Fiduciário se eximirá da responsabilidade de que trata a Cláusula 9.16 acima se, convocada Assembleia Geral de Debenturistas, esta assim o autorizar por deliberação de Debenturistas que representem, no mínimo, a maioria das Debêntures em Circulação.</w:t>
      </w:r>
      <w:bookmarkEnd w:id="103"/>
    </w:p>
    <w:p>
      <w:pPr>
        <w:pStyle w:val="PargrafodaLista"/>
        <w:widowControl w:val="0"/>
        <w:spacing w:line="320" w:lineRule="exact"/>
        <w:ind w:left="567"/>
        <w:rPr>
          <w:sz w:val="24"/>
          <w:szCs w:val="24"/>
        </w:rPr>
      </w:pPr>
      <w:r>
        <w:rPr>
          <w:sz w:val="24"/>
          <w:szCs w:val="24"/>
        </w:rPr>
        <w:t xml:space="preserve"> </w:t>
      </w:r>
    </w:p>
    <w:p>
      <w:pPr>
        <w:numPr>
          <w:ilvl w:val="0"/>
          <w:numId w:val="17"/>
        </w:numPr>
        <w:shd w:val="clear" w:color="auto" w:fill="FFFFFF"/>
        <w:tabs>
          <w:tab w:val="left" w:pos="1418"/>
        </w:tabs>
        <w:spacing w:line="320" w:lineRule="exact"/>
        <w:ind w:left="0" w:firstLine="0"/>
        <w:jc w:val="both"/>
        <w:rPr>
          <w:rFonts w:ascii="Calibri" w:eastAsia="Arial Unicode MS" w:hAnsi="Calibri"/>
          <w:b/>
          <w:w w:val="0"/>
          <w:sz w:val="22"/>
          <w:szCs w:val="22"/>
        </w:rPr>
      </w:pPr>
      <w:bookmarkStart w:id="104" w:name="_Ref211069873"/>
      <w:r>
        <w:rPr>
          <w:rFonts w:ascii="Calibri" w:eastAsia="Arial Unicode MS" w:hAnsi="Calibri"/>
          <w:b/>
          <w:w w:val="0"/>
          <w:sz w:val="22"/>
          <w:szCs w:val="22"/>
        </w:rPr>
        <w:t>Assembleia Geral de Debenturistas</w:t>
      </w:r>
      <w:bookmarkEnd w:id="104"/>
    </w:p>
    <w:p>
      <w:pPr>
        <w:pStyle w:val="PargrafodaLista"/>
        <w:widowControl w:val="0"/>
        <w:tabs>
          <w:tab w:val="left" w:pos="567"/>
        </w:tabs>
        <w:spacing w:line="320" w:lineRule="exact"/>
        <w:ind w:left="567"/>
        <w:rPr>
          <w:smallCaps/>
          <w:spacing w:val="-2"/>
          <w:sz w:val="24"/>
          <w:szCs w:val="24"/>
          <w:u w:val="single"/>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Os Debenturistas poderão, a qualquer tempo, reunir-se em assembleia, de acordo com o disposto no artigo 71 da Lei das Sociedades por Ações, a fim de deliberar sobre matéria de interesse da comunhão dos Debenturistas (“</w:t>
      </w:r>
      <w:r>
        <w:rPr>
          <w:rFonts w:ascii="Calibri" w:hAnsi="Calibri" w:cs="Calibri"/>
          <w:sz w:val="22"/>
          <w:szCs w:val="22"/>
          <w:u w:val="single"/>
        </w:rPr>
        <w:t>Assembleia Geral de Debenturistas</w:t>
      </w:r>
      <w:r>
        <w:rPr>
          <w:rFonts w:ascii="Calibri" w:hAnsi="Calibri" w:cs="Calibri"/>
          <w:sz w:val="22"/>
          <w:szCs w:val="22"/>
        </w:rPr>
        <w:t>”).</w:t>
      </w:r>
    </w:p>
    <w:p>
      <w:pPr>
        <w:pStyle w:val="PargrafodaLista"/>
        <w:widowControl w:val="0"/>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A Assembleia Geral de Debenturistas poderá ser convocada pelo Agente Fiduciário, pela Emissora, por Debenturistas que representem, no mínimo, 10% (dez por cento) das Debêntures em Circulação ou pela CVM, com antecedência mínima de 15 (quinze) dias, em primeira convocação, e 8 (oito) dias em segunda convocação.</w:t>
      </w:r>
    </w:p>
    <w:p>
      <w:pPr>
        <w:pStyle w:val="PargrafodaLista"/>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Aplicar-se-á à Assembleia Geral de Debenturistas, no que couber, o disposto na Lei das Sociedades por Ações a respeito das assembleias gerais de acionistas.</w:t>
      </w:r>
    </w:p>
    <w:p>
      <w:pPr>
        <w:pStyle w:val="PargrafodaLista"/>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 xml:space="preserve">A presidência da Assembleia Geral de Debenturistas caberá ao Agente Fiduciário, à Emissora, ao titular de Debêntures eleito pelos demais Debenturistas presentes ou àquele que for designado pela CVM. </w:t>
      </w:r>
    </w:p>
    <w:p>
      <w:pPr>
        <w:pStyle w:val="PargrafodaLista"/>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lastRenderedPageBreak/>
        <w:t>A Assembleia Geral de Debenturistas instalar-se-á, em primeira convocação, com a presença de Debenturistas que representem, no mínimo, metade das Debêntures em Circulação e, em segunda convocação, com qualquer número.</w:t>
      </w:r>
    </w:p>
    <w:p>
      <w:pPr>
        <w:pStyle w:val="PargrafodaLista"/>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Cada Debênture em Circulação conferirá a seu titular o direito a um voto nas Assembleias Gerais de Debenturistas, cujas deliberações, ressalvadas as exceções previstas nesta Escritura, serão tomadas por Debenturistas representando, no mínimo, mais de 90% (noventa por cento) das Debêntures em Circulação, sendo admitida a constituição de mandatários, Debenturistas ou não.</w:t>
      </w:r>
    </w:p>
    <w:p>
      <w:pPr>
        <w:pStyle w:val="PargrafodaLista"/>
        <w:rPr>
          <w:rFonts w:cs="Calibri"/>
        </w:rPr>
      </w:pPr>
    </w:p>
    <w:p>
      <w:pPr>
        <w:numPr>
          <w:ilvl w:val="2"/>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 xml:space="preserve">Quaisquer alterações (i) no quorum de deliberação das Assembleias Gerais de Debenturistas; (ii) nas hipóteses de Vencimento Antecipado; (iii) no prazo de vigência das Debêntures; e (iv) de quaisquer datas de pagamento de quaisquer valores previstos nesta Escritura de Emissão, conforme previsto nesta Escritura de Emissão, deverão ser aprovadas por Debenturistas representando, no mínimo, 90% (noventa por cento) das Debêntures em Circulação.  </w:t>
      </w:r>
    </w:p>
    <w:p>
      <w:pPr>
        <w:pStyle w:val="PargrafodaLista"/>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bookmarkStart w:id="105" w:name="_Ref130286717"/>
      <w:bookmarkStart w:id="106" w:name="_Ref260642486"/>
      <w:r>
        <w:rPr>
          <w:rFonts w:ascii="Calibri" w:hAnsi="Calibri" w:cs="Calibri"/>
          <w:sz w:val="22"/>
          <w:szCs w:val="22"/>
        </w:rPr>
        <w:t>Para os efeitos de fixação de quórum desta Escritura, serão consideradas como Debêntures em Circulação aquelas Debêntures, emitidas pela Emissora, que ainda não tiverem sido canceladas, resgatadas e/ou liquidadas, excluídas do número de tais Debêntures aquelas que a Emissora possuir em tesouraria ou que sejam pertencentes ao acionista controlador da Emissora ou a qualquer de suas controladas, coligadas ou pessoas controladas por qualquer de seus controladores, bem como respectivos diretores ou conselheiros e respectivos parentes de até terceiro grau</w:t>
      </w:r>
      <w:bookmarkEnd w:id="105"/>
      <w:r>
        <w:rPr>
          <w:rFonts w:ascii="Calibri" w:hAnsi="Calibri" w:cs="Calibri"/>
          <w:sz w:val="22"/>
          <w:szCs w:val="22"/>
        </w:rPr>
        <w:t xml:space="preserve"> (“</w:t>
      </w:r>
      <w:r>
        <w:rPr>
          <w:rFonts w:ascii="Calibri" w:hAnsi="Calibri" w:cs="Calibri"/>
          <w:sz w:val="22"/>
          <w:szCs w:val="22"/>
          <w:u w:val="single"/>
        </w:rPr>
        <w:t>Debêntures em Circulação</w:t>
      </w:r>
      <w:r>
        <w:rPr>
          <w:rFonts w:ascii="Calibri" w:hAnsi="Calibri" w:cs="Calibri"/>
          <w:sz w:val="22"/>
          <w:szCs w:val="22"/>
        </w:rPr>
        <w:t>”).</w:t>
      </w:r>
      <w:bookmarkEnd w:id="106"/>
    </w:p>
    <w:p>
      <w:pPr>
        <w:pStyle w:val="PargrafodaLista"/>
        <w:rPr>
          <w:rFonts w:cs="Calibri"/>
        </w:rPr>
      </w:pPr>
    </w:p>
    <w:p>
      <w:pPr>
        <w:pStyle w:val="PargrafodaLista"/>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Será facultada a presença dos representantes legais da Emissora nas Assembleias Gerais de Debenturistas, que deverá ser convocada formalmente pelo Agente Fiduciário, por meio de notificação à Emissora, nos termos da Cláusula 12.1. desta Escritura, exceto nas hipóteses em que a convocação da Assembleia Geral de Debenturistas for realizada pela própria Emissora.</w:t>
      </w:r>
    </w:p>
    <w:p>
      <w:pPr>
        <w:pStyle w:val="PargrafodaLista"/>
        <w:spacing w:line="320" w:lineRule="exact"/>
        <w:ind w:left="0"/>
        <w:rPr>
          <w:rFonts w:cs="Calibri"/>
        </w:rPr>
      </w:pPr>
    </w:p>
    <w:p>
      <w:pPr>
        <w:numPr>
          <w:ilvl w:val="1"/>
          <w:numId w:val="27"/>
        </w:numPr>
        <w:shd w:val="clear" w:color="auto" w:fill="FFFFFF"/>
        <w:tabs>
          <w:tab w:val="left" w:pos="1418"/>
        </w:tabs>
        <w:spacing w:line="320" w:lineRule="exact"/>
        <w:ind w:left="0" w:firstLine="0"/>
        <w:jc w:val="both"/>
        <w:rPr>
          <w:rFonts w:ascii="Calibri" w:hAnsi="Calibri" w:cs="Calibri"/>
          <w:sz w:val="22"/>
          <w:szCs w:val="22"/>
        </w:rPr>
      </w:pPr>
      <w:r>
        <w:rPr>
          <w:rFonts w:ascii="Calibri" w:hAnsi="Calibri" w:cs="Calibri"/>
          <w:sz w:val="22"/>
          <w:szCs w:val="22"/>
        </w:rPr>
        <w:t>O Agente Fiduciário deverá comparecer à Assembleia Geral de Debenturistas para prestar aos Debenturistas as informações que lhe forem solicitadas.</w:t>
      </w:r>
    </w:p>
    <w:p>
      <w:pPr>
        <w:pStyle w:val="Ttulo1"/>
        <w:tabs>
          <w:tab w:val="left" w:pos="1418"/>
        </w:tabs>
        <w:spacing w:before="0" w:after="0" w:line="320" w:lineRule="exact"/>
        <w:jc w:val="both"/>
        <w:rPr>
          <w:rFonts w:ascii="Calibri" w:hAnsi="Calibri"/>
          <w:sz w:val="22"/>
          <w:szCs w:val="22"/>
        </w:rPr>
      </w:pPr>
      <w:r>
        <w:rPr>
          <w:rFonts w:ascii="Calibri" w:hAnsi="Calibri" w:cs="Times New Roman"/>
          <w:w w:val="0"/>
          <w:sz w:val="22"/>
          <w:szCs w:val="22"/>
        </w:rPr>
        <w:tab/>
      </w:r>
      <w:bookmarkStart w:id="107" w:name="_DV_M231"/>
      <w:bookmarkStart w:id="108" w:name="_DV_M232"/>
      <w:bookmarkStart w:id="109" w:name="_DV_M240"/>
      <w:bookmarkStart w:id="110" w:name="_DV_M241"/>
      <w:bookmarkStart w:id="111" w:name="_DV_M246"/>
      <w:bookmarkStart w:id="112" w:name="_DV_M247"/>
      <w:bookmarkStart w:id="113" w:name="_DV_M248"/>
      <w:bookmarkStart w:id="114" w:name="_DV_M249"/>
      <w:bookmarkStart w:id="115" w:name="_DV_M250"/>
      <w:bookmarkStart w:id="116" w:name="_DV_M254"/>
      <w:bookmarkStart w:id="117" w:name="_DV_M256"/>
      <w:bookmarkStart w:id="118" w:name="_DV_M257"/>
      <w:bookmarkStart w:id="119" w:name="_DV_M263"/>
      <w:bookmarkStart w:id="120" w:name="_DV_M266"/>
      <w:bookmarkStart w:id="121" w:name="_DV_M267"/>
      <w:bookmarkStart w:id="122" w:name="_DV_M269"/>
      <w:bookmarkStart w:id="123" w:name="_DV_M270"/>
      <w:bookmarkStart w:id="124" w:name="_DV_M272"/>
      <w:bookmarkStart w:id="125" w:name="_DV_M273"/>
      <w:bookmarkStart w:id="126" w:name="_DV_M274"/>
      <w:bookmarkStart w:id="127" w:name="_DV_M275"/>
      <w:bookmarkStart w:id="128" w:name="_DV_M276"/>
      <w:bookmarkStart w:id="129" w:name="_DV_M277"/>
      <w:bookmarkStart w:id="130" w:name="_DV_M278"/>
      <w:bookmarkStart w:id="131" w:name="_DV_M279"/>
      <w:bookmarkStart w:id="132" w:name="_DV_M280"/>
      <w:bookmarkStart w:id="133" w:name="_DV_M281"/>
      <w:bookmarkStart w:id="134" w:name="_DV_M282"/>
      <w:bookmarkStart w:id="135" w:name="_DV_M283"/>
      <w:bookmarkStart w:id="136" w:name="_DV_M285"/>
      <w:bookmarkStart w:id="137" w:name="_DV_M286"/>
      <w:bookmarkStart w:id="138" w:name="_DV_M287"/>
      <w:bookmarkStart w:id="139" w:name="_DV_M288"/>
      <w:bookmarkStart w:id="140" w:name="_DV_M289"/>
      <w:bookmarkStart w:id="141" w:name="_DV_M291"/>
      <w:bookmarkStart w:id="142" w:name="_DV_M293"/>
      <w:bookmarkStart w:id="143" w:name="_DV_M295"/>
      <w:bookmarkStart w:id="144" w:name="_DV_M296"/>
      <w:bookmarkStart w:id="145" w:name="_DV_M298"/>
      <w:bookmarkStart w:id="146" w:name="_DV_M300"/>
      <w:bookmarkStart w:id="147" w:name="_DV_M302"/>
      <w:bookmarkStart w:id="148" w:name="_DV_M304"/>
      <w:bookmarkStart w:id="149" w:name="_DV_M306"/>
      <w:bookmarkStart w:id="150" w:name="_DV_M308"/>
      <w:bookmarkStart w:id="151" w:name="_DV_M310"/>
      <w:bookmarkStart w:id="152" w:name="_DV_M313"/>
      <w:bookmarkStart w:id="153" w:name="_DV_M315"/>
      <w:bookmarkStart w:id="154" w:name="_DV_M317"/>
      <w:bookmarkStart w:id="155" w:name="_DV_M318"/>
      <w:bookmarkStart w:id="156" w:name="_DV_M319"/>
      <w:bookmarkStart w:id="157" w:name="_DV_M320"/>
      <w:bookmarkStart w:id="158" w:name="_DV_M323"/>
      <w:bookmarkStart w:id="159" w:name="_DV_M324"/>
      <w:bookmarkStart w:id="160" w:name="_DV_M325"/>
      <w:bookmarkStart w:id="161" w:name="_DV_M326"/>
      <w:bookmarkStart w:id="162" w:name="_DV_M329"/>
      <w:bookmarkStart w:id="163" w:name="_DV_M330"/>
      <w:bookmarkStart w:id="164" w:name="_DV_M331"/>
      <w:bookmarkStart w:id="165" w:name="_DV_M332"/>
      <w:bookmarkStart w:id="166" w:name="_DV_M333"/>
      <w:bookmarkStart w:id="167" w:name="_DV_M338"/>
      <w:bookmarkStart w:id="168" w:name="_DV_M339"/>
      <w:bookmarkStart w:id="169" w:name="_DV_M343"/>
      <w:bookmarkStart w:id="170" w:name="_DV_M345"/>
      <w:bookmarkStart w:id="171" w:name="_DV_M346"/>
      <w:bookmarkStart w:id="172" w:name="_DV_M347"/>
      <w:bookmarkStart w:id="173" w:name="_DV_M348"/>
      <w:bookmarkStart w:id="174" w:name="_DV_M349"/>
      <w:bookmarkStart w:id="175" w:name="_DV_M353"/>
      <w:bookmarkStart w:id="176" w:name="_DV_M356"/>
      <w:bookmarkStart w:id="177" w:name="_DV_M369"/>
      <w:bookmarkStart w:id="178" w:name="_DV_M371"/>
      <w:bookmarkStart w:id="179" w:name="_DV_M373"/>
      <w:bookmarkStart w:id="180" w:name="_DV_M375"/>
      <w:bookmarkStart w:id="181" w:name="_DV_M382"/>
      <w:bookmarkStart w:id="182" w:name="_DV_M387"/>
      <w:bookmarkStart w:id="183" w:name="_DV_M389"/>
      <w:bookmarkStart w:id="184" w:name="_DV_M390"/>
      <w:bookmarkStart w:id="185" w:name="_DV_M391"/>
      <w:bookmarkStart w:id="186" w:name="_DV_M392"/>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pPr>
        <w:pStyle w:val="Ttulo2"/>
        <w:numPr>
          <w:ilvl w:val="0"/>
          <w:numId w:val="27"/>
        </w:numPr>
        <w:tabs>
          <w:tab w:val="left" w:pos="1418"/>
        </w:tabs>
        <w:spacing w:before="0" w:after="0" w:line="320" w:lineRule="exact"/>
        <w:ind w:left="1418" w:hanging="1418"/>
        <w:jc w:val="both"/>
        <w:rPr>
          <w:rFonts w:ascii="Calibri" w:hAnsi="Calibri" w:cs="Times New Roman"/>
          <w:i w:val="0"/>
          <w:w w:val="0"/>
          <w:sz w:val="22"/>
          <w:szCs w:val="22"/>
        </w:rPr>
      </w:pPr>
      <w:bookmarkStart w:id="187" w:name="_DV_M393"/>
      <w:bookmarkEnd w:id="187"/>
      <w:r>
        <w:rPr>
          <w:rFonts w:ascii="Calibri" w:hAnsi="Calibri" w:cs="Times New Roman"/>
          <w:i w:val="0"/>
          <w:w w:val="0"/>
          <w:sz w:val="22"/>
          <w:szCs w:val="22"/>
        </w:rPr>
        <w:t>DECLARAÇÕES E GARANTIAS DA EMISSORA</w:t>
      </w:r>
      <w:r>
        <w:t xml:space="preserve"> </w:t>
      </w:r>
      <w:r>
        <w:rPr>
          <w:rFonts w:ascii="Calibri" w:hAnsi="Calibri" w:cs="Times New Roman"/>
          <w:i w:val="0"/>
          <w:w w:val="0"/>
          <w:sz w:val="22"/>
          <w:szCs w:val="22"/>
        </w:rPr>
        <w:t>E DAS INTERVENIENTES</w:t>
      </w:r>
    </w:p>
    <w:p>
      <w:pPr>
        <w:pStyle w:val="p0"/>
        <w:tabs>
          <w:tab w:val="clear" w:pos="720"/>
        </w:tabs>
        <w:spacing w:line="320" w:lineRule="exact"/>
        <w:rPr>
          <w:rFonts w:ascii="Calibri" w:eastAsia="Arial Unicode MS" w:hAnsi="Calibri"/>
          <w:snapToGrid/>
          <w:szCs w:val="22"/>
        </w:rPr>
      </w:pPr>
      <w:bookmarkStart w:id="188" w:name="_DV_M394"/>
      <w:bookmarkEnd w:id="188"/>
    </w:p>
    <w:p>
      <w:pPr>
        <w:pStyle w:val="DeltaViewTableBody"/>
        <w:numPr>
          <w:ilvl w:val="1"/>
          <w:numId w:val="27"/>
        </w:numPr>
        <w:tabs>
          <w:tab w:val="left" w:pos="1418"/>
        </w:tabs>
        <w:spacing w:line="320" w:lineRule="exact"/>
        <w:ind w:left="1418" w:hanging="1418"/>
        <w:jc w:val="both"/>
        <w:outlineLvl w:val="0"/>
        <w:rPr>
          <w:rFonts w:ascii="Calibri" w:hAnsi="Calibri" w:cs="Times New Roman"/>
          <w:sz w:val="22"/>
          <w:szCs w:val="22"/>
          <w:lang w:val="pt-BR"/>
        </w:rPr>
      </w:pPr>
      <w:r>
        <w:rPr>
          <w:rFonts w:ascii="Calibri" w:eastAsia="Arial Unicode MS" w:hAnsi="Calibri" w:cs="Times New Roman"/>
          <w:w w:val="0"/>
          <w:sz w:val="22"/>
          <w:szCs w:val="22"/>
          <w:lang w:val="pt-BR"/>
        </w:rPr>
        <w:t>A Emissora</w:t>
      </w:r>
      <w:r>
        <w:rPr>
          <w:rFonts w:ascii="Calibri" w:hAnsi="Calibri"/>
          <w:sz w:val="22"/>
          <w:szCs w:val="22"/>
          <w:lang w:val="pt-BR"/>
        </w:rPr>
        <w:t xml:space="preserve"> </w:t>
      </w:r>
      <w:r>
        <w:rPr>
          <w:rFonts w:ascii="Calibri" w:eastAsia="Arial Unicode MS" w:hAnsi="Calibri" w:cs="Times New Roman"/>
          <w:w w:val="0"/>
          <w:sz w:val="22"/>
          <w:szCs w:val="22"/>
          <w:lang w:val="pt-BR"/>
        </w:rPr>
        <w:t xml:space="preserve">declara e garante que: </w:t>
      </w:r>
    </w:p>
    <w:p>
      <w:pPr>
        <w:pStyle w:val="p0"/>
        <w:tabs>
          <w:tab w:val="clear" w:pos="720"/>
          <w:tab w:val="left" w:pos="900"/>
        </w:tabs>
        <w:spacing w:line="320" w:lineRule="exact"/>
        <w:rPr>
          <w:rFonts w:ascii="Calibri" w:eastAsia="Arial Unicode MS" w:hAnsi="Calibri"/>
          <w:szCs w:val="22"/>
        </w:rPr>
      </w:pPr>
    </w:p>
    <w:p>
      <w:pPr>
        <w:pStyle w:val="p0"/>
        <w:numPr>
          <w:ilvl w:val="0"/>
          <w:numId w:val="6"/>
        </w:numPr>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t>é sociedade por ações de capital aberto devidamente constituída, com existência válida e em situação regular segundo as leis do Brasil</w:t>
      </w:r>
      <w:bookmarkStart w:id="189" w:name="_DV_C328"/>
      <w:r>
        <w:rPr>
          <w:rFonts w:ascii="Calibri" w:eastAsia="Arial Unicode MS" w:hAnsi="Calibri"/>
          <w:szCs w:val="22"/>
        </w:rPr>
        <w:t xml:space="preserve"> e dos demais países em que a Emissora</w:t>
      </w:r>
      <w:r>
        <w:rPr>
          <w:rFonts w:ascii="Calibri" w:hAnsi="Calibri"/>
          <w:szCs w:val="22"/>
        </w:rPr>
        <w:t xml:space="preserve"> </w:t>
      </w:r>
      <w:r>
        <w:rPr>
          <w:rFonts w:ascii="Calibri" w:eastAsia="Arial Unicode MS" w:hAnsi="Calibri"/>
          <w:szCs w:val="22"/>
        </w:rPr>
        <w:t xml:space="preserve">possui filiais ou escritórios de representação, bem como está devidamente </w:t>
      </w:r>
      <w:r>
        <w:rPr>
          <w:rFonts w:ascii="Calibri" w:eastAsia="Arial Unicode MS" w:hAnsi="Calibri"/>
          <w:szCs w:val="22"/>
        </w:rPr>
        <w:lastRenderedPageBreak/>
        <w:t>autorizada a desempenhar as atividades descritas em seu objeto social</w:t>
      </w:r>
      <w:bookmarkEnd w:id="189"/>
      <w:r>
        <w:rPr>
          <w:rFonts w:ascii="Calibri" w:eastAsia="Arial Unicode MS" w:hAnsi="Calibri"/>
          <w:szCs w:val="22"/>
        </w:rPr>
        <w:t>;</w:t>
      </w:r>
    </w:p>
    <w:p>
      <w:pPr>
        <w:pStyle w:val="p0"/>
        <w:tabs>
          <w:tab w:val="clear" w:pos="720"/>
          <w:tab w:val="left" w:pos="900"/>
        </w:tabs>
        <w:spacing w:line="320" w:lineRule="exact"/>
        <w:rPr>
          <w:rFonts w:ascii="Calibri" w:eastAsia="Arial Unicode MS" w:hAnsi="Calibri"/>
          <w:szCs w:val="22"/>
        </w:rPr>
      </w:pPr>
    </w:p>
    <w:p>
      <w:pPr>
        <w:pStyle w:val="p0"/>
        <w:tabs>
          <w:tab w:val="clear" w:pos="720"/>
          <w:tab w:val="left" w:pos="900"/>
        </w:tabs>
        <w:spacing w:line="320" w:lineRule="exact"/>
        <w:ind w:left="1418" w:hanging="1418"/>
        <w:rPr>
          <w:rFonts w:ascii="Calibri" w:eastAsia="Arial Unicode MS" w:hAnsi="Calibri"/>
          <w:szCs w:val="22"/>
        </w:rPr>
      </w:pPr>
      <w:r>
        <w:rPr>
          <w:rFonts w:ascii="Calibri" w:eastAsia="Arial Unicode MS" w:hAnsi="Calibri"/>
          <w:szCs w:val="22"/>
        </w:rPr>
        <w:t>(ii)</w:t>
      </w:r>
      <w:r>
        <w:rPr>
          <w:rFonts w:ascii="Calibri" w:eastAsia="Arial Unicode MS" w:hAnsi="Calibri"/>
          <w:szCs w:val="22"/>
        </w:rPr>
        <w:tab/>
      </w:r>
      <w:r>
        <w:rPr>
          <w:rFonts w:ascii="Calibri" w:eastAsia="Arial Unicode MS" w:hAnsi="Calibri"/>
          <w:szCs w:val="22"/>
        </w:rPr>
        <w:tab/>
      </w:r>
      <w:r>
        <w:rPr>
          <w:rFonts w:ascii="Calibri" w:eastAsia="Arial Unicode MS" w:hAnsi="Calibri"/>
          <w:szCs w:val="22"/>
        </w:rPr>
        <w:tab/>
        <w:t>está devidamente autorizada a participar da Oferta Restrita e a celebrar esta Escritura e os Contratos de Garantia, bem como a cumprir com todas as obrigações principais e acessórias nelas previstas, tendo sido satisfeitos todos os requisitos legais, contratuais e estatutários necessários para tanto;</w:t>
      </w:r>
    </w:p>
    <w:p>
      <w:pPr>
        <w:pStyle w:val="p0"/>
        <w:tabs>
          <w:tab w:val="clear" w:pos="720"/>
          <w:tab w:val="left" w:pos="900"/>
        </w:tabs>
        <w:spacing w:line="320" w:lineRule="exact"/>
        <w:rPr>
          <w:rFonts w:ascii="Calibri" w:eastAsia="Arial Unicode MS" w:hAnsi="Calibri"/>
          <w:szCs w:val="22"/>
        </w:rPr>
      </w:pPr>
    </w:p>
    <w:p>
      <w:pPr>
        <w:pStyle w:val="p0"/>
        <w:tabs>
          <w:tab w:val="clear" w:pos="720"/>
          <w:tab w:val="left" w:pos="900"/>
        </w:tabs>
        <w:spacing w:line="320" w:lineRule="exact"/>
        <w:ind w:left="1418" w:hanging="1418"/>
        <w:rPr>
          <w:rFonts w:ascii="Calibri" w:eastAsia="Arial Unicode MS" w:hAnsi="Calibri"/>
          <w:szCs w:val="22"/>
        </w:rPr>
      </w:pPr>
      <w:r>
        <w:rPr>
          <w:rFonts w:ascii="Calibri" w:eastAsia="Arial Unicode MS" w:hAnsi="Calibri"/>
          <w:szCs w:val="22"/>
        </w:rPr>
        <w:t>(iii)</w:t>
      </w:r>
      <w:r>
        <w:rPr>
          <w:rFonts w:ascii="Calibri" w:eastAsia="Arial Unicode MS" w:hAnsi="Calibri"/>
          <w:szCs w:val="22"/>
        </w:rPr>
        <w:tab/>
      </w:r>
      <w:r>
        <w:rPr>
          <w:rFonts w:ascii="Calibri" w:eastAsia="Arial Unicode MS" w:hAnsi="Calibri"/>
          <w:szCs w:val="22"/>
        </w:rPr>
        <w:tab/>
      </w:r>
      <w:r>
        <w:rPr>
          <w:rFonts w:ascii="Calibri" w:eastAsia="Arial Unicode MS" w:hAnsi="Calibri"/>
          <w:szCs w:val="22"/>
        </w:rPr>
        <w:tab/>
        <w:t xml:space="preserve">a celebração desta Escritura e dos Contratos de Garantia, bem como o cumprimento das obrigações principais e acessórias nelas previstas não infringem qualquer obrigação anteriormente assumida pela Emissora; </w:t>
      </w:r>
    </w:p>
    <w:p>
      <w:pPr>
        <w:pStyle w:val="p0"/>
        <w:tabs>
          <w:tab w:val="clear" w:pos="720"/>
          <w:tab w:val="left" w:pos="900"/>
        </w:tabs>
        <w:spacing w:line="320" w:lineRule="exact"/>
        <w:rPr>
          <w:rFonts w:ascii="Calibri" w:eastAsia="Arial Unicode MS" w:hAnsi="Calibri"/>
          <w:szCs w:val="22"/>
        </w:rPr>
      </w:pPr>
    </w:p>
    <w:p>
      <w:pPr>
        <w:pStyle w:val="p0"/>
        <w:tabs>
          <w:tab w:val="clear" w:pos="720"/>
          <w:tab w:val="left" w:pos="900"/>
        </w:tabs>
        <w:spacing w:line="320" w:lineRule="exact"/>
        <w:ind w:left="1418" w:hanging="1418"/>
        <w:rPr>
          <w:rFonts w:ascii="Calibri" w:eastAsia="Arial Unicode MS" w:hAnsi="Calibri"/>
          <w:szCs w:val="22"/>
        </w:rPr>
      </w:pPr>
      <w:r>
        <w:rPr>
          <w:rFonts w:ascii="Calibri" w:eastAsia="Arial Unicode MS" w:hAnsi="Calibri"/>
          <w:szCs w:val="22"/>
        </w:rPr>
        <w:t>(iv)</w:t>
      </w:r>
      <w:r>
        <w:rPr>
          <w:rFonts w:ascii="Calibri" w:eastAsia="Arial Unicode MS" w:hAnsi="Calibri"/>
          <w:szCs w:val="22"/>
        </w:rPr>
        <w:tab/>
      </w:r>
      <w:r>
        <w:rPr>
          <w:rFonts w:ascii="Calibri" w:eastAsia="Arial Unicode MS" w:hAnsi="Calibri"/>
          <w:szCs w:val="22"/>
        </w:rPr>
        <w:tab/>
      </w:r>
      <w:r>
        <w:rPr>
          <w:rFonts w:ascii="Calibri" w:eastAsia="Arial Unicode MS" w:hAnsi="Calibri"/>
          <w:szCs w:val="22"/>
        </w:rPr>
        <w:tab/>
        <w:t>as pessoas que a representam na assinatura desta Escritura e dos Contratos de Garantia têm poderes bastantes para tanto;</w:t>
      </w:r>
    </w:p>
    <w:p>
      <w:pPr>
        <w:pStyle w:val="p0"/>
        <w:tabs>
          <w:tab w:val="clear" w:pos="720"/>
          <w:tab w:val="left" w:pos="900"/>
        </w:tabs>
        <w:spacing w:line="320" w:lineRule="exact"/>
        <w:ind w:left="720" w:hanging="720"/>
        <w:rPr>
          <w:rFonts w:ascii="Calibri" w:eastAsia="Arial Unicode MS" w:hAnsi="Calibri"/>
          <w:szCs w:val="22"/>
        </w:rPr>
      </w:pPr>
    </w:p>
    <w:p>
      <w:pPr>
        <w:pStyle w:val="p0"/>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t>(v)</w:t>
      </w:r>
      <w:r>
        <w:rPr>
          <w:rFonts w:ascii="Calibri" w:eastAsia="Arial Unicode MS" w:hAnsi="Calibri"/>
          <w:szCs w:val="22"/>
        </w:rPr>
        <w:tab/>
        <w:t>a Escritura e os Contratos de Garantia</w:t>
      </w:r>
      <w:r>
        <w:rPr>
          <w:rFonts w:ascii="Calibri" w:hAnsi="Calibri"/>
          <w:szCs w:val="22"/>
        </w:rPr>
        <w:t xml:space="preserve"> constituem obrigações legais, válidas e vinculantes, exequíveis de acordo com os seus termos e condições;</w:t>
      </w:r>
    </w:p>
    <w:p>
      <w:pPr>
        <w:pStyle w:val="p0"/>
        <w:tabs>
          <w:tab w:val="clear" w:pos="720"/>
          <w:tab w:val="left" w:pos="900"/>
        </w:tabs>
        <w:spacing w:line="320" w:lineRule="exact"/>
        <w:rPr>
          <w:rFonts w:ascii="Calibri" w:eastAsia="Arial Unicode MS" w:hAnsi="Calibri"/>
          <w:szCs w:val="22"/>
        </w:rPr>
      </w:pPr>
      <w:bookmarkStart w:id="190" w:name="_DV_M398"/>
      <w:bookmarkStart w:id="191" w:name="_DV_M400"/>
      <w:bookmarkStart w:id="192" w:name="_DV_M401"/>
      <w:bookmarkEnd w:id="190"/>
      <w:bookmarkEnd w:id="191"/>
      <w:bookmarkEnd w:id="192"/>
    </w:p>
    <w:p>
      <w:pPr>
        <w:pStyle w:val="p0"/>
        <w:tabs>
          <w:tab w:val="clear" w:pos="720"/>
          <w:tab w:val="left" w:pos="900"/>
        </w:tabs>
        <w:spacing w:line="320" w:lineRule="exact"/>
        <w:ind w:left="1418" w:hanging="1418"/>
        <w:rPr>
          <w:rFonts w:ascii="Calibri" w:eastAsia="Arial Unicode MS" w:hAnsi="Calibri"/>
          <w:szCs w:val="22"/>
        </w:rPr>
      </w:pPr>
      <w:r>
        <w:rPr>
          <w:rFonts w:ascii="Calibri" w:eastAsia="Arial Unicode MS" w:hAnsi="Calibri"/>
          <w:szCs w:val="22"/>
        </w:rPr>
        <w:t>(vi)</w:t>
      </w:r>
      <w:r>
        <w:rPr>
          <w:rFonts w:ascii="Calibri" w:eastAsia="Arial Unicode MS" w:hAnsi="Calibri"/>
          <w:szCs w:val="22"/>
        </w:rPr>
        <w:tab/>
      </w:r>
      <w:r>
        <w:rPr>
          <w:rFonts w:ascii="Calibri" w:eastAsia="Arial Unicode MS" w:hAnsi="Calibri"/>
          <w:szCs w:val="22"/>
        </w:rPr>
        <w:tab/>
      </w:r>
      <w:r>
        <w:rPr>
          <w:rFonts w:ascii="Calibri" w:eastAsia="Arial Unicode MS" w:hAnsi="Calibri"/>
          <w:szCs w:val="22"/>
        </w:rPr>
        <w:tab/>
        <w:t>a celebração da Escritura e dos Contratos de Garantia e a realização da Emissão</w:t>
      </w:r>
      <w:r>
        <w:rPr>
          <w:rFonts w:ascii="Calibri" w:hAnsi="Calibri"/>
          <w:szCs w:val="22"/>
        </w:rPr>
        <w:t xml:space="preserve"> </w:t>
      </w:r>
      <w:r>
        <w:rPr>
          <w:rFonts w:ascii="Calibri" w:eastAsia="Arial Unicode MS" w:hAnsi="Calibri"/>
          <w:szCs w:val="22"/>
        </w:rPr>
        <w:t>ou da Oferta Restrita não infringem qualquer disposição legal, ou quaisquer contratos ou instrumentos dos quais a Emissora</w:t>
      </w:r>
      <w:r>
        <w:rPr>
          <w:rFonts w:ascii="Calibri" w:hAnsi="Calibri"/>
          <w:szCs w:val="22"/>
        </w:rPr>
        <w:t xml:space="preserve"> </w:t>
      </w:r>
      <w:r>
        <w:rPr>
          <w:rFonts w:ascii="Calibri" w:eastAsia="Arial Unicode MS" w:hAnsi="Calibri"/>
          <w:szCs w:val="22"/>
        </w:rPr>
        <w:t>seja parte, nem irá resultar em: (a) vencimento antecipado de qualquer obrigação estabelecida em qualquer desses contratos ou instrumentos; (b) criação de qualquer ônus sobre qualquer ativo ou bem da Emissora, exceto por aqueles já existentes nesta data; ou (c) rescisão de qualquer desses contratos ou instrumentos;</w:t>
      </w:r>
    </w:p>
    <w:p>
      <w:pPr>
        <w:pStyle w:val="p0"/>
        <w:tabs>
          <w:tab w:val="clear" w:pos="720"/>
          <w:tab w:val="left" w:pos="900"/>
        </w:tabs>
        <w:spacing w:line="320" w:lineRule="exact"/>
        <w:rPr>
          <w:rFonts w:ascii="Calibri" w:eastAsia="Arial Unicode MS" w:hAnsi="Calibri"/>
          <w:szCs w:val="22"/>
        </w:rPr>
      </w:pPr>
      <w:bookmarkStart w:id="193" w:name="_DV_M402"/>
      <w:bookmarkStart w:id="194" w:name="_DV_M403"/>
      <w:bookmarkStart w:id="195" w:name="_DV_M404"/>
      <w:bookmarkStart w:id="196" w:name="_DV_M405"/>
      <w:bookmarkEnd w:id="193"/>
      <w:bookmarkEnd w:id="194"/>
      <w:bookmarkEnd w:id="195"/>
      <w:bookmarkEnd w:id="196"/>
    </w:p>
    <w:p>
      <w:pPr>
        <w:pStyle w:val="p0"/>
        <w:tabs>
          <w:tab w:val="clear" w:pos="720"/>
          <w:tab w:val="left" w:pos="900"/>
        </w:tabs>
        <w:spacing w:line="320" w:lineRule="exact"/>
        <w:ind w:left="1418" w:hanging="1418"/>
        <w:rPr>
          <w:rFonts w:ascii="Calibri" w:eastAsia="Arial Unicode MS" w:hAnsi="Calibri"/>
          <w:szCs w:val="22"/>
        </w:rPr>
      </w:pPr>
      <w:r>
        <w:rPr>
          <w:rFonts w:ascii="Calibri" w:eastAsia="Arial Unicode MS" w:hAnsi="Calibri"/>
          <w:szCs w:val="22"/>
        </w:rPr>
        <w:t>(vii)</w:t>
      </w:r>
      <w:r>
        <w:rPr>
          <w:rFonts w:ascii="Calibri" w:eastAsia="Arial Unicode MS" w:hAnsi="Calibri"/>
          <w:szCs w:val="22"/>
        </w:rPr>
        <w:tab/>
      </w:r>
      <w:r>
        <w:rPr>
          <w:rFonts w:ascii="Calibri" w:eastAsia="Arial Unicode MS" w:hAnsi="Calibri"/>
          <w:szCs w:val="22"/>
        </w:rPr>
        <w:tab/>
      </w:r>
      <w:r>
        <w:rPr>
          <w:rFonts w:ascii="Calibri" w:eastAsia="Arial Unicode MS" w:hAnsi="Calibri"/>
          <w:szCs w:val="22"/>
        </w:rPr>
        <w:tab/>
        <w:t>nenhum registro, consentimento, autorização, aprovação, licença, ordem de, ou qualificação perante qualquer autoridade governamental ou órgão regulatório, é exigido para o cumprimento, pela Emissora, de suas obrigações nos termos desta Escritura e/ou dos Contratos de Garantia, ou para a realização da, exceto a inscrição da Escritura na JUCEMG e o registro dos Contratos de Garantia nos cartórios devidos, conforme previsto nesta escritura e no referido instrumento;</w:t>
      </w:r>
    </w:p>
    <w:p>
      <w:pPr>
        <w:pStyle w:val="p0"/>
        <w:tabs>
          <w:tab w:val="clear" w:pos="720"/>
          <w:tab w:val="left" w:pos="900"/>
        </w:tabs>
        <w:spacing w:line="320" w:lineRule="exact"/>
        <w:rPr>
          <w:rFonts w:ascii="Calibri" w:eastAsia="Arial Unicode MS" w:hAnsi="Calibri"/>
          <w:szCs w:val="22"/>
        </w:rPr>
      </w:pPr>
    </w:p>
    <w:p>
      <w:pPr>
        <w:pStyle w:val="p0"/>
        <w:tabs>
          <w:tab w:val="clear" w:pos="720"/>
          <w:tab w:val="left" w:pos="900"/>
        </w:tabs>
        <w:spacing w:line="320" w:lineRule="exact"/>
        <w:ind w:left="1440" w:hanging="1440"/>
        <w:rPr>
          <w:rFonts w:ascii="Calibri" w:eastAsia="Arial Unicode MS" w:hAnsi="Calibri"/>
          <w:szCs w:val="22"/>
        </w:rPr>
      </w:pPr>
      <w:r>
        <w:rPr>
          <w:rFonts w:ascii="Calibri" w:eastAsia="Arial Unicode MS" w:hAnsi="Calibri"/>
          <w:szCs w:val="22"/>
        </w:rPr>
        <w:t>(viii)</w:t>
      </w:r>
      <w:r>
        <w:rPr>
          <w:rFonts w:ascii="Calibri" w:eastAsia="Arial Unicode MS" w:hAnsi="Calibri"/>
          <w:szCs w:val="22"/>
        </w:rPr>
        <w:tab/>
      </w:r>
      <w:r>
        <w:rPr>
          <w:rFonts w:ascii="Calibri" w:eastAsia="Arial Unicode MS" w:hAnsi="Calibri"/>
          <w:szCs w:val="22"/>
        </w:rPr>
        <w:tab/>
        <w:t>manterá os seus bens adequadamente segurados, conforme práticas usualmente adotadas pela Emissora;</w:t>
      </w:r>
    </w:p>
    <w:p>
      <w:pPr>
        <w:pStyle w:val="p0"/>
        <w:tabs>
          <w:tab w:val="clear" w:pos="720"/>
          <w:tab w:val="left" w:pos="900"/>
        </w:tabs>
        <w:spacing w:line="320" w:lineRule="exact"/>
        <w:rPr>
          <w:rFonts w:ascii="Calibri" w:eastAsia="Arial Unicode MS" w:hAnsi="Calibri"/>
          <w:szCs w:val="22"/>
        </w:rPr>
      </w:pPr>
      <w:bookmarkStart w:id="197" w:name="_DV_M406"/>
      <w:bookmarkStart w:id="198" w:name="_DV_M407"/>
      <w:bookmarkStart w:id="199" w:name="_DV_M408"/>
      <w:bookmarkEnd w:id="197"/>
      <w:bookmarkEnd w:id="198"/>
      <w:bookmarkEnd w:id="199"/>
    </w:p>
    <w:p>
      <w:pPr>
        <w:pStyle w:val="p0"/>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t>(ix)</w:t>
      </w:r>
      <w:r>
        <w:rPr>
          <w:rFonts w:ascii="Calibri" w:eastAsia="Arial Unicode MS" w:hAnsi="Calibri"/>
          <w:szCs w:val="22"/>
        </w:rPr>
        <w:tab/>
        <w:t>a sua situação econômica, financeira e patrimonial, na data em que esta declaração é feita, não sofreu qualquer alteração significativa que possa afetar de maneira adversa sua solvência;</w:t>
      </w:r>
    </w:p>
    <w:p>
      <w:pPr>
        <w:pStyle w:val="p0"/>
        <w:tabs>
          <w:tab w:val="clear" w:pos="720"/>
          <w:tab w:val="left" w:pos="1418"/>
        </w:tabs>
        <w:spacing w:line="320" w:lineRule="exact"/>
        <w:ind w:left="1418" w:hanging="1418"/>
        <w:rPr>
          <w:rFonts w:ascii="Calibri" w:eastAsia="Arial Unicode MS" w:hAnsi="Calibri"/>
          <w:szCs w:val="22"/>
        </w:rPr>
      </w:pPr>
    </w:p>
    <w:p>
      <w:pPr>
        <w:pStyle w:val="p0"/>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lastRenderedPageBreak/>
        <w:t>(x)</w:t>
      </w:r>
      <w:r>
        <w:rPr>
          <w:rFonts w:ascii="Calibri" w:eastAsia="Arial Unicode MS" w:hAnsi="Calibri"/>
          <w:szCs w:val="22"/>
        </w:rPr>
        <w:tab/>
        <w:t>tem plena ciência e concorda integralmente com a forma de divulgação e apuração da Taxa DI, divulgada pela B3, e que a forma de cálculo da remuneração das Debêntures foi determinada por sua livre vontade;</w:t>
      </w:r>
    </w:p>
    <w:p>
      <w:pPr>
        <w:pStyle w:val="p0"/>
        <w:tabs>
          <w:tab w:val="clear" w:pos="720"/>
          <w:tab w:val="left" w:pos="1418"/>
        </w:tabs>
        <w:spacing w:line="320" w:lineRule="exact"/>
        <w:ind w:left="1418" w:hanging="1418"/>
        <w:rPr>
          <w:rFonts w:ascii="Calibri" w:eastAsia="Arial Unicode MS" w:hAnsi="Calibri"/>
          <w:szCs w:val="22"/>
        </w:rPr>
      </w:pPr>
    </w:p>
    <w:p>
      <w:pPr>
        <w:pStyle w:val="p0"/>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t>(xi)</w:t>
      </w:r>
      <w:r>
        <w:rPr>
          <w:rFonts w:ascii="Calibri" w:eastAsia="Arial Unicode MS" w:hAnsi="Calibri"/>
          <w:szCs w:val="22"/>
        </w:rPr>
        <w:tab/>
        <w:t>as demonstrações financeiras da Emissora</w:t>
      </w:r>
      <w:r>
        <w:rPr>
          <w:rFonts w:ascii="Calibri" w:hAnsi="Calibri"/>
          <w:szCs w:val="22"/>
        </w:rPr>
        <w:t xml:space="preserve"> </w:t>
      </w:r>
      <w:r>
        <w:rPr>
          <w:rFonts w:ascii="Calibri" w:eastAsia="Arial Unicode MS" w:hAnsi="Calibri"/>
          <w:szCs w:val="22"/>
        </w:rPr>
        <w:t>relativas aos exercícios sociais encerrados em 31 de dezembro de 2016, 2015 e 2014 representam corretamente a posição patrimonial e financeira da Emissora</w:t>
      </w:r>
      <w:r>
        <w:rPr>
          <w:rFonts w:ascii="Calibri" w:hAnsi="Calibri"/>
          <w:szCs w:val="22"/>
        </w:rPr>
        <w:t xml:space="preserve"> </w:t>
      </w:r>
      <w:r>
        <w:rPr>
          <w:rFonts w:ascii="Calibri" w:eastAsia="Arial Unicode MS" w:hAnsi="Calibri"/>
          <w:szCs w:val="22"/>
        </w:rPr>
        <w:t xml:space="preserve">naquelas datas e períodos e foram devidamente elaboradas em conformidade com os princípios fundamentais de contabilidade do Brasil e refletem corretamente os ativos, passivos e contingências da Emissora; </w:t>
      </w:r>
    </w:p>
    <w:p>
      <w:pPr>
        <w:pStyle w:val="p0"/>
        <w:tabs>
          <w:tab w:val="clear" w:pos="720"/>
          <w:tab w:val="left" w:pos="1418"/>
        </w:tabs>
        <w:spacing w:line="320" w:lineRule="exact"/>
        <w:ind w:left="1418" w:hanging="1418"/>
        <w:rPr>
          <w:rFonts w:ascii="Calibri" w:eastAsia="Arial Unicode MS" w:hAnsi="Calibri"/>
          <w:szCs w:val="22"/>
        </w:rPr>
      </w:pPr>
    </w:p>
    <w:p>
      <w:pPr>
        <w:pStyle w:val="p0"/>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t>(xii)</w:t>
      </w:r>
      <w:r>
        <w:rPr>
          <w:rFonts w:ascii="Calibri" w:eastAsia="Arial Unicode MS" w:hAnsi="Calibri"/>
          <w:szCs w:val="22"/>
        </w:rPr>
        <w:tab/>
        <w:t>não há quaisquer fatos relativos à Emissora</w:t>
      </w:r>
      <w:r>
        <w:rPr>
          <w:rFonts w:ascii="Calibri" w:hAnsi="Calibri"/>
          <w:szCs w:val="22"/>
        </w:rPr>
        <w:t xml:space="preserve"> </w:t>
      </w:r>
      <w:r>
        <w:rPr>
          <w:rFonts w:ascii="Calibri" w:eastAsia="Arial Unicode MS" w:hAnsi="Calibri"/>
          <w:szCs w:val="22"/>
        </w:rPr>
        <w:t>ou às Debêntures que, até a Data de Integralização, deixaram ou deixarão de ser divulgados ao Agente Fiduciário cuja omissão, no contexto da Emissão, faça com que qualquer declaração constante desta Escritura seja enganosa, incorreta ou inverídica;</w:t>
      </w:r>
    </w:p>
    <w:p>
      <w:pPr>
        <w:pStyle w:val="p0"/>
        <w:tabs>
          <w:tab w:val="clear" w:pos="720"/>
          <w:tab w:val="left" w:pos="1418"/>
        </w:tabs>
        <w:spacing w:line="320" w:lineRule="exact"/>
        <w:ind w:left="1418" w:hanging="1418"/>
        <w:rPr>
          <w:rFonts w:ascii="Calibri" w:eastAsia="Arial Unicode MS" w:hAnsi="Calibri"/>
          <w:szCs w:val="22"/>
        </w:rPr>
      </w:pPr>
    </w:p>
    <w:p>
      <w:pPr>
        <w:pStyle w:val="p0"/>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t>(xiii)</w:t>
      </w:r>
      <w:r>
        <w:rPr>
          <w:rFonts w:ascii="Calibri" w:eastAsia="Arial Unicode MS" w:hAnsi="Calibri"/>
          <w:szCs w:val="22"/>
        </w:rPr>
        <w:tab/>
        <w:t>cumprirá todas as obrigações principais e acessórias assumidas nos termos desta Escritura e dos Documentos da Operação.</w:t>
      </w:r>
    </w:p>
    <w:p>
      <w:pPr>
        <w:pStyle w:val="p0"/>
        <w:tabs>
          <w:tab w:val="clear" w:pos="720"/>
          <w:tab w:val="left" w:pos="1418"/>
        </w:tabs>
        <w:spacing w:line="320" w:lineRule="exact"/>
        <w:ind w:left="1418" w:hanging="1418"/>
        <w:rPr>
          <w:rFonts w:ascii="Calibri" w:eastAsia="Arial Unicode MS" w:hAnsi="Calibri"/>
          <w:szCs w:val="22"/>
        </w:rPr>
      </w:pPr>
    </w:p>
    <w:p>
      <w:pPr>
        <w:pStyle w:val="p0"/>
        <w:tabs>
          <w:tab w:val="clear" w:pos="720"/>
          <w:tab w:val="left" w:pos="1418"/>
        </w:tabs>
        <w:spacing w:line="320" w:lineRule="exact"/>
        <w:ind w:left="1418" w:hanging="1418"/>
        <w:rPr>
          <w:rFonts w:ascii="Calibri" w:eastAsia="Arial Unicode MS" w:hAnsi="Calibri"/>
          <w:szCs w:val="22"/>
        </w:rPr>
      </w:pPr>
      <w:r>
        <w:rPr>
          <w:rFonts w:ascii="Calibri" w:eastAsia="Arial Unicode MS" w:hAnsi="Calibri"/>
          <w:szCs w:val="22"/>
        </w:rPr>
        <w:t xml:space="preserve"> </w:t>
      </w:r>
    </w:p>
    <w:p>
      <w:pPr>
        <w:pStyle w:val="p0"/>
        <w:numPr>
          <w:ilvl w:val="0"/>
          <w:numId w:val="20"/>
        </w:numPr>
        <w:tabs>
          <w:tab w:val="clear" w:pos="720"/>
          <w:tab w:val="left" w:pos="1418"/>
        </w:tabs>
        <w:spacing w:line="320" w:lineRule="exact"/>
        <w:ind w:left="1418" w:hanging="1418"/>
        <w:rPr>
          <w:rFonts w:ascii="Calibri" w:eastAsia="Arial Unicode MS" w:hAnsi="Calibri"/>
          <w:szCs w:val="22"/>
        </w:rPr>
      </w:pPr>
      <w:r>
        <w:rPr>
          <w:rFonts w:ascii="Calibri" w:hAnsi="Calibri"/>
          <w:spacing w:val="-2"/>
          <w:szCs w:val="22"/>
        </w:rPr>
        <w:t xml:space="preserve">salvo nos casos em que esteja discutindo a aplicabilidade da lei, tendo sido proferida decisão suspendendo os efeitos da referida norma nas esferas administrativa ou judicial, que não possa causar um Efeito Material Adverso (conforme definido abaixo); </w:t>
      </w:r>
      <w:r>
        <w:rPr>
          <w:rFonts w:ascii="Calibri" w:eastAsia="Arial Unicode MS" w:hAnsi="Calibri"/>
          <w:szCs w:val="22"/>
        </w:rPr>
        <w:t xml:space="preserve">está cumprindo todas as leis, regulamentos, normas administrativas e determinações dos órgãos governamentais, autarquias ou tribunais aplicáveis à condução de seus negócios e que sejam relevantes para a execução de suas atividades, adotando as medidas e ações preventivas ou reparatórias destinadas a evitar ou corrigir eventuais danos ambientais decorrentes do exercício das atividades descritas em seu objeto social; </w:t>
      </w:r>
    </w:p>
    <w:p>
      <w:pPr>
        <w:pStyle w:val="p0"/>
        <w:tabs>
          <w:tab w:val="clear" w:pos="720"/>
          <w:tab w:val="left" w:pos="1418"/>
        </w:tabs>
        <w:spacing w:line="320" w:lineRule="exact"/>
        <w:ind w:left="1287"/>
        <w:rPr>
          <w:rFonts w:ascii="Calibri" w:eastAsia="Arial Unicode MS" w:hAnsi="Calibri"/>
          <w:szCs w:val="22"/>
        </w:rPr>
      </w:pPr>
    </w:p>
    <w:p>
      <w:pPr>
        <w:pStyle w:val="p0"/>
        <w:tabs>
          <w:tab w:val="clear" w:pos="720"/>
          <w:tab w:val="left" w:pos="1418"/>
        </w:tabs>
        <w:spacing w:line="320" w:lineRule="exact"/>
        <w:ind w:left="1418" w:hanging="1418"/>
        <w:rPr>
          <w:rFonts w:ascii="Calibri" w:eastAsia="Arial Unicode MS" w:hAnsi="Calibri"/>
          <w:snapToGrid/>
          <w:szCs w:val="22"/>
        </w:rPr>
      </w:pPr>
      <w:r>
        <w:rPr>
          <w:rFonts w:ascii="Calibri" w:hAnsi="Calibri"/>
          <w:spacing w:val="-2"/>
          <w:szCs w:val="22"/>
        </w:rPr>
        <w:t xml:space="preserve"> </w:t>
      </w:r>
      <w:r>
        <w:rPr>
          <w:rFonts w:ascii="Calibri" w:eastAsia="Arial Unicode MS" w:hAnsi="Calibri"/>
          <w:snapToGrid/>
          <w:szCs w:val="22"/>
        </w:rPr>
        <w:t xml:space="preserve">(xv)     </w:t>
      </w:r>
      <w:r>
        <w:rPr>
          <w:rFonts w:ascii="Calibri" w:eastAsia="Arial Unicode MS" w:hAnsi="Calibri"/>
          <w:snapToGrid/>
          <w:szCs w:val="22"/>
        </w:rPr>
        <w:tab/>
        <w:t>todas as declarações e garantias que constam desta Escritura são, na data de assinatura desta Escritura, verdadeiras, corretas, consistentes e suficientes em todos os seus aspectos materiais;</w:t>
      </w:r>
    </w:p>
    <w:p>
      <w:pPr>
        <w:pStyle w:val="p0"/>
        <w:tabs>
          <w:tab w:val="clear" w:pos="720"/>
          <w:tab w:val="left" w:pos="0"/>
        </w:tabs>
        <w:spacing w:line="320" w:lineRule="exact"/>
        <w:ind w:left="1418" w:hanging="1418"/>
        <w:rPr>
          <w:rFonts w:ascii="Calibri" w:eastAsia="Arial Unicode MS" w:hAnsi="Calibri"/>
          <w:snapToGrid/>
          <w:szCs w:val="22"/>
        </w:rPr>
      </w:pPr>
    </w:p>
    <w:p>
      <w:pPr>
        <w:pStyle w:val="p0"/>
        <w:tabs>
          <w:tab w:val="clear" w:pos="720"/>
          <w:tab w:val="left" w:pos="0"/>
        </w:tabs>
        <w:spacing w:line="320" w:lineRule="exact"/>
        <w:ind w:left="1418" w:right="51" w:hanging="1418"/>
        <w:rPr>
          <w:rFonts w:ascii="Calibri" w:eastAsia="Arial Unicode MS" w:hAnsi="Calibri"/>
          <w:snapToGrid/>
          <w:szCs w:val="22"/>
        </w:rPr>
      </w:pPr>
      <w:r>
        <w:rPr>
          <w:rFonts w:ascii="Calibri" w:eastAsia="Arial Unicode MS" w:hAnsi="Calibri"/>
          <w:snapToGrid/>
          <w:szCs w:val="22"/>
        </w:rPr>
        <w:t>(xvi)</w:t>
      </w:r>
      <w:r>
        <w:rPr>
          <w:rFonts w:ascii="Calibri" w:eastAsia="Arial Unicode MS" w:hAnsi="Calibri"/>
          <w:snapToGrid/>
          <w:szCs w:val="22"/>
        </w:rPr>
        <w:tab/>
        <w:t>esta Escritura constitui obrigação legal, válida, vinculativa e exequível de acordo com os seus termos e condições, com força de título executivo extrajudicial nos termos do artigo 784 da Lei nº 13.105, de 16 de março de 2015 (“</w:t>
      </w:r>
      <w:r>
        <w:rPr>
          <w:rFonts w:ascii="Calibri" w:eastAsia="Arial Unicode MS" w:hAnsi="Calibri"/>
          <w:snapToGrid/>
          <w:szCs w:val="22"/>
          <w:u w:val="single"/>
        </w:rPr>
        <w:t>Código de Processo Civil</w:t>
      </w:r>
      <w:r>
        <w:rPr>
          <w:rFonts w:ascii="Calibri" w:eastAsia="Arial Unicode MS" w:hAnsi="Calibri"/>
          <w:snapToGrid/>
          <w:szCs w:val="22"/>
        </w:rPr>
        <w:t xml:space="preserve">”); </w:t>
      </w:r>
    </w:p>
    <w:p>
      <w:pPr>
        <w:spacing w:line="320" w:lineRule="exact"/>
        <w:ind w:left="1418" w:right="51" w:hanging="1418"/>
        <w:jc w:val="both"/>
        <w:rPr>
          <w:rFonts w:ascii="Calibri" w:eastAsia="Arial Unicode MS" w:hAnsi="Calibri"/>
          <w:sz w:val="22"/>
          <w:szCs w:val="22"/>
        </w:rPr>
      </w:pPr>
    </w:p>
    <w:p>
      <w:pPr>
        <w:spacing w:line="320" w:lineRule="exact"/>
        <w:ind w:left="1418" w:right="51" w:hanging="1418"/>
        <w:jc w:val="both"/>
        <w:rPr>
          <w:rFonts w:ascii="Calibri" w:hAnsi="Calibri"/>
          <w:sz w:val="22"/>
          <w:szCs w:val="22"/>
        </w:rPr>
      </w:pPr>
      <w:r>
        <w:rPr>
          <w:rFonts w:ascii="Calibri" w:eastAsia="Arial Unicode MS" w:hAnsi="Calibri"/>
          <w:sz w:val="22"/>
          <w:szCs w:val="22"/>
        </w:rPr>
        <w:lastRenderedPageBreak/>
        <w:t>(xvii)</w:t>
      </w:r>
      <w:r>
        <w:rPr>
          <w:rFonts w:ascii="Calibri" w:eastAsia="Arial Unicode MS" w:hAnsi="Calibri"/>
          <w:sz w:val="22"/>
          <w:szCs w:val="22"/>
        </w:rPr>
        <w:tab/>
      </w:r>
      <w:r>
        <w:rPr>
          <w:rFonts w:ascii="Calibri" w:hAnsi="Calibri"/>
          <w:bCs/>
          <w:sz w:val="22"/>
          <w:szCs w:val="22"/>
        </w:rPr>
        <w:t xml:space="preserve">(a) </w:t>
      </w:r>
      <w:r>
        <w:rPr>
          <w:rFonts w:ascii="Calibri" w:hAnsi="Calibri"/>
          <w:sz w:val="22"/>
          <w:szCs w:val="22"/>
        </w:rPr>
        <w:t xml:space="preserve">cumpre de forma regular e integral as normas e leis de proteção ambiental aplicáveis a sua atividade, possuindo todas as licenças e autorizações exigidas pelos órgãos competentes para o seu funcionamento, inclusive no que se refere aos seus bens imóveis; </w:t>
      </w:r>
      <w:r>
        <w:rPr>
          <w:rFonts w:ascii="Calibri" w:hAnsi="Calibri"/>
          <w:bCs/>
          <w:sz w:val="22"/>
          <w:szCs w:val="22"/>
        </w:rPr>
        <w:t xml:space="preserve">(b) </w:t>
      </w:r>
      <w:r>
        <w:rPr>
          <w:rFonts w:ascii="Calibri" w:hAnsi="Calibri"/>
          <w:sz w:val="22"/>
          <w:szCs w:val="22"/>
        </w:rPr>
        <w:t xml:space="preserve">cumpre de forma regular e integral todas as normas e leis trabalhistas e relativas a saúde e segurança do trabalho; </w:t>
      </w:r>
      <w:r>
        <w:rPr>
          <w:rFonts w:ascii="Calibri" w:hAnsi="Calibri"/>
          <w:bCs/>
          <w:sz w:val="22"/>
          <w:szCs w:val="22"/>
        </w:rPr>
        <w:t xml:space="preserve">(c) </w:t>
      </w:r>
      <w:r>
        <w:rPr>
          <w:rFonts w:ascii="Calibri" w:hAnsi="Calibri"/>
          <w:sz w:val="22"/>
          <w:szCs w:val="22"/>
        </w:rPr>
        <w:t xml:space="preserve">não se utiliza de trabalho infantil ou análogo a escravo; </w:t>
      </w:r>
      <w:r>
        <w:rPr>
          <w:rFonts w:ascii="Calibri" w:hAnsi="Calibri"/>
          <w:bCs/>
          <w:sz w:val="22"/>
          <w:szCs w:val="22"/>
        </w:rPr>
        <w:t>(d)</w:t>
      </w:r>
      <w:r>
        <w:rPr>
          <w:rFonts w:ascii="Calibri" w:hAnsi="Calibri"/>
          <w:sz w:val="22"/>
          <w:szCs w:val="22"/>
        </w:rPr>
        <w:t xml:space="preserve"> não existem, nesta data, contra si ou empresas pertencentes ao seu grupo econômico condenação em processos judiciais ou administrativos relacionados a infrações ou crimes ambientais ou ao emprego de trabalho escravo ou infantil; e </w:t>
      </w:r>
      <w:r>
        <w:rPr>
          <w:rFonts w:ascii="Calibri" w:hAnsi="Calibri"/>
          <w:bCs/>
          <w:sz w:val="22"/>
          <w:szCs w:val="22"/>
        </w:rPr>
        <w:t xml:space="preserve">(e) </w:t>
      </w:r>
      <w:r>
        <w:rPr>
          <w:rFonts w:ascii="Calibri" w:hAnsi="Calibri"/>
          <w:sz w:val="22"/>
          <w:szCs w:val="22"/>
        </w:rPr>
        <w:t>que a falsidade de qualquer das declarações prestadas neste título ou o descumprimento de quaisquer das obrigações previstas neste item configura um Evento de Inadimplemento; e</w:t>
      </w:r>
    </w:p>
    <w:p>
      <w:pPr>
        <w:spacing w:line="320" w:lineRule="exact"/>
        <w:ind w:left="1418" w:right="51" w:hanging="1418"/>
        <w:jc w:val="both"/>
        <w:rPr>
          <w:rFonts w:ascii="Calibri" w:hAnsi="Calibri"/>
          <w:sz w:val="22"/>
          <w:szCs w:val="22"/>
        </w:rPr>
      </w:pPr>
    </w:p>
    <w:p>
      <w:pPr>
        <w:spacing w:line="320" w:lineRule="exact"/>
        <w:ind w:left="1418" w:right="51" w:hanging="1418"/>
        <w:jc w:val="both"/>
        <w:rPr>
          <w:rFonts w:ascii="Calibri" w:hAnsi="Calibri"/>
          <w:sz w:val="22"/>
          <w:szCs w:val="22"/>
        </w:rPr>
      </w:pPr>
      <w:r>
        <w:rPr>
          <w:rFonts w:ascii="Calibri" w:hAnsi="Calibri"/>
          <w:sz w:val="22"/>
          <w:szCs w:val="22"/>
        </w:rPr>
        <w:t xml:space="preserve">(xviii) </w:t>
      </w:r>
      <w:r>
        <w:rPr>
          <w:rFonts w:ascii="Calibri" w:hAnsi="Calibri"/>
          <w:sz w:val="22"/>
          <w:szCs w:val="22"/>
        </w:rPr>
        <w:tab/>
        <w:t xml:space="preserve">cumpre e faz com que suas controladas e coligadas cumpram, atualmente e durante todo o prazo de vigência das Debêntures, de forma regular e integral a Legislação Anticorrupção, na medida em que: (a) adota programa de integridade, nos termos do Decreto nº 8.420, de 18 de março de 2015, visando a garantir o fiel cumprimento da Legislação Anticorrupção; (b) conhece e entende as disposições da Legislação Anticorrupção dos países em que faz negócios, bem como não adota quaisquer condutas que infrinjam as leis anticorrupção desses países, sendo certo que executa as suas atividades em conformidade com essas leis; (c) seus funcionários, executivos, diretores, administradores, representantes legais e procuradores, no melhor do seu conhecimento, não foram condenados por decisão administrativa definitiva ou judicial transitada em julgado em razão da prática de atos ilícitos previstos na Legislação Anticorrupção, bem como nunca incorreram em tais práticas; (d) adotam as diligências apropriadas, de acordo com as políticas da Emissora, para contratação e supervisão, conforme o caso e quando necessário, de terceiros, tais como fornecedores e prestadores de serviço, de forma a instruir que estes não pratiquem qualquer conduta relacionada à violação dos normativos referidos anteriormente; e </w:t>
      </w:r>
      <w:r>
        <w:rPr>
          <w:rFonts w:ascii="Calibri" w:hAnsi="Calibri"/>
          <w:bCs/>
          <w:sz w:val="22"/>
          <w:szCs w:val="22"/>
        </w:rPr>
        <w:t xml:space="preserve">(e) </w:t>
      </w:r>
      <w:r>
        <w:rPr>
          <w:rFonts w:ascii="Calibri" w:hAnsi="Calibri"/>
          <w:sz w:val="22"/>
          <w:szCs w:val="22"/>
        </w:rPr>
        <w:t>que a falsidade de qualquer das declarações prestadas neste título ou o descumprimento de quaisquer das obrigações previstas neste item configura um Evento de Inadimplemento.</w:t>
      </w:r>
    </w:p>
    <w:p>
      <w:pPr>
        <w:pStyle w:val="p0"/>
        <w:tabs>
          <w:tab w:val="clear" w:pos="720"/>
          <w:tab w:val="left" w:pos="900"/>
        </w:tabs>
        <w:spacing w:line="320" w:lineRule="exact"/>
        <w:ind w:left="720" w:right="51" w:hanging="720"/>
        <w:rPr>
          <w:rFonts w:ascii="Calibri" w:eastAsia="Arial Unicode MS" w:hAnsi="Calibri"/>
          <w:szCs w:val="22"/>
        </w:rPr>
      </w:pPr>
    </w:p>
    <w:p>
      <w:pPr>
        <w:pStyle w:val="DeltaViewTableBody"/>
        <w:numPr>
          <w:ilvl w:val="1"/>
          <w:numId w:val="27"/>
        </w:numPr>
        <w:tabs>
          <w:tab w:val="left" w:pos="1418"/>
        </w:tabs>
        <w:spacing w:line="320" w:lineRule="exact"/>
        <w:ind w:left="0" w:firstLine="0"/>
        <w:jc w:val="both"/>
        <w:outlineLvl w:val="0"/>
        <w:rPr>
          <w:rFonts w:ascii="Calibri" w:eastAsia="Arial Unicode MS" w:hAnsi="Calibri"/>
          <w:szCs w:val="22"/>
          <w:lang w:val="pt-BR"/>
        </w:rPr>
      </w:pPr>
      <w:r>
        <w:rPr>
          <w:rFonts w:ascii="Calibri" w:eastAsia="Arial Unicode MS" w:hAnsi="Calibri"/>
          <w:sz w:val="22"/>
          <w:szCs w:val="22"/>
          <w:lang w:val="pt-BR"/>
        </w:rPr>
        <w:t>Para os fins desta Escritura, Efeito Material Adverso significa qualquer circunstância ou fato, alteração ou efeito sobre a Emissora</w:t>
      </w:r>
      <w:r>
        <w:rPr>
          <w:rFonts w:ascii="Calibri" w:hAnsi="Calibri"/>
          <w:sz w:val="22"/>
          <w:szCs w:val="22"/>
          <w:lang w:val="pt-BR"/>
        </w:rPr>
        <w:t xml:space="preserve"> </w:t>
      </w:r>
      <w:r>
        <w:rPr>
          <w:rFonts w:ascii="Calibri" w:eastAsia="Arial Unicode MS" w:hAnsi="Calibri"/>
          <w:sz w:val="22"/>
          <w:szCs w:val="22"/>
          <w:lang w:val="pt-BR"/>
        </w:rPr>
        <w:t>e/ou as Intervenientes que modifique adversamente e materialmente a condição econômica, financeira, operacional, jurídica ou de qualquer outra natureza, da Emissora</w:t>
      </w:r>
      <w:r>
        <w:rPr>
          <w:rFonts w:ascii="Calibri" w:hAnsi="Calibri"/>
          <w:sz w:val="22"/>
          <w:szCs w:val="22"/>
          <w:lang w:val="pt-BR"/>
        </w:rPr>
        <w:t xml:space="preserve"> </w:t>
      </w:r>
      <w:r>
        <w:rPr>
          <w:rFonts w:ascii="Calibri" w:eastAsia="Arial Unicode MS" w:hAnsi="Calibri"/>
          <w:sz w:val="22"/>
          <w:szCs w:val="22"/>
          <w:lang w:val="pt-BR"/>
        </w:rPr>
        <w:t>e/ou das Intervenientes, de modo a afetar a capacidade da Emissora</w:t>
      </w:r>
      <w:r>
        <w:rPr>
          <w:rFonts w:ascii="Calibri" w:hAnsi="Calibri"/>
          <w:sz w:val="22"/>
          <w:szCs w:val="22"/>
          <w:lang w:val="pt-BR"/>
        </w:rPr>
        <w:t xml:space="preserve"> </w:t>
      </w:r>
      <w:r>
        <w:rPr>
          <w:rFonts w:ascii="Calibri" w:eastAsia="Arial Unicode MS" w:hAnsi="Calibri"/>
          <w:sz w:val="22"/>
          <w:szCs w:val="22"/>
          <w:lang w:val="pt-BR"/>
        </w:rPr>
        <w:t>de cumprir com suas obrigações decorrentes desta Escritura e dos demais Documentos da Operação, conforme aplicável (“</w:t>
      </w:r>
      <w:r>
        <w:rPr>
          <w:rFonts w:ascii="Calibri" w:eastAsia="Arial Unicode MS" w:hAnsi="Calibri"/>
          <w:sz w:val="22"/>
          <w:szCs w:val="22"/>
          <w:u w:val="single"/>
          <w:lang w:val="pt-BR"/>
        </w:rPr>
        <w:t>Efeito Material Adverso</w:t>
      </w:r>
      <w:r>
        <w:rPr>
          <w:rFonts w:ascii="Calibri" w:eastAsia="Arial Unicode MS" w:hAnsi="Calibri"/>
          <w:sz w:val="22"/>
          <w:szCs w:val="22"/>
          <w:lang w:val="pt-BR"/>
        </w:rPr>
        <w:t xml:space="preserve">”). </w:t>
      </w:r>
    </w:p>
    <w:p>
      <w:pPr>
        <w:spacing w:line="320" w:lineRule="exact"/>
        <w:ind w:left="1418" w:hanging="1418"/>
        <w:jc w:val="both"/>
        <w:rPr>
          <w:rFonts w:ascii="Calibri" w:hAnsi="Calibri"/>
          <w:sz w:val="22"/>
          <w:szCs w:val="22"/>
        </w:rPr>
      </w:pPr>
      <w:bookmarkStart w:id="200" w:name="_DV_M409"/>
      <w:bookmarkEnd w:id="200"/>
    </w:p>
    <w:p>
      <w:pPr>
        <w:pStyle w:val="DeltaViewTableBody"/>
        <w:numPr>
          <w:ilvl w:val="1"/>
          <w:numId w:val="27"/>
        </w:numPr>
        <w:tabs>
          <w:tab w:val="left" w:pos="1418"/>
        </w:tabs>
        <w:spacing w:line="320" w:lineRule="exact"/>
        <w:ind w:left="0" w:firstLine="0"/>
        <w:jc w:val="both"/>
        <w:outlineLvl w:val="0"/>
        <w:rPr>
          <w:rFonts w:ascii="Calibri" w:hAnsi="Calibri" w:cs="Times New Roman"/>
          <w:sz w:val="22"/>
          <w:szCs w:val="22"/>
          <w:lang w:val="pt-BR"/>
        </w:rPr>
      </w:pPr>
      <w:r>
        <w:rPr>
          <w:rFonts w:ascii="Calibri" w:eastAsia="Arial Unicode MS" w:hAnsi="Calibri" w:cs="Times New Roman"/>
          <w:snapToGrid w:val="0"/>
          <w:w w:val="0"/>
          <w:sz w:val="22"/>
          <w:szCs w:val="22"/>
          <w:lang w:val="pt-BR"/>
        </w:rPr>
        <w:lastRenderedPageBreak/>
        <w:t>As Intervenientes</w:t>
      </w:r>
      <w:r>
        <w:rPr>
          <w:rFonts w:ascii="Calibri" w:eastAsia="Arial Unicode MS" w:hAnsi="Calibri" w:cs="Times New Roman"/>
          <w:w w:val="0"/>
          <w:sz w:val="22"/>
          <w:szCs w:val="22"/>
          <w:lang w:val="pt-BR"/>
        </w:rPr>
        <w:t xml:space="preserve"> declaram e garantem que:</w:t>
      </w:r>
    </w:p>
    <w:p>
      <w:pPr>
        <w:pStyle w:val="DeltaViewTableBody"/>
        <w:spacing w:line="320" w:lineRule="exact"/>
        <w:jc w:val="both"/>
        <w:outlineLvl w:val="0"/>
        <w:rPr>
          <w:rFonts w:ascii="Calibri" w:hAnsi="Calibri" w:cs="Times New Roman"/>
          <w:sz w:val="22"/>
          <w:szCs w:val="22"/>
          <w:lang w:val="pt-BR"/>
        </w:rPr>
      </w:pPr>
    </w:p>
    <w:p>
      <w:pPr>
        <w:spacing w:line="320" w:lineRule="exact"/>
        <w:ind w:left="1418" w:hanging="1418"/>
        <w:jc w:val="both"/>
        <w:rPr>
          <w:rFonts w:ascii="Calibri" w:hAnsi="Calibri"/>
          <w:sz w:val="22"/>
          <w:szCs w:val="22"/>
        </w:rPr>
      </w:pPr>
      <w:r>
        <w:rPr>
          <w:rFonts w:ascii="Calibri" w:eastAsia="Arial Unicode MS" w:hAnsi="Calibri"/>
          <w:w w:val="0"/>
          <w:sz w:val="22"/>
          <w:szCs w:val="22"/>
        </w:rPr>
        <w:t>(i)</w:t>
      </w:r>
      <w:r>
        <w:rPr>
          <w:rFonts w:ascii="Calibri" w:eastAsia="Arial Unicode MS" w:hAnsi="Calibri"/>
          <w:w w:val="0"/>
          <w:sz w:val="22"/>
          <w:szCs w:val="22"/>
        </w:rPr>
        <w:tab/>
        <w:t>estão devidamente autorizadas a celebrar esta Escritura e os Contratos de Garantia, conforme aplicável, e a cumprir com todas as obrigações neles previstas, tendo sido satisfeitos todos os requisitos legais necessários para tanto;</w:t>
      </w:r>
    </w:p>
    <w:p>
      <w:pPr>
        <w:spacing w:line="320" w:lineRule="exact"/>
        <w:ind w:left="1418" w:hanging="1418"/>
        <w:jc w:val="both"/>
        <w:rPr>
          <w:rFonts w:ascii="Calibri" w:hAnsi="Calibri"/>
          <w:sz w:val="22"/>
          <w:szCs w:val="22"/>
        </w:rPr>
      </w:pPr>
    </w:p>
    <w:p>
      <w:pPr>
        <w:spacing w:line="320" w:lineRule="exact"/>
        <w:ind w:left="1418" w:hanging="1418"/>
        <w:jc w:val="both"/>
        <w:rPr>
          <w:rFonts w:ascii="Calibri" w:hAnsi="Calibri"/>
          <w:sz w:val="22"/>
          <w:szCs w:val="22"/>
        </w:rPr>
      </w:pPr>
      <w:r>
        <w:rPr>
          <w:rFonts w:ascii="Calibri" w:hAnsi="Calibri"/>
          <w:sz w:val="22"/>
          <w:szCs w:val="22"/>
        </w:rPr>
        <w:t>(ii)</w:t>
      </w:r>
      <w:r>
        <w:rPr>
          <w:rFonts w:ascii="Calibri" w:hAnsi="Calibri"/>
          <w:sz w:val="22"/>
          <w:szCs w:val="22"/>
        </w:rPr>
        <w:tab/>
        <w:t>são sociedades</w:t>
      </w:r>
      <w:r>
        <w:rPr>
          <w:rFonts w:ascii="Calibri" w:eastAsia="Arial Unicode MS" w:hAnsi="Calibri"/>
          <w:sz w:val="22"/>
          <w:szCs w:val="22"/>
        </w:rPr>
        <w:t xml:space="preserve"> devidamente organizadas, constituídas e existentes de acordo com as leis brasileiras, bem como estão devidamente autorizadas a desempenhar as atividades descritas em seus respectivos objetos sociais;</w:t>
      </w:r>
    </w:p>
    <w:p>
      <w:pPr>
        <w:spacing w:line="320" w:lineRule="exact"/>
        <w:ind w:left="1418" w:hanging="1418"/>
        <w:jc w:val="both"/>
        <w:rPr>
          <w:rFonts w:ascii="Calibri" w:hAnsi="Calibri"/>
          <w:sz w:val="22"/>
          <w:szCs w:val="22"/>
        </w:rPr>
      </w:pPr>
    </w:p>
    <w:p>
      <w:pPr>
        <w:spacing w:line="320" w:lineRule="exact"/>
        <w:ind w:left="1418" w:hanging="1418"/>
        <w:jc w:val="both"/>
        <w:rPr>
          <w:rFonts w:ascii="Calibri" w:hAnsi="Calibri"/>
          <w:sz w:val="22"/>
          <w:szCs w:val="22"/>
        </w:rPr>
      </w:pPr>
      <w:r>
        <w:rPr>
          <w:rFonts w:ascii="Calibri" w:hAnsi="Calibri"/>
          <w:sz w:val="22"/>
          <w:szCs w:val="22"/>
        </w:rPr>
        <w:t>(iii)</w:t>
      </w:r>
      <w:r>
        <w:rPr>
          <w:rFonts w:ascii="Calibri" w:hAnsi="Calibri"/>
          <w:sz w:val="22"/>
          <w:szCs w:val="22"/>
        </w:rPr>
        <w:tab/>
        <w:t xml:space="preserve">as Garantias constituem obrigação legal válida e vinculante, exequível mediante o implemento das condições contidas nos Contratos de Garantia, de acordo com os seus termos e condições; </w:t>
      </w:r>
    </w:p>
    <w:p>
      <w:pPr>
        <w:spacing w:line="320" w:lineRule="exact"/>
        <w:ind w:left="1418" w:hanging="1418"/>
        <w:jc w:val="both"/>
        <w:rPr>
          <w:rFonts w:ascii="Calibri" w:hAnsi="Calibri"/>
          <w:sz w:val="22"/>
          <w:szCs w:val="22"/>
        </w:rPr>
      </w:pPr>
    </w:p>
    <w:p>
      <w:pPr>
        <w:spacing w:line="320" w:lineRule="exact"/>
        <w:ind w:left="1418" w:hanging="1418"/>
        <w:jc w:val="both"/>
        <w:rPr>
          <w:rFonts w:ascii="Calibri" w:eastAsia="Arial Unicode MS" w:hAnsi="Calibri"/>
          <w:w w:val="0"/>
          <w:sz w:val="22"/>
          <w:szCs w:val="22"/>
        </w:rPr>
      </w:pPr>
      <w:r>
        <w:rPr>
          <w:rFonts w:ascii="Calibri" w:hAnsi="Calibri"/>
          <w:sz w:val="22"/>
          <w:szCs w:val="22"/>
        </w:rPr>
        <w:t>(iv)</w:t>
      </w:r>
      <w:r>
        <w:rPr>
          <w:rFonts w:ascii="Calibri" w:hAnsi="Calibri"/>
          <w:sz w:val="22"/>
          <w:szCs w:val="22"/>
        </w:rPr>
        <w:tab/>
        <w:t>a celebração desta Escritura e outorga das Garantias não infringem qualquer disposição legal, ordem, decisão ou sentença administrativa ou judicial, contrato ou instrumento do qual as Intervenientes sejam parte, nem irá resultar em (a) vencimento antecipado de qualquer obrigação estabelecida em qualquer desses contratos ou instrumentos, (b) criação de qualquer ônus sobre qualquer ativo ou bem das Intervenientes ou de seus controladores, exceto por aqueles descritos nesta Escritura e nos Contratos de Garantia e aqueles já existentes nesta data, ou (c) a rescisão de qualquer desses contratos ou instrumentos</w:t>
      </w:r>
      <w:r>
        <w:rPr>
          <w:rFonts w:ascii="Calibri" w:eastAsia="Arial Unicode MS" w:hAnsi="Calibri"/>
          <w:w w:val="0"/>
          <w:sz w:val="22"/>
          <w:szCs w:val="22"/>
        </w:rPr>
        <w:t xml:space="preserve">; </w:t>
      </w:r>
    </w:p>
    <w:p>
      <w:pPr>
        <w:spacing w:line="320" w:lineRule="exact"/>
        <w:ind w:left="1418" w:hanging="1418"/>
        <w:jc w:val="both"/>
        <w:rPr>
          <w:rFonts w:ascii="Calibri" w:hAnsi="Calibri"/>
          <w:sz w:val="22"/>
          <w:szCs w:val="22"/>
        </w:rPr>
      </w:pPr>
    </w:p>
    <w:p>
      <w:pPr>
        <w:spacing w:line="320" w:lineRule="exact"/>
        <w:ind w:left="1418" w:hanging="1418"/>
        <w:jc w:val="both"/>
        <w:rPr>
          <w:rFonts w:ascii="Calibri" w:hAnsi="Calibri"/>
          <w:sz w:val="22"/>
          <w:szCs w:val="22"/>
        </w:rPr>
      </w:pPr>
      <w:r>
        <w:rPr>
          <w:rFonts w:ascii="Calibri" w:hAnsi="Calibri"/>
          <w:sz w:val="22"/>
          <w:szCs w:val="22"/>
        </w:rPr>
        <w:t>(v)</w:t>
      </w:r>
      <w:r>
        <w:rPr>
          <w:rFonts w:ascii="Calibri" w:hAnsi="Calibri"/>
          <w:sz w:val="22"/>
          <w:szCs w:val="22"/>
        </w:rPr>
        <w:tab/>
        <w:t>todas as autorizações necessárias para a outorga das Garantias foram devidamente obtidas e se encontram em pleno vigor;</w:t>
      </w:r>
    </w:p>
    <w:p>
      <w:pPr>
        <w:spacing w:line="320" w:lineRule="exact"/>
        <w:ind w:left="1418" w:hanging="1418"/>
        <w:jc w:val="both"/>
        <w:rPr>
          <w:rFonts w:ascii="Calibri" w:hAnsi="Calibri"/>
          <w:sz w:val="22"/>
          <w:szCs w:val="22"/>
        </w:rPr>
      </w:pPr>
    </w:p>
    <w:p>
      <w:pPr>
        <w:tabs>
          <w:tab w:val="left" w:pos="1418"/>
        </w:tabs>
        <w:spacing w:line="320" w:lineRule="exact"/>
        <w:ind w:left="1418" w:hanging="1418"/>
        <w:jc w:val="both"/>
        <w:rPr>
          <w:rFonts w:ascii="Calibri" w:hAnsi="Calibri"/>
          <w:sz w:val="22"/>
          <w:szCs w:val="22"/>
        </w:rPr>
      </w:pPr>
      <w:r>
        <w:rPr>
          <w:rFonts w:ascii="Calibri" w:hAnsi="Calibri"/>
          <w:sz w:val="22"/>
          <w:szCs w:val="22"/>
        </w:rPr>
        <w:t xml:space="preserve">(vi) </w:t>
      </w:r>
      <w:r>
        <w:rPr>
          <w:rFonts w:ascii="Calibri" w:hAnsi="Calibri"/>
          <w:sz w:val="22"/>
          <w:szCs w:val="22"/>
        </w:rPr>
        <w:tab/>
        <w:t>todas as declarações e garantias que constam desta Escritura, são, na data de assinatura desta Escritura, verdadeiras, corretas, consistentes e suficientes em todos os seus aspectos materiais; e</w:t>
      </w:r>
    </w:p>
    <w:p>
      <w:pPr>
        <w:pStyle w:val="PargrafodaLista"/>
        <w:spacing w:line="320" w:lineRule="exact"/>
        <w:rPr>
          <w:rFonts w:eastAsia="Times New Roman"/>
        </w:rPr>
      </w:pPr>
    </w:p>
    <w:p>
      <w:pPr>
        <w:spacing w:line="320" w:lineRule="exact"/>
        <w:ind w:left="1418" w:hanging="1418"/>
        <w:jc w:val="both"/>
        <w:rPr>
          <w:rFonts w:ascii="Calibri" w:hAnsi="Calibri"/>
          <w:sz w:val="22"/>
          <w:szCs w:val="22"/>
        </w:rPr>
      </w:pPr>
      <w:r>
        <w:rPr>
          <w:rFonts w:ascii="Calibri" w:hAnsi="Calibri"/>
          <w:sz w:val="22"/>
          <w:szCs w:val="22"/>
        </w:rPr>
        <w:t xml:space="preserve">(vii) </w:t>
      </w:r>
      <w:r>
        <w:rPr>
          <w:rFonts w:ascii="Calibri" w:hAnsi="Calibri"/>
          <w:sz w:val="22"/>
          <w:szCs w:val="22"/>
        </w:rPr>
        <w:tab/>
        <w:t xml:space="preserve">esta Escritura constitui obrigação legal, válida, vinculativa e exequível de acordo com os seus termos e condições, com força de título executivo extrajudicial nos termos do artigo 784 do Código de Processo Civil. </w:t>
      </w:r>
    </w:p>
    <w:p>
      <w:pPr>
        <w:spacing w:line="320" w:lineRule="exact"/>
        <w:jc w:val="both"/>
        <w:rPr>
          <w:rFonts w:ascii="Calibri" w:eastAsia="Arial Unicode MS" w:hAnsi="Calibri"/>
          <w:w w:val="0"/>
          <w:sz w:val="22"/>
          <w:szCs w:val="22"/>
        </w:rPr>
      </w:pPr>
      <w:r>
        <w:rPr>
          <w:rFonts w:ascii="Calibri" w:eastAsia="Arial Unicode MS" w:hAnsi="Calibri"/>
          <w:w w:val="0"/>
          <w:sz w:val="22"/>
          <w:szCs w:val="22"/>
        </w:rPr>
        <w:tab/>
      </w:r>
    </w:p>
    <w:p>
      <w:pPr>
        <w:pStyle w:val="DeltaViewTableBody"/>
        <w:numPr>
          <w:ilvl w:val="1"/>
          <w:numId w:val="27"/>
        </w:numPr>
        <w:tabs>
          <w:tab w:val="left" w:pos="1418"/>
        </w:tabs>
        <w:spacing w:line="320" w:lineRule="exact"/>
        <w:ind w:left="0" w:firstLine="0"/>
        <w:jc w:val="both"/>
        <w:outlineLvl w:val="0"/>
        <w:rPr>
          <w:rFonts w:ascii="Calibri" w:eastAsia="Arial Unicode MS" w:hAnsi="Calibri"/>
          <w:w w:val="0"/>
          <w:sz w:val="22"/>
          <w:szCs w:val="22"/>
          <w:lang w:val="pt-BR"/>
        </w:rPr>
      </w:pPr>
      <w:r>
        <w:rPr>
          <w:rFonts w:ascii="Calibri" w:eastAsia="Arial Unicode MS" w:hAnsi="Calibri"/>
          <w:w w:val="0"/>
          <w:sz w:val="22"/>
          <w:szCs w:val="22"/>
          <w:lang w:val="pt-BR"/>
        </w:rPr>
        <w:t>A Emissora</w:t>
      </w:r>
      <w:r>
        <w:rPr>
          <w:rFonts w:ascii="Calibri" w:hAnsi="Calibri"/>
          <w:sz w:val="22"/>
          <w:szCs w:val="22"/>
          <w:lang w:val="pt-BR"/>
        </w:rPr>
        <w:t xml:space="preserve"> </w:t>
      </w:r>
      <w:r>
        <w:rPr>
          <w:rFonts w:ascii="Calibri" w:eastAsia="Arial Unicode MS" w:hAnsi="Calibri"/>
          <w:w w:val="0"/>
          <w:sz w:val="22"/>
          <w:szCs w:val="22"/>
          <w:lang w:val="pt-BR"/>
        </w:rPr>
        <w:t>e as Intervenientes comprometem-se a notificar o Agente Fiduciário, em até 2 (dois) dias úteis, a contar da data da sua ciência, caso quaisquer das declarações prestadas nesta Cláusula 11 tornem-se total ou parcialmente inverídicas, inconsistentes, imprecisas, incompletas, incorretas ou insuficientes.</w:t>
      </w:r>
    </w:p>
    <w:p>
      <w:pPr>
        <w:spacing w:line="320" w:lineRule="exact"/>
        <w:jc w:val="both"/>
        <w:rPr>
          <w:rFonts w:ascii="Calibri" w:eastAsia="Arial Unicode MS" w:hAnsi="Calibri"/>
          <w:w w:val="0"/>
          <w:sz w:val="22"/>
          <w:szCs w:val="22"/>
        </w:rPr>
      </w:pPr>
    </w:p>
    <w:p>
      <w:pPr>
        <w:pStyle w:val="Ttulo2"/>
        <w:numPr>
          <w:ilvl w:val="0"/>
          <w:numId w:val="27"/>
        </w:numPr>
        <w:tabs>
          <w:tab w:val="left" w:pos="1418"/>
        </w:tabs>
        <w:spacing w:before="0" w:after="0" w:line="320" w:lineRule="exact"/>
        <w:ind w:left="0" w:firstLine="0"/>
        <w:jc w:val="both"/>
        <w:rPr>
          <w:rFonts w:ascii="Calibri" w:hAnsi="Calibri" w:cs="Times New Roman"/>
          <w:w w:val="0"/>
          <w:sz w:val="22"/>
          <w:szCs w:val="22"/>
        </w:rPr>
      </w:pPr>
      <w:bookmarkStart w:id="201" w:name="_DV_M410"/>
      <w:bookmarkEnd w:id="201"/>
      <w:r>
        <w:rPr>
          <w:rFonts w:ascii="Calibri" w:hAnsi="Calibri" w:cs="Times New Roman"/>
          <w:i w:val="0"/>
          <w:w w:val="0"/>
          <w:sz w:val="22"/>
          <w:szCs w:val="22"/>
        </w:rPr>
        <w:lastRenderedPageBreak/>
        <w:tab/>
        <w:t>DAS DISPOSIÇÕES GERAIS</w:t>
      </w:r>
    </w:p>
    <w:p>
      <w:pPr>
        <w:pStyle w:val="Ttulo2"/>
        <w:spacing w:before="0" w:after="0" w:line="320" w:lineRule="exact"/>
        <w:jc w:val="both"/>
        <w:rPr>
          <w:rFonts w:ascii="Calibri" w:hAnsi="Calibri" w:cs="Times New Roman"/>
          <w:w w:val="0"/>
          <w:sz w:val="22"/>
          <w:szCs w:val="22"/>
        </w:rPr>
      </w:pPr>
    </w:p>
    <w:p>
      <w:pPr>
        <w:numPr>
          <w:ilvl w:val="1"/>
          <w:numId w:val="27"/>
        </w:numPr>
        <w:shd w:val="clear" w:color="auto" w:fill="FFFFFF"/>
        <w:tabs>
          <w:tab w:val="left" w:pos="851"/>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bookmarkStart w:id="202" w:name="_DV_M165"/>
      <w:bookmarkEnd w:id="202"/>
      <w:r>
        <w:rPr>
          <w:rFonts w:ascii="Calibri" w:eastAsia="Arial Unicode MS" w:hAnsi="Calibri"/>
          <w:w w:val="0"/>
          <w:sz w:val="22"/>
          <w:szCs w:val="22"/>
        </w:rPr>
        <w:tab/>
        <w:t>As comunicações a serem enviadas por qualquer das Partes nos termos desta Escritura deverão ser encaminhadas para os seguintes endereços:</w:t>
      </w:r>
    </w:p>
    <w:p>
      <w:pPr>
        <w:pStyle w:val="p0"/>
        <w:spacing w:line="320" w:lineRule="exact"/>
        <w:rPr>
          <w:rFonts w:ascii="Calibri" w:eastAsia="Arial Unicode MS" w:hAnsi="Calibri"/>
          <w:snapToGrid/>
          <w:szCs w:val="22"/>
        </w:rPr>
      </w:pPr>
      <w:bookmarkStart w:id="203" w:name="_DV_M166"/>
      <w:bookmarkEnd w:id="203"/>
    </w:p>
    <w:p>
      <w:pPr>
        <w:pStyle w:val="p0"/>
        <w:numPr>
          <w:ilvl w:val="0"/>
          <w:numId w:val="7"/>
        </w:numPr>
        <w:spacing w:line="320" w:lineRule="exact"/>
        <w:ind w:left="1418" w:hanging="1418"/>
        <w:rPr>
          <w:rFonts w:ascii="Calibri" w:eastAsia="Arial Unicode MS" w:hAnsi="Calibri"/>
          <w:szCs w:val="22"/>
        </w:rPr>
      </w:pPr>
      <w:r>
        <w:rPr>
          <w:rFonts w:ascii="Calibri" w:eastAsia="Arial Unicode MS" w:hAnsi="Calibri"/>
          <w:snapToGrid/>
          <w:szCs w:val="22"/>
        </w:rPr>
        <w:tab/>
      </w:r>
      <w:r>
        <w:rPr>
          <w:rFonts w:ascii="Calibri" w:eastAsia="Arial Unicode MS" w:hAnsi="Calibri"/>
          <w:szCs w:val="22"/>
        </w:rPr>
        <w:t>Para a Emissora:</w:t>
      </w:r>
    </w:p>
    <w:p>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b/>
          <w:smallCaps/>
          <w:w w:val="0"/>
          <w:sz w:val="22"/>
          <w:szCs w:val="22"/>
        </w:rPr>
      </w:pPr>
      <w:bookmarkStart w:id="204" w:name="_DV_M167"/>
      <w:bookmarkEnd w:id="204"/>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hAnsi="Calibri"/>
          <w:b/>
          <w:sz w:val="22"/>
          <w:szCs w:val="22"/>
        </w:rPr>
      </w:pPr>
      <w:bookmarkStart w:id="205" w:name="_DV_M168"/>
      <w:bookmarkEnd w:id="205"/>
      <w:r>
        <w:rPr>
          <w:rFonts w:ascii="Calibri" w:hAnsi="Calibri"/>
          <w:b/>
          <w:sz w:val="22"/>
          <w:szCs w:val="22"/>
        </w:rPr>
        <w:t>LOG COMMERCIAL PROPERTIES E PARTICIPAÇÕES S.A.</w:t>
      </w:r>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eastAsia="Arial Unicode MS" w:hAnsi="Calibri"/>
          <w:w w:val="0"/>
          <w:sz w:val="22"/>
          <w:szCs w:val="22"/>
        </w:rPr>
      </w:pPr>
      <w:r>
        <w:rPr>
          <w:rFonts w:ascii="Calibri" w:hAnsi="Calibri"/>
          <w:sz w:val="22"/>
          <w:szCs w:val="22"/>
        </w:rPr>
        <w:t>Avenida Professor Mário Werneck, nº 621, 10º andar</w:t>
      </w:r>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eastAsia="Arial Unicode MS" w:hAnsi="Calibri"/>
          <w:w w:val="0"/>
          <w:sz w:val="22"/>
          <w:szCs w:val="22"/>
        </w:rPr>
      </w:pPr>
      <w:bookmarkStart w:id="206" w:name="_DV_M169"/>
      <w:bookmarkEnd w:id="206"/>
      <w:r>
        <w:rPr>
          <w:rFonts w:ascii="Calibri" w:eastAsia="Arial Unicode MS" w:hAnsi="Calibri"/>
          <w:w w:val="0"/>
          <w:sz w:val="22"/>
          <w:szCs w:val="22"/>
        </w:rPr>
        <w:t>Belo Horizonte - MG</w:t>
      </w:r>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eastAsia="Arial Unicode MS" w:hAnsi="Calibri"/>
          <w:w w:val="0"/>
          <w:sz w:val="22"/>
          <w:szCs w:val="22"/>
        </w:rPr>
      </w:pPr>
      <w:bookmarkStart w:id="207" w:name="_DV_M170"/>
      <w:bookmarkStart w:id="208" w:name="_DV_M171"/>
      <w:bookmarkStart w:id="209" w:name="_DV_M172"/>
      <w:bookmarkStart w:id="210" w:name="_DV_M173"/>
      <w:bookmarkEnd w:id="207"/>
      <w:bookmarkEnd w:id="208"/>
      <w:bookmarkEnd w:id="209"/>
      <w:bookmarkEnd w:id="210"/>
      <w:r>
        <w:rPr>
          <w:rFonts w:ascii="Calibri" w:hAnsi="Calibri"/>
          <w:sz w:val="22"/>
          <w:szCs w:val="22"/>
        </w:rPr>
        <w:t>CEP 30455-610</w:t>
      </w:r>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eastAsia="Arial Unicode MS" w:hAnsi="Calibri"/>
          <w:w w:val="0"/>
          <w:sz w:val="22"/>
          <w:szCs w:val="22"/>
        </w:rPr>
      </w:pPr>
      <w:r>
        <w:rPr>
          <w:rFonts w:ascii="Calibri" w:eastAsia="Arial Unicode MS" w:hAnsi="Calibri"/>
          <w:w w:val="0"/>
          <w:sz w:val="22"/>
          <w:szCs w:val="22"/>
        </w:rPr>
        <w:t xml:space="preserve">At.: Sr. </w:t>
      </w:r>
      <w:smartTag w:uri="urn:schemas-microsoft-com:office:smarttags" w:element="PersonName">
        <w:r>
          <w:rPr>
            <w:rFonts w:ascii="Calibri" w:eastAsia="Arial Unicode MS" w:hAnsi="Calibri"/>
            <w:w w:val="0"/>
            <w:sz w:val="22"/>
            <w:szCs w:val="22"/>
          </w:rPr>
          <w:t>Felipe Enck Gonçalves</w:t>
        </w:r>
      </w:smartTag>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eastAsia="Arial Unicode MS" w:hAnsi="Calibri"/>
          <w:w w:val="0"/>
          <w:sz w:val="22"/>
          <w:szCs w:val="22"/>
        </w:rPr>
      </w:pPr>
      <w:r>
        <w:rPr>
          <w:rFonts w:ascii="Calibri" w:eastAsia="Arial Unicode MS" w:hAnsi="Calibri"/>
          <w:w w:val="0"/>
          <w:sz w:val="22"/>
          <w:szCs w:val="22"/>
        </w:rPr>
        <w:t xml:space="preserve">Telefone: </w:t>
      </w:r>
      <w:smartTag w:uri="urn:schemas-microsoft-com:office:smarttags" w:element="phone">
        <w:smartTagPr>
          <w:attr w:uri="urn:schemas-microsoft-com:office:office" w:name="ls" w:val="trans"/>
        </w:smartTagPr>
        <w:r>
          <w:rPr>
            <w:rFonts w:ascii="Calibri" w:eastAsia="Arial Unicode MS" w:hAnsi="Calibri"/>
            <w:w w:val="0"/>
            <w:sz w:val="22"/>
            <w:szCs w:val="22"/>
          </w:rPr>
          <w:t>(</w:t>
        </w:r>
        <w:r>
          <w:rPr>
            <w:rFonts w:ascii="Calibri" w:hAnsi="Calibri"/>
            <w:smallCaps/>
            <w:sz w:val="22"/>
            <w:szCs w:val="22"/>
          </w:rPr>
          <w:t>31</w:t>
        </w:r>
        <w:r>
          <w:rPr>
            <w:rFonts w:ascii="Calibri" w:eastAsia="Arial Unicode MS" w:hAnsi="Calibri"/>
            <w:w w:val="0"/>
            <w:sz w:val="22"/>
            <w:szCs w:val="22"/>
          </w:rPr>
          <w:t xml:space="preserve">) </w:t>
        </w:r>
        <w:r>
          <w:rPr>
            <w:rFonts w:ascii="Calibri" w:hAnsi="Calibri"/>
            <w:smallCaps/>
            <w:sz w:val="22"/>
            <w:szCs w:val="22"/>
          </w:rPr>
          <w:t>3615-8497</w:t>
        </w:r>
      </w:smartTag>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eastAsia="Arial Unicode MS" w:hAnsi="Calibri"/>
          <w:w w:val="0"/>
          <w:sz w:val="22"/>
          <w:szCs w:val="22"/>
        </w:rPr>
      </w:pPr>
      <w:r>
        <w:rPr>
          <w:rFonts w:ascii="Calibri" w:eastAsia="Arial Unicode MS" w:hAnsi="Calibri"/>
          <w:i/>
          <w:w w:val="0"/>
          <w:sz w:val="22"/>
          <w:szCs w:val="22"/>
        </w:rPr>
        <w:t>e-mail</w:t>
      </w:r>
      <w:r>
        <w:rPr>
          <w:rFonts w:ascii="Calibri" w:eastAsia="Arial Unicode MS" w:hAnsi="Calibri"/>
          <w:w w:val="0"/>
          <w:sz w:val="22"/>
          <w:szCs w:val="22"/>
        </w:rPr>
        <w:t xml:space="preserve">: </w:t>
      </w:r>
      <w:r>
        <w:rPr>
          <w:rFonts w:ascii="Calibri" w:hAnsi="Calibri"/>
          <w:sz w:val="22"/>
          <w:szCs w:val="22"/>
        </w:rPr>
        <w:t>felipe.goncalves@logcp.com.br</w:t>
      </w:r>
    </w:p>
    <w:p>
      <w:pPr>
        <w:spacing w:line="320" w:lineRule="exact"/>
        <w:jc w:val="both"/>
        <w:rPr>
          <w:rFonts w:ascii="Calibri" w:hAnsi="Calibri"/>
          <w:sz w:val="22"/>
          <w:szCs w:val="22"/>
        </w:rPr>
      </w:pPr>
      <w:r>
        <w:rPr>
          <w:rFonts w:ascii="Calibri" w:hAnsi="Calibri"/>
          <w:sz w:val="22"/>
          <w:szCs w:val="22"/>
        </w:rPr>
        <w:t xml:space="preserve"> </w:t>
      </w:r>
    </w:p>
    <w:p>
      <w:pPr>
        <w:pStyle w:val="p0"/>
        <w:spacing w:line="320" w:lineRule="exact"/>
        <w:rPr>
          <w:rFonts w:ascii="Calibri" w:eastAsia="Arial Unicode MS" w:hAnsi="Calibri"/>
          <w:szCs w:val="22"/>
        </w:rPr>
      </w:pPr>
      <w:r>
        <w:rPr>
          <w:rFonts w:ascii="Calibri" w:eastAsia="Arial Unicode MS" w:hAnsi="Calibri"/>
          <w:szCs w:val="22"/>
        </w:rPr>
        <w:t>(ii)</w:t>
      </w:r>
      <w:r>
        <w:rPr>
          <w:rFonts w:ascii="Calibri" w:eastAsia="Arial Unicode MS" w:hAnsi="Calibri"/>
          <w:szCs w:val="22"/>
        </w:rPr>
        <w:tab/>
      </w:r>
      <w:r>
        <w:rPr>
          <w:rFonts w:ascii="Calibri" w:eastAsia="Arial Unicode MS" w:hAnsi="Calibri"/>
          <w:szCs w:val="22"/>
        </w:rPr>
        <w:tab/>
        <w:t>Para as Intervenientes:</w:t>
      </w:r>
    </w:p>
    <w:p>
      <w:pPr>
        <w:pStyle w:val="p0"/>
        <w:spacing w:line="320" w:lineRule="exact"/>
        <w:rPr>
          <w:rFonts w:ascii="Calibri" w:eastAsia="Arial Unicode MS" w:hAnsi="Calibri"/>
          <w:szCs w:val="22"/>
        </w:rPr>
      </w:pPr>
      <w:r>
        <w:rPr>
          <w:rFonts w:ascii="Calibri" w:eastAsia="Arial Unicode MS" w:hAnsi="Calibri"/>
          <w:szCs w:val="22"/>
        </w:rPr>
        <w:tab/>
      </w:r>
      <w:r>
        <w:rPr>
          <w:rFonts w:ascii="Calibri" w:eastAsia="Arial Unicode MS" w:hAnsi="Calibri"/>
          <w:szCs w:val="22"/>
        </w:rPr>
        <w:tab/>
      </w:r>
    </w:p>
    <w:p>
      <w:pPr>
        <w:pStyle w:val="p0"/>
        <w:spacing w:line="320" w:lineRule="exact"/>
        <w:ind w:left="1418"/>
        <w:rPr>
          <w:rFonts w:asciiTheme="minorHAnsi" w:hAnsiTheme="minorHAnsi" w:cstheme="minorHAnsi"/>
          <w:color w:val="000000"/>
          <w:szCs w:val="22"/>
        </w:rPr>
      </w:pPr>
      <w:r>
        <w:rPr>
          <w:rFonts w:ascii="Calibri" w:eastAsia="Arial Unicode MS" w:hAnsi="Calibri"/>
          <w:b/>
          <w:szCs w:val="22"/>
        </w:rPr>
        <w:tab/>
      </w:r>
      <w:r>
        <w:rPr>
          <w:rFonts w:asciiTheme="minorHAnsi" w:hAnsiTheme="minorHAnsi" w:cstheme="minorHAnsi"/>
          <w:b/>
          <w:color w:val="000000"/>
          <w:szCs w:val="22"/>
        </w:rPr>
        <w:t>GOIÂNIA I INCORPORAÇÕES IMOBILIÁRIAS SPE LTDA</w:t>
      </w:r>
      <w:r>
        <w:rPr>
          <w:rFonts w:asciiTheme="minorHAnsi" w:hAnsiTheme="minorHAnsi" w:cstheme="minorHAnsi"/>
          <w:color w:val="000000"/>
          <w:szCs w:val="22"/>
        </w:rPr>
        <w:t>.</w:t>
      </w:r>
    </w:p>
    <w:p>
      <w:pPr>
        <w:pStyle w:val="p0"/>
        <w:spacing w:line="320" w:lineRule="exact"/>
        <w:ind w:left="1418"/>
        <w:rPr>
          <w:rFonts w:ascii="Calibri" w:hAnsi="Calibri"/>
          <w:b/>
          <w:szCs w:val="22"/>
        </w:rPr>
      </w:pPr>
      <w:r>
        <w:rPr>
          <w:rFonts w:asciiTheme="minorHAnsi" w:hAnsiTheme="minorHAnsi" w:cstheme="minorHAnsi"/>
          <w:szCs w:val="22"/>
        </w:rPr>
        <w:t>Rua 9, nº 1.278, sala 07, Galeria Via 9 Oeste, Setor Oeste,</w:t>
      </w:r>
    </w:p>
    <w:p>
      <w:pPr>
        <w:pStyle w:val="p0"/>
        <w:spacing w:line="320" w:lineRule="exact"/>
        <w:ind w:left="1418"/>
        <w:rPr>
          <w:rFonts w:asciiTheme="minorHAnsi" w:hAnsiTheme="minorHAnsi" w:cstheme="minorHAnsi"/>
          <w:szCs w:val="22"/>
        </w:rPr>
      </w:pPr>
      <w:r>
        <w:rPr>
          <w:rFonts w:asciiTheme="minorHAnsi" w:hAnsiTheme="minorHAnsi" w:cstheme="minorHAnsi"/>
          <w:szCs w:val="22"/>
        </w:rPr>
        <w:t>Goiânia/GO</w:t>
      </w:r>
    </w:p>
    <w:p>
      <w:pPr>
        <w:pStyle w:val="p0"/>
        <w:spacing w:line="320" w:lineRule="exact"/>
        <w:ind w:left="1418"/>
        <w:rPr>
          <w:rFonts w:ascii="Calibri" w:hAnsi="Calibri"/>
          <w:szCs w:val="22"/>
        </w:rPr>
      </w:pPr>
      <w:r>
        <w:rPr>
          <w:rFonts w:asciiTheme="minorHAnsi" w:hAnsiTheme="minorHAnsi" w:cstheme="minorHAnsi"/>
          <w:szCs w:val="22"/>
        </w:rPr>
        <w:t>CEP 74110-100</w:t>
      </w:r>
      <w:r>
        <w:rPr>
          <w:rFonts w:ascii="Calibri" w:hAnsi="Calibri"/>
          <w:szCs w:val="22"/>
        </w:rPr>
        <w:t xml:space="preserve"> </w:t>
      </w:r>
    </w:p>
    <w:p>
      <w:pPr>
        <w:pStyle w:val="p0"/>
        <w:spacing w:line="320" w:lineRule="exact"/>
        <w:ind w:left="1418"/>
        <w:rPr>
          <w:rFonts w:ascii="Calibri" w:eastAsia="Arial Unicode MS" w:hAnsi="Calibri"/>
          <w:szCs w:val="22"/>
        </w:rPr>
      </w:pPr>
      <w:r>
        <w:rPr>
          <w:rFonts w:ascii="Calibri" w:eastAsia="Arial Unicode MS" w:hAnsi="Calibri"/>
          <w:szCs w:val="22"/>
        </w:rPr>
        <w:t>At.: Sr. Felipe Enck Gonçalves</w:t>
      </w:r>
    </w:p>
    <w:p>
      <w:pPr>
        <w:pStyle w:val="p0"/>
        <w:spacing w:line="320" w:lineRule="exact"/>
        <w:ind w:left="1418"/>
        <w:rPr>
          <w:rFonts w:ascii="Calibri" w:eastAsia="Arial Unicode MS" w:hAnsi="Calibri"/>
          <w:szCs w:val="22"/>
        </w:rPr>
      </w:pPr>
      <w:r>
        <w:rPr>
          <w:rFonts w:ascii="Calibri" w:eastAsia="Arial Unicode MS" w:hAnsi="Calibri"/>
          <w:szCs w:val="22"/>
        </w:rPr>
        <w:t>Telefone: (31) 3615-8497</w:t>
      </w:r>
    </w:p>
    <w:p>
      <w:pPr>
        <w:pStyle w:val="p0"/>
        <w:spacing w:line="320" w:lineRule="exact"/>
        <w:ind w:left="1418"/>
        <w:rPr>
          <w:rFonts w:ascii="Calibri" w:hAnsi="Calibri"/>
          <w:szCs w:val="22"/>
        </w:rPr>
      </w:pPr>
      <w:r>
        <w:rPr>
          <w:rFonts w:ascii="Calibri" w:eastAsia="Arial Unicode MS" w:hAnsi="Calibri"/>
          <w:szCs w:val="22"/>
        </w:rPr>
        <w:t>e-mail: felipe.goncalves@logcp.com.br</w:t>
      </w:r>
      <w:r>
        <w:rPr>
          <w:rFonts w:ascii="Calibri" w:hAnsi="Calibri"/>
          <w:szCs w:val="22"/>
        </w:rPr>
        <w:t xml:space="preserve"> </w:t>
      </w:r>
    </w:p>
    <w:p>
      <w:pPr>
        <w:pStyle w:val="p0"/>
        <w:spacing w:line="320" w:lineRule="exact"/>
        <w:ind w:left="1418"/>
        <w:rPr>
          <w:rFonts w:ascii="Calibri" w:hAnsi="Calibri"/>
          <w:szCs w:val="22"/>
        </w:rPr>
      </w:pPr>
    </w:p>
    <w:p>
      <w:pPr>
        <w:pStyle w:val="p0"/>
        <w:spacing w:line="320" w:lineRule="exact"/>
        <w:rPr>
          <w:rFonts w:ascii="Calibri" w:hAnsi="Calibri"/>
          <w:szCs w:val="22"/>
        </w:rPr>
      </w:pPr>
      <w:r>
        <w:rPr>
          <w:rFonts w:ascii="Calibri" w:eastAsia="Arial Unicode MS" w:hAnsi="Calibri"/>
          <w:b/>
          <w:szCs w:val="22"/>
        </w:rPr>
        <w:tab/>
      </w:r>
      <w:r>
        <w:rPr>
          <w:rFonts w:ascii="Calibri" w:eastAsia="Arial Unicode MS" w:hAnsi="Calibri"/>
          <w:b/>
          <w:szCs w:val="22"/>
        </w:rPr>
        <w:tab/>
      </w:r>
      <w:r>
        <w:rPr>
          <w:rFonts w:ascii="Calibri" w:hAnsi="Calibri"/>
          <w:b/>
          <w:szCs w:val="22"/>
        </w:rPr>
        <w:t>LOG SÃO JOSÉ DOS PINHAIS I SPE LTDA</w:t>
      </w:r>
      <w:r>
        <w:rPr>
          <w:rFonts w:ascii="Calibri" w:hAnsi="Calibri"/>
          <w:szCs w:val="22"/>
        </w:rPr>
        <w:t>.</w:t>
      </w:r>
    </w:p>
    <w:p>
      <w:pPr>
        <w:pStyle w:val="p0"/>
        <w:spacing w:line="320" w:lineRule="exact"/>
        <w:ind w:left="1400" w:firstLine="18"/>
        <w:rPr>
          <w:rFonts w:ascii="Calibri" w:hAnsi="Calibri"/>
          <w:szCs w:val="22"/>
        </w:rPr>
      </w:pPr>
      <w:r>
        <w:rPr>
          <w:rFonts w:ascii="Calibri" w:hAnsi="Calibri"/>
          <w:szCs w:val="22"/>
        </w:rPr>
        <w:t xml:space="preserve">Alameda Bom Pastor, nº 3.586, Bairro Ouro Fino </w:t>
      </w:r>
    </w:p>
    <w:p>
      <w:pPr>
        <w:pStyle w:val="p0"/>
        <w:spacing w:line="320" w:lineRule="exact"/>
        <w:ind w:left="1418"/>
        <w:rPr>
          <w:rFonts w:ascii="Calibri" w:eastAsia="Arial Unicode MS" w:hAnsi="Calibri"/>
          <w:szCs w:val="22"/>
        </w:rPr>
      </w:pPr>
      <w:r>
        <w:rPr>
          <w:rFonts w:ascii="Calibri" w:eastAsia="Arial Unicode MS" w:hAnsi="Calibri"/>
          <w:szCs w:val="22"/>
        </w:rPr>
        <w:t>São José dos Pinhais – PR</w:t>
      </w:r>
    </w:p>
    <w:p>
      <w:pPr>
        <w:pStyle w:val="p0"/>
        <w:spacing w:line="320" w:lineRule="exact"/>
        <w:ind w:left="1418"/>
        <w:rPr>
          <w:rFonts w:ascii="Calibri" w:eastAsia="Arial Unicode MS" w:hAnsi="Calibri"/>
          <w:szCs w:val="22"/>
        </w:rPr>
      </w:pPr>
      <w:r>
        <w:rPr>
          <w:rFonts w:ascii="Calibri" w:eastAsia="Arial Unicode MS" w:hAnsi="Calibri"/>
          <w:szCs w:val="22"/>
        </w:rPr>
        <w:t>CEP: 83.015-140</w:t>
      </w:r>
    </w:p>
    <w:p>
      <w:pPr>
        <w:pStyle w:val="p0"/>
        <w:spacing w:line="320" w:lineRule="exact"/>
        <w:ind w:left="1418"/>
        <w:rPr>
          <w:rFonts w:ascii="Calibri" w:eastAsia="Arial Unicode MS" w:hAnsi="Calibri"/>
          <w:szCs w:val="22"/>
        </w:rPr>
      </w:pPr>
      <w:r>
        <w:rPr>
          <w:rFonts w:ascii="Calibri" w:eastAsia="Arial Unicode MS" w:hAnsi="Calibri"/>
          <w:szCs w:val="22"/>
        </w:rPr>
        <w:t>At.: Sr. Felipe Enck Gonçalves</w:t>
      </w:r>
    </w:p>
    <w:p>
      <w:pPr>
        <w:pStyle w:val="p0"/>
        <w:spacing w:line="320" w:lineRule="exact"/>
        <w:ind w:left="1418"/>
        <w:rPr>
          <w:rFonts w:ascii="Calibri" w:eastAsia="Arial Unicode MS" w:hAnsi="Calibri"/>
          <w:szCs w:val="22"/>
        </w:rPr>
      </w:pPr>
      <w:r>
        <w:rPr>
          <w:rFonts w:ascii="Calibri" w:eastAsia="Arial Unicode MS" w:hAnsi="Calibri"/>
          <w:szCs w:val="22"/>
        </w:rPr>
        <w:t>Telefone: (31) 3615-8497</w:t>
      </w:r>
    </w:p>
    <w:p>
      <w:pPr>
        <w:pStyle w:val="p0"/>
        <w:spacing w:line="320" w:lineRule="exact"/>
        <w:ind w:left="1418"/>
        <w:rPr>
          <w:rFonts w:ascii="Calibri" w:hAnsi="Calibri"/>
          <w:szCs w:val="22"/>
        </w:rPr>
      </w:pPr>
      <w:r>
        <w:rPr>
          <w:rFonts w:ascii="Calibri" w:eastAsia="Arial Unicode MS" w:hAnsi="Calibri"/>
          <w:szCs w:val="22"/>
        </w:rPr>
        <w:t>e-mail: felipe.goncalves@logcp.com.br</w:t>
      </w:r>
      <w:r>
        <w:rPr>
          <w:rFonts w:ascii="Calibri" w:hAnsi="Calibri"/>
          <w:szCs w:val="22"/>
        </w:rPr>
        <w:t xml:space="preserve"> </w:t>
      </w:r>
    </w:p>
    <w:p>
      <w:pPr>
        <w:pStyle w:val="p0"/>
        <w:spacing w:line="320" w:lineRule="exact"/>
        <w:rPr>
          <w:rFonts w:ascii="Calibri" w:eastAsia="Arial Unicode MS" w:hAnsi="Calibri"/>
          <w:szCs w:val="22"/>
        </w:rPr>
      </w:pPr>
    </w:p>
    <w:p>
      <w:pPr>
        <w:pStyle w:val="p0"/>
        <w:spacing w:line="320" w:lineRule="exact"/>
        <w:rPr>
          <w:rFonts w:ascii="Calibri" w:eastAsia="Arial Unicode MS" w:hAnsi="Calibri"/>
          <w:szCs w:val="22"/>
        </w:rPr>
      </w:pPr>
      <w:r>
        <w:rPr>
          <w:rFonts w:ascii="Calibri" w:eastAsia="Arial Unicode MS" w:hAnsi="Calibri"/>
          <w:szCs w:val="22"/>
        </w:rPr>
        <w:t xml:space="preserve">(iii) </w:t>
      </w:r>
      <w:r>
        <w:rPr>
          <w:rFonts w:ascii="Calibri" w:eastAsia="Arial Unicode MS" w:hAnsi="Calibri"/>
          <w:szCs w:val="22"/>
        </w:rPr>
        <w:tab/>
      </w:r>
      <w:r>
        <w:rPr>
          <w:rFonts w:ascii="Calibri" w:eastAsia="Arial Unicode MS" w:hAnsi="Calibri"/>
          <w:szCs w:val="22"/>
        </w:rPr>
        <w:tab/>
        <w:t xml:space="preserve">Para o Agente Fiduciário: </w:t>
      </w:r>
    </w:p>
    <w:p>
      <w:pPr>
        <w:pStyle w:val="p0"/>
        <w:spacing w:line="320" w:lineRule="exact"/>
        <w:rPr>
          <w:rFonts w:ascii="Calibri" w:eastAsia="Arial Unicode MS" w:hAnsi="Calibri"/>
          <w:szCs w:val="22"/>
        </w:rPr>
      </w:pPr>
    </w:p>
    <w:p>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320" w:lineRule="exact"/>
        <w:ind w:left="1418"/>
        <w:jc w:val="both"/>
        <w:rPr>
          <w:rFonts w:ascii="Calibri" w:hAnsi="Calibri"/>
          <w:b/>
          <w:sz w:val="22"/>
          <w:szCs w:val="22"/>
        </w:rPr>
      </w:pPr>
      <w:bookmarkStart w:id="211" w:name="_DV_M174"/>
      <w:bookmarkEnd w:id="211"/>
      <w:r>
        <w:rPr>
          <w:rFonts w:ascii="Calibri" w:hAnsi="Calibri"/>
          <w:b/>
          <w:sz w:val="22"/>
          <w:szCs w:val="22"/>
        </w:rPr>
        <w:t>OLIVEIRA TRUST DISTRIBUIDORA DE TÍTULOS E VALORES MOBILIÁRIOS S.A.</w:t>
      </w:r>
    </w:p>
    <w:p>
      <w:pPr>
        <w:suppressAutoHyphens/>
        <w:ind w:left="1418"/>
        <w:rPr>
          <w:rFonts w:ascii="Calibri" w:eastAsia="Arial Unicode MS" w:hAnsi="Calibri"/>
          <w:sz w:val="22"/>
          <w:szCs w:val="22"/>
        </w:rPr>
      </w:pPr>
      <w:r>
        <w:rPr>
          <w:rFonts w:ascii="Calibri" w:eastAsia="Arial Unicode MS" w:hAnsi="Calibri"/>
          <w:sz w:val="22"/>
          <w:szCs w:val="22"/>
        </w:rPr>
        <w:t>Rua Joaquim Floriano, nº 1052, sala 132</w:t>
      </w:r>
    </w:p>
    <w:p>
      <w:pPr>
        <w:suppressAutoHyphens/>
        <w:ind w:left="1418"/>
        <w:rPr>
          <w:rFonts w:ascii="Calibri" w:eastAsia="Arial Unicode MS" w:hAnsi="Calibri"/>
          <w:sz w:val="22"/>
          <w:szCs w:val="22"/>
        </w:rPr>
      </w:pPr>
      <w:r>
        <w:rPr>
          <w:rFonts w:ascii="Calibri" w:eastAsia="Arial Unicode MS" w:hAnsi="Calibri"/>
          <w:sz w:val="22"/>
          <w:szCs w:val="22"/>
        </w:rPr>
        <w:t>São Paulo – SP</w:t>
      </w:r>
    </w:p>
    <w:p>
      <w:pPr>
        <w:suppressAutoHyphens/>
        <w:ind w:left="1418"/>
        <w:rPr>
          <w:rFonts w:ascii="Calibri" w:eastAsia="Arial Unicode MS" w:hAnsi="Calibri"/>
          <w:sz w:val="22"/>
          <w:szCs w:val="22"/>
        </w:rPr>
      </w:pPr>
      <w:r>
        <w:rPr>
          <w:rFonts w:ascii="Calibri" w:eastAsia="Arial Unicode MS" w:hAnsi="Calibri"/>
          <w:sz w:val="22"/>
          <w:szCs w:val="22"/>
        </w:rPr>
        <w:t>04534-004</w:t>
      </w:r>
    </w:p>
    <w:p>
      <w:pPr>
        <w:suppressAutoHyphens/>
        <w:ind w:left="1418"/>
        <w:rPr>
          <w:rFonts w:ascii="Calibri" w:eastAsia="Arial Unicode MS" w:hAnsi="Calibri"/>
          <w:sz w:val="22"/>
          <w:szCs w:val="22"/>
        </w:rPr>
      </w:pPr>
      <w:r>
        <w:rPr>
          <w:rFonts w:ascii="Calibri" w:eastAsia="Arial Unicode MS" w:hAnsi="Calibri"/>
          <w:sz w:val="22"/>
          <w:szCs w:val="22"/>
        </w:rPr>
        <w:t xml:space="preserve">At.: Sr. Antonio Amaro e/ou Sra. Maria Carolina Abrantes Lodi de Oliveira </w:t>
      </w:r>
    </w:p>
    <w:p>
      <w:pPr>
        <w:suppressAutoHyphens/>
        <w:ind w:left="1418"/>
        <w:rPr>
          <w:rFonts w:ascii="Calibri" w:eastAsia="Arial Unicode MS" w:hAnsi="Calibri"/>
          <w:sz w:val="22"/>
          <w:szCs w:val="22"/>
        </w:rPr>
      </w:pPr>
      <w:r>
        <w:rPr>
          <w:rFonts w:ascii="Calibri" w:eastAsia="Arial Unicode MS" w:hAnsi="Calibri"/>
          <w:sz w:val="22"/>
          <w:szCs w:val="22"/>
        </w:rPr>
        <w:lastRenderedPageBreak/>
        <w:t>Telefone: (11) 3504-8100</w:t>
      </w:r>
    </w:p>
    <w:p>
      <w:pPr>
        <w:suppressAutoHyphens/>
        <w:ind w:left="1418"/>
        <w:rPr>
          <w:rFonts w:ascii="Calibri" w:eastAsia="Arial Unicode MS" w:hAnsi="Calibri"/>
          <w:sz w:val="22"/>
          <w:szCs w:val="22"/>
        </w:rPr>
      </w:pPr>
      <w:r>
        <w:rPr>
          <w:rFonts w:ascii="Calibri" w:eastAsia="Arial Unicode MS" w:hAnsi="Calibri"/>
          <w:i/>
          <w:sz w:val="22"/>
          <w:szCs w:val="22"/>
        </w:rPr>
        <w:t>e-mail</w:t>
      </w:r>
      <w:r>
        <w:rPr>
          <w:rFonts w:ascii="Calibri" w:eastAsia="Arial Unicode MS" w:hAnsi="Calibri"/>
          <w:sz w:val="22"/>
          <w:szCs w:val="22"/>
        </w:rPr>
        <w:t>: ger2.agente@oliveiratrust.com.br</w:t>
      </w:r>
    </w:p>
    <w:p>
      <w:pPr>
        <w:pStyle w:val="p0"/>
        <w:spacing w:line="320" w:lineRule="exact"/>
        <w:rPr>
          <w:rFonts w:ascii="Calibri" w:eastAsia="Arial Unicode MS" w:hAnsi="Calibri"/>
          <w:szCs w:val="22"/>
        </w:rPr>
      </w:pPr>
      <w:r>
        <w:rPr>
          <w:rFonts w:ascii="Calibri" w:eastAsia="Arial Unicode MS" w:hAnsi="Calibri"/>
          <w:szCs w:val="22"/>
        </w:rPr>
        <w:t xml:space="preserve"> </w:t>
      </w:r>
      <w:r>
        <w:rPr>
          <w:rFonts w:ascii="Calibri" w:eastAsia="Arial Unicode MS" w:hAnsi="Calibri"/>
          <w:szCs w:val="22"/>
        </w:rPr>
        <w:tab/>
      </w:r>
      <w:r>
        <w:rPr>
          <w:rFonts w:ascii="Calibri" w:eastAsia="Arial Unicode MS" w:hAnsi="Calibri"/>
          <w:szCs w:val="22"/>
        </w:rPr>
        <w:tab/>
      </w: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 xml:space="preserve">As comunicações serão consideradas entregues quando recebidas sob protocolo ou com “aviso de recebimento” expedido pelo correio. </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bookmarkStart w:id="212" w:name="_DV_M182"/>
      <w:bookmarkEnd w:id="212"/>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As comunicações feitas por correio eletrônico serão consideradas recebidas na data de seu envio, desde que seu recebimento seja confirmado através de indicativo (recibo emitido pela máquina utilizada pelo remetente). Os respectivos originais deverão ser encaminhados para os endereços acima em até 5 (cinco) dias úteis após o envio da mensagem.</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bookmarkStart w:id="213" w:name="_DV_M183"/>
      <w:bookmarkEnd w:id="213"/>
      <w:r>
        <w:rPr>
          <w:rFonts w:ascii="Calibri" w:eastAsia="Arial Unicode MS" w:hAnsi="Calibri"/>
          <w:w w:val="0"/>
          <w:sz w:val="22"/>
          <w:szCs w:val="22"/>
        </w:rPr>
        <w:t>A mudança de qualquer dos endereços acima deverá ser comunicada às demais Partes pela Parte que tiver seu endereço alterado, em até 2 (dois) dias contados da sua ocorrência.</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numPr>
          <w:ilvl w:val="2"/>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Eventuais prejuízos decorrentes da não observância do disposto na Cláusula 12.4 acima serão arcados pela Parte inadimplente.</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numPr>
          <w:ilvl w:val="2"/>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As comunicações, avisos ou notificações enviadas nas formas previstas nesta Escritura serão consideradas plenamente eficazes se entregues a empregado, preposto ou representante de qualquer das Partes.</w:t>
      </w:r>
    </w:p>
    <w:p>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 xml:space="preserve">Exceto quando previsto expressamente de modo diverso na presente Escritura, entende-se por “dia útil” qualquer dia da semana, exceto sábados, domingos e feriados nacionais. Quando a indicação de prazo contado por dia na presente Escritura não vier acompanhada da indicação de “dia útil”, entende-se que o prazo é contado em dias corridos. </w:t>
      </w:r>
    </w:p>
    <w:p>
      <w:pPr>
        <w:spacing w:line="320" w:lineRule="exact"/>
        <w:rPr>
          <w:rFonts w:ascii="Calibri" w:hAnsi="Calibri"/>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bookmarkStart w:id="214" w:name="_DV_M412"/>
      <w:bookmarkEnd w:id="214"/>
      <w:r>
        <w:rPr>
          <w:rFonts w:ascii="Calibri" w:eastAsia="Arial Unicode MS" w:hAnsi="Calibri"/>
          <w:w w:val="0"/>
          <w:sz w:val="22"/>
          <w:szCs w:val="22"/>
        </w:rPr>
        <w:t xml:space="preserve">Não se presume a renúncia a qualquer dos direitos decorrentes da presente Escritura. Desta forma, nenhum atraso, omissão ou liberalidade no exercício de qualquer direito ou faculdade que caiba à </w:t>
      </w:r>
      <w:r>
        <w:rPr>
          <w:rFonts w:ascii="Calibri" w:hAnsi="Calibri"/>
          <w:sz w:val="22"/>
          <w:szCs w:val="22"/>
        </w:rPr>
        <w:t>Debenturista</w:t>
      </w:r>
      <w:r>
        <w:rPr>
          <w:rFonts w:ascii="Calibri" w:eastAsia="Arial Unicode MS" w:hAnsi="Calibri"/>
          <w:w w:val="0"/>
          <w:sz w:val="22"/>
          <w:szCs w:val="22"/>
        </w:rPr>
        <w:t xml:space="preserve"> em razão de qualquer inadimplemento da Emissora</w:t>
      </w:r>
      <w:r>
        <w:rPr>
          <w:rFonts w:ascii="Calibri" w:hAnsi="Calibri"/>
          <w:sz w:val="22"/>
          <w:szCs w:val="22"/>
        </w:rPr>
        <w:t xml:space="preserve"> </w:t>
      </w:r>
      <w:r>
        <w:rPr>
          <w:rFonts w:ascii="Calibri" w:eastAsia="Arial Unicode MS" w:hAnsi="Calibri"/>
          <w:w w:val="0"/>
          <w:sz w:val="22"/>
          <w:szCs w:val="22"/>
        </w:rPr>
        <w:t>prejudicará o exercício de tal direito ou faculdade, ou será interpretado como renúncia ao mesmo, nem constituirá novação ou precedente no tocante a qualquer outro inadimplemento ou atraso.</w:t>
      </w:r>
    </w:p>
    <w:p>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Calibri" w:eastAsia="Arial Unicode MS" w:hAnsi="Calibri"/>
          <w:w w:val="0"/>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Caso qualquer das disposições ora aprovadas venha a ser julgada ilegal, inválida ou ineficaz, prevalecerão todas as demais disposições não afetadas por tal julgamento, comprometendo-se as Partes, em boa-fé, a substituírem as disposições afetadas por outra que, na medida do possível, produza o mesmo efeito.</w:t>
      </w:r>
    </w:p>
    <w:p>
      <w:pPr>
        <w:spacing w:line="320" w:lineRule="exact"/>
        <w:jc w:val="both"/>
        <w:rPr>
          <w:rFonts w:ascii="Calibri" w:eastAsia="Arial Unicode MS" w:hAnsi="Calibri"/>
          <w:w w:val="0"/>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 xml:space="preserve">Qualquer modificação aos termos e condições desta Escritura será eficaz apenas mediante sua formalização por meio de aditamento a ser firmado por todas as Partes. </w:t>
      </w:r>
    </w:p>
    <w:p>
      <w:pPr>
        <w:spacing w:line="320" w:lineRule="exact"/>
        <w:jc w:val="both"/>
        <w:rPr>
          <w:rFonts w:ascii="Calibri" w:eastAsia="Arial Unicode MS" w:hAnsi="Calibri"/>
          <w:w w:val="0"/>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lastRenderedPageBreak/>
        <w:t>Esta Escritura é regida pelas Leis da República Federativa do Brasil.</w:t>
      </w:r>
    </w:p>
    <w:p>
      <w:pPr>
        <w:spacing w:line="320" w:lineRule="exact"/>
        <w:jc w:val="both"/>
        <w:rPr>
          <w:rFonts w:ascii="Calibri" w:eastAsia="Arial Unicode MS" w:hAnsi="Calibri"/>
          <w:w w:val="0"/>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Esta Escritura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comportam execução específica e se submetem às disposições dos artigos 497 e seguintes e 814 e seguintes do Código de Processo Civil, sem prejuízo do direito de declarar o vencimento antecipado das Debêntures, nos termos desta Escritura.</w:t>
      </w:r>
    </w:p>
    <w:p>
      <w:pPr>
        <w:spacing w:line="320" w:lineRule="exact"/>
        <w:jc w:val="both"/>
        <w:rPr>
          <w:rFonts w:ascii="Calibri" w:eastAsia="Arial Unicode MS" w:hAnsi="Calibri"/>
          <w:w w:val="0"/>
          <w:sz w:val="22"/>
          <w:szCs w:val="22"/>
        </w:rPr>
      </w:pPr>
    </w:p>
    <w:p>
      <w:pPr>
        <w:numPr>
          <w:ilvl w:val="1"/>
          <w:numId w:val="27"/>
        </w:numPr>
        <w:shd w:val="clear" w:color="auto" w:fill="FFFFFF"/>
        <w:tabs>
          <w:tab w:val="left" w:pos="1276"/>
          <w:tab w:val="left" w:pos="1418"/>
          <w:tab w:val="left" w:pos="2700"/>
          <w:tab w:val="left" w:pos="3600"/>
          <w:tab w:val="left" w:pos="4500"/>
          <w:tab w:val="left" w:pos="5400"/>
          <w:tab w:val="left" w:pos="6300"/>
          <w:tab w:val="left" w:pos="7200"/>
          <w:tab w:val="left" w:pos="8100"/>
          <w:tab w:val="left" w:pos="9000"/>
        </w:tabs>
        <w:spacing w:line="320" w:lineRule="exact"/>
        <w:ind w:left="0" w:firstLine="0"/>
        <w:jc w:val="both"/>
        <w:rPr>
          <w:rFonts w:ascii="Calibri" w:eastAsia="Arial Unicode MS" w:hAnsi="Calibri"/>
          <w:w w:val="0"/>
          <w:sz w:val="22"/>
          <w:szCs w:val="22"/>
        </w:rPr>
      </w:pPr>
      <w:r>
        <w:rPr>
          <w:rFonts w:ascii="Calibri" w:eastAsia="Arial Unicode MS" w:hAnsi="Calibri"/>
          <w:w w:val="0"/>
          <w:sz w:val="22"/>
          <w:szCs w:val="22"/>
        </w:rPr>
        <w:t>Esta Escritura é firmada em caráter irrevogável e irretratável, obrigando as Partes por si e seus sucessores.</w:t>
      </w:r>
    </w:p>
    <w:p>
      <w:pPr>
        <w:spacing w:line="320" w:lineRule="exact"/>
        <w:jc w:val="both"/>
        <w:rPr>
          <w:rFonts w:ascii="Calibri" w:eastAsia="Arial Unicode MS" w:hAnsi="Calibri"/>
          <w:w w:val="0"/>
          <w:sz w:val="22"/>
          <w:szCs w:val="22"/>
        </w:rPr>
      </w:pPr>
    </w:p>
    <w:p>
      <w:pPr>
        <w:pStyle w:val="Ttulo2"/>
        <w:numPr>
          <w:ilvl w:val="0"/>
          <w:numId w:val="27"/>
        </w:numPr>
        <w:tabs>
          <w:tab w:val="left" w:pos="1418"/>
        </w:tabs>
        <w:spacing w:before="0" w:after="0" w:line="320" w:lineRule="exact"/>
        <w:jc w:val="both"/>
        <w:rPr>
          <w:rFonts w:ascii="Calibri" w:hAnsi="Calibri" w:cs="Times New Roman"/>
          <w:i w:val="0"/>
          <w:w w:val="0"/>
          <w:sz w:val="22"/>
          <w:szCs w:val="22"/>
        </w:rPr>
      </w:pPr>
      <w:bookmarkStart w:id="215" w:name="_DV_M413"/>
      <w:bookmarkEnd w:id="215"/>
      <w:r>
        <w:rPr>
          <w:rFonts w:ascii="Calibri" w:hAnsi="Calibri" w:cs="Times New Roman"/>
          <w:i w:val="0"/>
          <w:w w:val="0"/>
          <w:sz w:val="22"/>
          <w:szCs w:val="22"/>
        </w:rPr>
        <w:tab/>
        <w:t>FORO</w:t>
      </w:r>
    </w:p>
    <w:p>
      <w:pPr>
        <w:spacing w:line="320" w:lineRule="exact"/>
        <w:jc w:val="both"/>
        <w:rPr>
          <w:rFonts w:ascii="Calibri" w:eastAsia="Arial Unicode MS" w:hAnsi="Calibri"/>
          <w:w w:val="0"/>
          <w:sz w:val="22"/>
          <w:szCs w:val="22"/>
        </w:rPr>
      </w:pPr>
    </w:p>
    <w:p>
      <w:pPr>
        <w:pStyle w:val="sub"/>
        <w:widowControl/>
        <w:numPr>
          <w:ilvl w:val="1"/>
          <w:numId w:val="27"/>
        </w:numPr>
        <w:shd w:val="clear" w:color="auto" w:fill="FFFFFF"/>
        <w:tabs>
          <w:tab w:val="clear" w:pos="0"/>
          <w:tab w:val="clear" w:pos="1440"/>
          <w:tab w:val="clear" w:pos="2880"/>
          <w:tab w:val="clear" w:pos="4320"/>
          <w:tab w:val="left" w:pos="708"/>
          <w:tab w:val="left" w:pos="1134"/>
          <w:tab w:val="left" w:pos="1418"/>
        </w:tabs>
        <w:spacing w:before="0" w:after="0" w:line="320" w:lineRule="exact"/>
        <w:ind w:left="0" w:firstLine="0"/>
        <w:rPr>
          <w:rFonts w:ascii="Calibri" w:eastAsia="Arial Unicode MS" w:hAnsi="Calibri"/>
          <w:w w:val="0"/>
        </w:rPr>
      </w:pPr>
      <w:bookmarkStart w:id="216" w:name="_DV_M414"/>
      <w:bookmarkEnd w:id="216"/>
      <w:r>
        <w:rPr>
          <w:rFonts w:ascii="Calibri" w:eastAsia="Arial Unicode MS" w:hAnsi="Calibri"/>
          <w:w w:val="0"/>
        </w:rPr>
        <w:tab/>
      </w:r>
      <w:r>
        <w:rPr>
          <w:rFonts w:ascii="Calibri" w:eastAsia="Arial Unicode MS" w:hAnsi="Calibri"/>
          <w:w w:val="0"/>
        </w:rPr>
        <w:tab/>
        <w:t>Fica eleito o Foro</w:t>
      </w:r>
      <w:bookmarkStart w:id="217" w:name="_DV_C683"/>
      <w:r>
        <w:rPr>
          <w:rFonts w:ascii="Calibri" w:eastAsia="Arial Unicode MS" w:hAnsi="Calibri"/>
          <w:w w:val="0"/>
        </w:rPr>
        <w:t xml:space="preserve"> da Cidade </w:t>
      </w:r>
      <w:bookmarkStart w:id="218" w:name="_DV_M415"/>
      <w:bookmarkEnd w:id="217"/>
      <w:bookmarkEnd w:id="218"/>
      <w:r>
        <w:rPr>
          <w:rFonts w:ascii="Calibri" w:eastAsia="Arial Unicode MS" w:hAnsi="Calibri"/>
          <w:w w:val="0"/>
        </w:rPr>
        <w:t>de Belo Horizonte, no Estado de Minas Gerais, para dirimir quaisquer dúvidas ou controvérsias oriundas desta Escritura, com renúncia a qualquer outro, por mais privilegiado que seja ou venha a ser.</w:t>
      </w:r>
    </w:p>
    <w:p>
      <w:pPr>
        <w:pStyle w:val="sub"/>
        <w:widowControl/>
        <w:shd w:val="clear" w:color="auto" w:fill="FFFFFF"/>
        <w:tabs>
          <w:tab w:val="clear" w:pos="0"/>
          <w:tab w:val="left" w:pos="708"/>
        </w:tabs>
        <w:spacing w:before="0" w:after="0" w:line="320" w:lineRule="exact"/>
        <w:rPr>
          <w:rFonts w:ascii="Calibri" w:eastAsia="Arial Unicode MS" w:hAnsi="Calibri"/>
          <w:w w:val="0"/>
        </w:rPr>
      </w:pPr>
    </w:p>
    <w:p>
      <w:pPr>
        <w:pStyle w:val="sub"/>
        <w:widowControl/>
        <w:shd w:val="clear" w:color="auto" w:fill="FFFFFF"/>
        <w:tabs>
          <w:tab w:val="clear" w:pos="0"/>
          <w:tab w:val="left" w:pos="708"/>
        </w:tabs>
        <w:spacing w:before="0" w:after="0" w:line="320" w:lineRule="exact"/>
        <w:rPr>
          <w:rFonts w:ascii="Calibri" w:eastAsia="Arial Unicode MS" w:hAnsi="Calibri"/>
          <w:w w:val="0"/>
        </w:rPr>
      </w:pPr>
      <w:r>
        <w:rPr>
          <w:rFonts w:ascii="Calibri" w:eastAsia="Arial Unicode MS" w:hAnsi="Calibri"/>
          <w:w w:val="0"/>
        </w:rPr>
        <w:t>E por estarem assim justas e contratadas, as Partes firmam a presente Escritura, em uma única via, na presença de 2 (duas) testemunhas.</w:t>
      </w:r>
      <w:bookmarkStart w:id="219" w:name="_DV_M416"/>
      <w:bookmarkEnd w:id="219"/>
    </w:p>
    <w:p>
      <w:pPr>
        <w:pStyle w:val="sub"/>
        <w:widowControl/>
        <w:shd w:val="clear" w:color="auto" w:fill="FFFFFF"/>
        <w:tabs>
          <w:tab w:val="clear" w:pos="0"/>
          <w:tab w:val="left" w:pos="708"/>
        </w:tabs>
        <w:spacing w:before="0" w:after="0" w:line="320" w:lineRule="exact"/>
        <w:rPr>
          <w:rFonts w:ascii="Calibri" w:eastAsia="Arial Unicode MS" w:hAnsi="Calibri"/>
        </w:rPr>
      </w:pPr>
    </w:p>
    <w:p>
      <w:pPr>
        <w:pStyle w:val="p0"/>
        <w:spacing w:line="320" w:lineRule="exact"/>
        <w:jc w:val="center"/>
        <w:rPr>
          <w:rFonts w:ascii="Calibri" w:eastAsia="Arial Unicode MS" w:hAnsi="Calibri"/>
          <w:szCs w:val="22"/>
        </w:rPr>
      </w:pPr>
      <w:r>
        <w:rPr>
          <w:rFonts w:ascii="Calibri" w:eastAsia="Arial Unicode MS" w:hAnsi="Calibri"/>
          <w:szCs w:val="22"/>
        </w:rPr>
        <w:t xml:space="preserve">Belo Horizonte, </w:t>
      </w:r>
      <w:r>
        <w:rPr>
          <w:rFonts w:ascii="Calibri" w:hAnsi="Calibri"/>
          <w:caps/>
          <w:szCs w:val="22"/>
        </w:rPr>
        <w:t xml:space="preserve">22 </w:t>
      </w:r>
      <w:r>
        <w:rPr>
          <w:rFonts w:ascii="Calibri" w:eastAsia="Arial Unicode MS" w:hAnsi="Calibri"/>
          <w:szCs w:val="22"/>
        </w:rPr>
        <w:t>de dezembro de 2017.</w:t>
      </w:r>
    </w:p>
    <w:p>
      <w:pPr>
        <w:spacing w:line="320" w:lineRule="exact"/>
        <w:jc w:val="both"/>
        <w:rPr>
          <w:rFonts w:ascii="Calibri" w:eastAsia="Arial Unicode MS" w:hAnsi="Calibri"/>
          <w:w w:val="0"/>
          <w:sz w:val="22"/>
          <w:szCs w:val="22"/>
        </w:rPr>
      </w:pPr>
      <w:bookmarkStart w:id="220" w:name="_DV_X0"/>
    </w:p>
    <w:p>
      <w:pPr>
        <w:jc w:val="center"/>
        <w:rPr>
          <w:b/>
        </w:rPr>
      </w:pPr>
      <w:r>
        <w:rPr>
          <w:rFonts w:ascii="Verdana" w:eastAsia="Arial Unicode MS" w:hAnsi="Verdana"/>
          <w:b/>
          <w:color w:val="000000"/>
          <w:w w:val="0"/>
          <w:sz w:val="18"/>
          <w:szCs w:val="18"/>
        </w:rPr>
        <w:t xml:space="preserve">Neste ato assinam digitalmente pela </w:t>
      </w:r>
      <w:r>
        <w:rPr>
          <w:rFonts w:ascii="Calibri" w:hAnsi="Calibri"/>
          <w:b/>
          <w:caps/>
          <w:sz w:val="22"/>
          <w:szCs w:val="22"/>
        </w:rPr>
        <w:t xml:space="preserve">LOG </w:t>
      </w:r>
      <w:r>
        <w:rPr>
          <w:rFonts w:ascii="Calibri" w:hAnsi="Calibri"/>
          <w:b/>
          <w:sz w:val="22"/>
          <w:szCs w:val="22"/>
        </w:rPr>
        <w:t xml:space="preserve">Commercial Properties e Participações </w:t>
      </w:r>
      <w:r>
        <w:rPr>
          <w:rFonts w:ascii="Calibri" w:hAnsi="Calibri"/>
          <w:b/>
          <w:caps/>
          <w:sz w:val="22"/>
          <w:szCs w:val="22"/>
        </w:rPr>
        <w:t xml:space="preserve">S.A., </w:t>
      </w:r>
      <w:r>
        <w:rPr>
          <w:rFonts w:ascii="Calibri" w:hAnsi="Calibri"/>
          <w:b/>
          <w:sz w:val="22"/>
          <w:szCs w:val="22"/>
        </w:rPr>
        <w:t>Sergio Fischer Teixeira de Souza e Felipe Enck Gonçalves.</w:t>
      </w:r>
    </w:p>
    <w:p>
      <w:pPr>
        <w:spacing w:line="320" w:lineRule="exact"/>
        <w:jc w:val="center"/>
        <w:rPr>
          <w:rFonts w:ascii="Calibri" w:hAnsi="Calibri"/>
          <w:b/>
          <w:caps/>
          <w:sz w:val="22"/>
          <w:szCs w:val="22"/>
        </w:rPr>
      </w:pPr>
    </w:p>
    <w:p>
      <w:pPr>
        <w:spacing w:line="320" w:lineRule="exact"/>
        <w:jc w:val="center"/>
      </w:pPr>
      <w:r>
        <w:rPr>
          <w:rFonts w:ascii="Verdana" w:eastAsia="Arial Unicode MS" w:hAnsi="Verdana"/>
          <w:b/>
          <w:color w:val="000000"/>
          <w:w w:val="0"/>
          <w:sz w:val="18"/>
          <w:szCs w:val="18"/>
        </w:rPr>
        <w:t xml:space="preserve">Neste ato assinam digitalmente pela </w:t>
      </w:r>
      <w:r>
        <w:rPr>
          <w:rFonts w:ascii="Calibri" w:hAnsi="Calibri" w:cs="Calibri"/>
          <w:b/>
          <w:sz w:val="22"/>
          <w:szCs w:val="22"/>
        </w:rPr>
        <w:t>Oliveira Trust Distribuidora de Títulos e Valores Mobiliários S.A.,</w:t>
      </w:r>
      <w:r>
        <w:rPr>
          <w:rFonts w:ascii="Calibri" w:hAnsi="Calibri"/>
          <w:b/>
          <w:smallCaps/>
          <w:sz w:val="22"/>
          <w:szCs w:val="22"/>
        </w:rPr>
        <w:t xml:space="preserve"> </w:t>
      </w:r>
      <w:r>
        <w:rPr>
          <w:rFonts w:ascii="Calibri" w:hAnsi="Calibri" w:cs="Calibri"/>
          <w:b/>
          <w:sz w:val="22"/>
          <w:szCs w:val="22"/>
        </w:rPr>
        <w:t>Fernando Nunes Luís e Marcelo Takeshi Yano de Andrade</w:t>
      </w:r>
    </w:p>
    <w:p>
      <w:pPr>
        <w:spacing w:line="320" w:lineRule="exact"/>
        <w:jc w:val="center"/>
        <w:rPr>
          <w:rFonts w:ascii="Calibri" w:hAnsi="Calibri"/>
          <w:b/>
          <w:caps/>
          <w:sz w:val="22"/>
          <w:szCs w:val="22"/>
        </w:rPr>
      </w:pPr>
    </w:p>
    <w:p>
      <w:pPr>
        <w:spacing w:line="320" w:lineRule="exact"/>
        <w:jc w:val="center"/>
        <w:rPr>
          <w:rFonts w:ascii="Calibri" w:hAnsi="Calibri"/>
          <w:b/>
          <w:smallCaps/>
          <w:sz w:val="22"/>
          <w:szCs w:val="22"/>
          <w:highlight w:val="yellow"/>
        </w:rPr>
      </w:pPr>
      <w:r>
        <w:rPr>
          <w:rFonts w:ascii="Verdana" w:eastAsia="Arial Unicode MS" w:hAnsi="Verdana"/>
          <w:b/>
          <w:color w:val="000000"/>
          <w:w w:val="0"/>
          <w:sz w:val="18"/>
          <w:szCs w:val="18"/>
        </w:rPr>
        <w:t xml:space="preserve">Neste ato assinam digitalmente pela </w:t>
      </w:r>
      <w:r>
        <w:rPr>
          <w:rFonts w:asciiTheme="minorHAnsi" w:hAnsiTheme="minorHAnsi" w:cstheme="minorHAnsi"/>
          <w:b/>
          <w:color w:val="000000"/>
          <w:sz w:val="22"/>
          <w:szCs w:val="22"/>
        </w:rPr>
        <w:t>Goiânia I Incorporações Imobiliárias SPE LTDA.</w:t>
      </w:r>
      <w:r>
        <w:rPr>
          <w:rFonts w:ascii="Calibri" w:hAnsi="Calibri"/>
          <w:b/>
          <w:caps/>
          <w:sz w:val="22"/>
          <w:szCs w:val="22"/>
        </w:rPr>
        <w:t xml:space="preserve">, </w:t>
      </w:r>
      <w:r>
        <w:rPr>
          <w:rFonts w:ascii="Calibri" w:hAnsi="Calibri"/>
          <w:b/>
          <w:sz w:val="22"/>
          <w:szCs w:val="22"/>
        </w:rPr>
        <w:t>Sergio Fischer Teixeira de Souza e Felipe Enck Gonçalves.</w:t>
      </w:r>
    </w:p>
    <w:p>
      <w:pPr>
        <w:spacing w:line="320" w:lineRule="exact"/>
        <w:jc w:val="center"/>
        <w:rPr>
          <w:rFonts w:ascii="Calibri" w:hAnsi="Calibri"/>
          <w:b/>
          <w:caps/>
          <w:sz w:val="22"/>
          <w:szCs w:val="22"/>
        </w:rPr>
      </w:pPr>
    </w:p>
    <w:p>
      <w:pPr>
        <w:spacing w:line="320" w:lineRule="exact"/>
        <w:jc w:val="center"/>
        <w:rPr>
          <w:rFonts w:ascii="Calibri" w:hAnsi="Calibri"/>
          <w:b/>
          <w:smallCaps/>
          <w:sz w:val="22"/>
          <w:szCs w:val="22"/>
        </w:rPr>
      </w:pPr>
      <w:r>
        <w:rPr>
          <w:rFonts w:ascii="Verdana" w:eastAsia="Arial Unicode MS" w:hAnsi="Verdana"/>
          <w:b/>
          <w:color w:val="000000"/>
          <w:w w:val="0"/>
          <w:sz w:val="18"/>
          <w:szCs w:val="18"/>
        </w:rPr>
        <w:t xml:space="preserve">Neste ato assinam digitalmente pela </w:t>
      </w:r>
      <w:r>
        <w:rPr>
          <w:rFonts w:ascii="Calibri" w:hAnsi="Calibri"/>
          <w:b/>
          <w:sz w:val="22"/>
          <w:szCs w:val="22"/>
        </w:rPr>
        <w:t>Log São José dos Pinhais I SPE Ltda.</w:t>
      </w:r>
      <w:r>
        <w:rPr>
          <w:rFonts w:ascii="Calibri" w:hAnsi="Calibri"/>
          <w:b/>
          <w:caps/>
          <w:sz w:val="22"/>
          <w:szCs w:val="22"/>
        </w:rPr>
        <w:t xml:space="preserve">, </w:t>
      </w:r>
      <w:r>
        <w:rPr>
          <w:rFonts w:ascii="Calibri" w:hAnsi="Calibri"/>
          <w:b/>
          <w:sz w:val="22"/>
          <w:szCs w:val="22"/>
        </w:rPr>
        <w:t>Sergio Fischer Teixeira de Souza e Felipe Enck Gonçalves.</w:t>
      </w:r>
    </w:p>
    <w:p>
      <w:pPr>
        <w:spacing w:line="320" w:lineRule="exact"/>
        <w:jc w:val="center"/>
        <w:rPr>
          <w:rFonts w:ascii="Calibri" w:hAnsi="Calibri"/>
          <w:b/>
          <w:caps/>
          <w:sz w:val="22"/>
          <w:szCs w:val="22"/>
        </w:rPr>
      </w:pPr>
    </w:p>
    <w:p>
      <w:pPr>
        <w:jc w:val="center"/>
        <w:rPr>
          <w:rFonts w:ascii="Verdana" w:eastAsia="Arial Unicode MS" w:hAnsi="Verdana"/>
          <w:b/>
          <w:color w:val="000000"/>
          <w:w w:val="0"/>
          <w:sz w:val="18"/>
          <w:szCs w:val="18"/>
        </w:rPr>
      </w:pPr>
      <w:r>
        <w:rPr>
          <w:rFonts w:ascii="Verdana" w:eastAsia="Arial Unicode MS" w:hAnsi="Verdana"/>
          <w:b/>
          <w:color w:val="000000"/>
          <w:w w:val="0"/>
          <w:sz w:val="18"/>
          <w:szCs w:val="18"/>
        </w:rPr>
        <w:t>Neste ato assinam digitalmente como testemunhas, Allan Magalhães Silva, CPF 099.952.596-48 e Luiz Augusto Santos Abdo, CPF: 041.167.586-98</w:t>
      </w:r>
    </w:p>
    <w:p>
      <w:pPr>
        <w:spacing w:line="320" w:lineRule="exact"/>
        <w:jc w:val="both"/>
        <w:rPr>
          <w:rFonts w:ascii="Calibri" w:eastAsia="Arial Unicode MS" w:hAnsi="Calibri"/>
          <w:w w:val="0"/>
          <w:sz w:val="22"/>
          <w:szCs w:val="22"/>
        </w:rPr>
      </w:pPr>
    </w:p>
    <w:bookmarkEnd w:id="220"/>
    <w:p>
      <w:pPr>
        <w:spacing w:line="320" w:lineRule="exact"/>
        <w:jc w:val="center"/>
        <w:rPr>
          <w:rFonts w:ascii="Calibri" w:hAnsi="Calibri"/>
          <w:b/>
          <w:smallCaps/>
          <w:sz w:val="22"/>
          <w:szCs w:val="22"/>
          <w:highlight w:val="yellow"/>
        </w:rPr>
      </w:pPr>
    </w:p>
    <w:p>
      <w:pPr>
        <w:spacing w:line="320" w:lineRule="exact"/>
        <w:jc w:val="center"/>
        <w:rPr>
          <w:rFonts w:ascii="Calibri" w:hAnsi="Calibri"/>
          <w:sz w:val="22"/>
          <w:szCs w:val="22"/>
        </w:rPr>
      </w:pPr>
    </w:p>
    <w:sectPr>
      <w:headerReference w:type="even" r:id="rId9"/>
      <w:headerReference w:type="default" r:id="rId10"/>
      <w:footerReference w:type="even" r:id="rId11"/>
      <w:footerReference w:type="default" r:id="rId12"/>
      <w:headerReference w:type="first" r:id="rId13"/>
      <w:footerReference w:type="first" r:id="rId14"/>
      <w:pgSz w:w="12242" w:h="15842" w:code="1"/>
      <w:pgMar w:top="1531" w:right="1701" w:bottom="1531"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Swiss">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rutiger Light">
    <w:altName w:val="Kartika"/>
    <w:charset w:val="00"/>
    <w:family w:val="roman"/>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rPr>
        <w:rFonts w:ascii="Verdana" w:hAnsi="Verdana" w:cs="Calibri"/>
        <w:sz w:val="14"/>
        <w:szCs w:val="22"/>
      </w:rPr>
    </w:pPr>
    <w:r>
      <w:rPr>
        <w:rFonts w:ascii="Verdana" w:hAnsi="Verdana" w:cs="Calibri"/>
        <w:sz w:val="14"/>
        <w:szCs w:val="22"/>
      </w:rPr>
      <w:fldChar w:fldCharType="begin"/>
    </w:r>
    <w:r>
      <w:rPr>
        <w:rFonts w:ascii="Verdana" w:hAnsi="Verdana" w:cs="Calibri"/>
        <w:sz w:val="14"/>
        <w:szCs w:val="22"/>
      </w:rPr>
      <w:instrText xml:space="preserve"> DOCPROPERTY "iManageFooter"  \* MERGEFORMAT </w:instrText>
    </w:r>
    <w:r>
      <w:rPr>
        <w:rFonts w:ascii="Verdana" w:hAnsi="Verdana" w:cs="Calibri"/>
        <w:sz w:val="14"/>
        <w:szCs w:val="22"/>
      </w:rPr>
      <w:fldChar w:fldCharType="separate"/>
    </w:r>
  </w:p>
  <w:p>
    <w:pPr>
      <w:pStyle w:val="Rodap"/>
      <w:rPr>
        <w:rFonts w:ascii="Calibri" w:hAnsi="Calibri" w:cs="Calibri"/>
        <w:sz w:val="22"/>
        <w:szCs w:val="22"/>
      </w:rPr>
    </w:pPr>
    <w:r>
      <w:rPr>
        <w:rFonts w:ascii="Verdana" w:hAnsi="Verdana" w:cs="Calibri"/>
        <w:sz w:val="14"/>
        <w:szCs w:val="22"/>
      </w:rPr>
      <w:t xml:space="preserve">TEXT_SP - 14031766v7 9693.11 </w:t>
    </w:r>
    <w:r>
      <w:rPr>
        <w:rFonts w:ascii="Verdana" w:hAnsi="Verdana" w:cs="Calibri"/>
        <w:sz w:val="14"/>
        <w:szCs w:val="22"/>
      </w:rPr>
      <w:fldChar w:fldCharType="end"/>
    </w:r>
    <w:r>
      <w:rPr>
        <w:rFonts w:ascii="Calibri" w:hAnsi="Calibri" w:cs="Calibri"/>
        <w:sz w:val="22"/>
        <w:szCs w:val="22"/>
      </w:rPr>
      <w:fldChar w:fldCharType="begin"/>
    </w:r>
    <w:r>
      <w:rPr>
        <w:rFonts w:ascii="Calibri" w:hAnsi="Calibri" w:cs="Calibri"/>
        <w:sz w:val="22"/>
        <w:szCs w:val="22"/>
      </w:rPr>
      <w:instrText>PAGE   \* MERGEFORMAT</w:instrText>
    </w:r>
    <w:r>
      <w:rPr>
        <w:rFonts w:ascii="Calibri" w:hAnsi="Calibri" w:cs="Calibri"/>
        <w:sz w:val="22"/>
        <w:szCs w:val="22"/>
      </w:rPr>
      <w:fldChar w:fldCharType="separate"/>
    </w:r>
    <w:r>
      <w:rPr>
        <w:rFonts w:ascii="Calibri" w:hAnsi="Calibri" w:cs="Calibri"/>
        <w:noProof/>
        <w:sz w:val="22"/>
        <w:szCs w:val="22"/>
        <w:lang w:val="pt-BR"/>
      </w:rPr>
      <w:t>2</w:t>
    </w:r>
    <w:r>
      <w:rPr>
        <w:rFonts w:ascii="Calibri" w:hAnsi="Calibri" w:cs="Calibri"/>
        <w:sz w:val="22"/>
        <w:szCs w:val="22"/>
      </w:rPr>
      <w:fldChar w:fldCharType="end"/>
    </w:r>
  </w:p>
  <w:p>
    <w:pPr>
      <w:pStyle w:val="Rodap"/>
      <w:rPr>
        <w:rFonts w:ascii="Verdana" w:hAnsi="Verdana" w:cs="Tahoma"/>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jc w:val="right"/>
      <w:rPr>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5C831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231894"/>
    <w:multiLevelType w:val="multilevel"/>
    <w:tmpl w:val="B24E0AE0"/>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E825F8"/>
    <w:multiLevelType w:val="multilevel"/>
    <w:tmpl w:val="68005114"/>
    <w:lvl w:ilvl="0">
      <w:start w:val="6"/>
      <w:numFmt w:val="decimal"/>
      <w:lvlText w:val="%1."/>
      <w:lvlJc w:val="left"/>
      <w:pPr>
        <w:ind w:left="540" w:hanging="540"/>
      </w:pPr>
      <w:rPr>
        <w:rFonts w:ascii="Calibri" w:hAnsi="Calibri" w:cs="Calibri" w:hint="default"/>
        <w:b/>
        <w:i w:val="0"/>
        <w:sz w:val="22"/>
        <w:szCs w:val="22"/>
      </w:rPr>
    </w:lvl>
    <w:lvl w:ilvl="1">
      <w:start w:val="16"/>
      <w:numFmt w:val="decimal"/>
      <w:lvlText w:val="%1.%2."/>
      <w:lvlJc w:val="left"/>
      <w:pPr>
        <w:ind w:left="540" w:hanging="540"/>
      </w:pPr>
      <w:rPr>
        <w:rFonts w:hint="default"/>
        <w:b w:val="0"/>
        <w:i w:val="0"/>
        <w:sz w:val="22"/>
        <w:szCs w:val="22"/>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3" w15:restartNumberingAfterBreak="0">
    <w:nsid w:val="065F19F3"/>
    <w:multiLevelType w:val="singleLevel"/>
    <w:tmpl w:val="C358B04A"/>
    <w:lvl w:ilvl="0">
      <w:start w:val="1"/>
      <w:numFmt w:val="bullet"/>
      <w:pStyle w:val="TextoTpicosProspecto"/>
      <w:lvlText w:val=""/>
      <w:lvlJc w:val="left"/>
      <w:pPr>
        <w:tabs>
          <w:tab w:val="num" w:pos="360"/>
        </w:tabs>
        <w:ind w:left="360" w:hanging="360"/>
      </w:pPr>
      <w:rPr>
        <w:rFonts w:ascii="Wingdings" w:hAnsi="Wingdings" w:hint="default"/>
      </w:rPr>
    </w:lvl>
  </w:abstractNum>
  <w:abstractNum w:abstractNumId="4" w15:restartNumberingAfterBreak="0">
    <w:nsid w:val="06E8195B"/>
    <w:multiLevelType w:val="hybridMultilevel"/>
    <w:tmpl w:val="F3104F78"/>
    <w:lvl w:ilvl="0" w:tplc="18F833A0">
      <w:start w:val="1"/>
      <w:numFmt w:val="lowerLetter"/>
      <w:lvlText w:val="(%1)"/>
      <w:lvlJc w:val="left"/>
      <w:pPr>
        <w:ind w:left="1080" w:hanging="360"/>
      </w:pPr>
      <w:rPr>
        <w:rFonts w:hint="default"/>
        <w:b w:val="0"/>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8166467"/>
    <w:multiLevelType w:val="hybridMultilevel"/>
    <w:tmpl w:val="9E8ABF5E"/>
    <w:lvl w:ilvl="0" w:tplc="107E1DD0">
      <w:start w:val="1"/>
      <w:numFmt w:val="lowerRoman"/>
      <w:lvlText w:val="(%1)"/>
      <w:lvlJc w:val="left"/>
      <w:pPr>
        <w:ind w:left="1287" w:hanging="360"/>
      </w:pPr>
      <w:rPr>
        <w:rFonts w:hint="default"/>
        <w:b w:val="0"/>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6" w15:restartNumberingAfterBreak="0">
    <w:nsid w:val="0E021516"/>
    <w:multiLevelType w:val="hybridMultilevel"/>
    <w:tmpl w:val="3000C222"/>
    <w:lvl w:ilvl="0" w:tplc="FFFFFFFF">
      <w:start w:val="1"/>
      <w:numFmt w:val="lowerRoman"/>
      <w:lvlText w:val="(%1)"/>
      <w:lvlJc w:val="left"/>
      <w:pPr>
        <w:ind w:left="720" w:hanging="360"/>
      </w:pPr>
      <w:rPr>
        <w:rFonts w:hint="default"/>
        <w:b w:val="0"/>
        <w:i w:val="0"/>
        <w:sz w:val="26"/>
      </w:rPr>
    </w:lvl>
    <w:lvl w:ilvl="1" w:tplc="FFFFFFFF" w:tentative="1">
      <w:start w:val="1"/>
      <w:numFmt w:val="lowerLetter"/>
      <w:lvlText w:val="%2."/>
      <w:lvlJc w:val="left"/>
      <w:pPr>
        <w:ind w:left="1440" w:hanging="360"/>
      </w:pPr>
      <w:rPr>
        <w:rFonts w:hint="default"/>
        <w:b w:val="0"/>
        <w:i w:val="0"/>
        <w:sz w:val="26"/>
      </w:rPr>
    </w:lvl>
    <w:lvl w:ilvl="2" w:tplc="11DA3B98">
      <w:start w:val="1"/>
      <w:numFmt w:val="lowerRoman"/>
      <w:lvlText w:val="(%3)"/>
      <w:lvlJc w:val="left"/>
      <w:pPr>
        <w:ind w:left="2160" w:hanging="180"/>
      </w:pPr>
      <w:rPr>
        <w:rFonts w:hint="default"/>
        <w:b w:val="0"/>
        <w:i w:val="0"/>
        <w:sz w:val="22"/>
        <w:szCs w:val="22"/>
      </w:rPr>
    </w:lvl>
    <w:lvl w:ilvl="3" w:tplc="FFFFFFFF" w:tentative="1">
      <w:start w:val="1"/>
      <w:numFmt w:val="decimal"/>
      <w:lvlText w:val="%4."/>
      <w:lvlJc w:val="left"/>
      <w:pPr>
        <w:ind w:left="2880" w:hanging="360"/>
      </w:pPr>
      <w:rPr>
        <w:rFonts w:hint="default"/>
        <w:b w:val="0"/>
        <w:i w:val="0"/>
        <w:sz w:val="26"/>
        <w:szCs w:val="20"/>
      </w:rPr>
    </w:lvl>
    <w:lvl w:ilvl="4" w:tplc="FFFFFFFF" w:tentative="1">
      <w:start w:val="1"/>
      <w:numFmt w:val="lowerLetter"/>
      <w:lvlText w:val="%5."/>
      <w:lvlJc w:val="left"/>
      <w:pPr>
        <w:ind w:left="3600" w:hanging="360"/>
      </w:pPr>
      <w:rPr>
        <w:rFonts w:hint="default"/>
        <w:b w:val="0"/>
        <w:i w:val="0"/>
        <w:sz w:val="26"/>
      </w:rPr>
    </w:lvl>
    <w:lvl w:ilvl="5" w:tplc="FFFFFFFF" w:tentative="1">
      <w:start w:val="1"/>
      <w:numFmt w:val="lowerRoman"/>
      <w:lvlText w:val="%6."/>
      <w:lvlJc w:val="right"/>
      <w:pPr>
        <w:ind w:left="4320" w:hanging="180"/>
      </w:pPr>
      <w:rPr>
        <w:rFonts w:hint="default"/>
        <w:b w:val="0"/>
        <w:i w:val="0"/>
        <w:sz w:val="26"/>
        <w:szCs w:val="20"/>
      </w:rPr>
    </w:lvl>
    <w:lvl w:ilvl="6" w:tplc="FFFFFFFF" w:tentative="1">
      <w:start w:val="1"/>
      <w:numFmt w:val="decimal"/>
      <w:lvlText w:val="%7."/>
      <w:lvlJc w:val="left"/>
      <w:pPr>
        <w:ind w:left="5040" w:hanging="360"/>
      </w:pPr>
      <w:rPr>
        <w:rFonts w:hint="default"/>
        <w:b w:val="0"/>
        <w:i w:val="0"/>
        <w:sz w:val="20"/>
      </w:rPr>
    </w:lvl>
    <w:lvl w:ilvl="7" w:tplc="FFFFFFFF" w:tentative="1">
      <w:start w:val="1"/>
      <w:numFmt w:val="lowerLetter"/>
      <w:lvlText w:val="%8."/>
      <w:lvlJc w:val="left"/>
      <w:pPr>
        <w:ind w:left="5760" w:hanging="360"/>
      </w:pPr>
      <w:rPr>
        <w:rFonts w:hint="default"/>
        <w:b w:val="0"/>
        <w:i w:val="0"/>
        <w:sz w:val="26"/>
      </w:rPr>
    </w:lvl>
    <w:lvl w:ilvl="8" w:tplc="FFFFFFFF" w:tentative="1">
      <w:start w:val="1"/>
      <w:numFmt w:val="lowerRoman"/>
      <w:lvlText w:val="%9."/>
      <w:lvlJc w:val="right"/>
      <w:pPr>
        <w:ind w:left="6480" w:hanging="180"/>
      </w:pPr>
      <w:rPr>
        <w:rFonts w:hint="default"/>
        <w:b w:val="0"/>
        <w:i w:val="0"/>
        <w:sz w:val="26"/>
      </w:rPr>
    </w:lvl>
  </w:abstractNum>
  <w:abstractNum w:abstractNumId="7" w15:restartNumberingAfterBreak="0">
    <w:nsid w:val="10165184"/>
    <w:multiLevelType w:val="hybridMultilevel"/>
    <w:tmpl w:val="F3780204"/>
    <w:lvl w:ilvl="0" w:tplc="4044C520">
      <w:start w:val="1"/>
      <w:numFmt w:val="lowerLetter"/>
      <w:lvlText w:val="(%1)"/>
      <w:lvlJc w:val="left"/>
      <w:pPr>
        <w:ind w:left="720" w:hanging="360"/>
      </w:pPr>
      <w:rPr>
        <w:rFonts w:cs="Times New Roman" w:hint="default"/>
        <w:b w:val="0"/>
        <w:i w:val="0"/>
      </w:rPr>
    </w:lvl>
    <w:lvl w:ilvl="1" w:tplc="4044C520">
      <w:start w:val="1"/>
      <w:numFmt w:val="lowerLetter"/>
      <w:lvlText w:val="(%2)"/>
      <w:lvlJc w:val="left"/>
      <w:pPr>
        <w:ind w:left="1440" w:hanging="360"/>
      </w:pPr>
      <w:rPr>
        <w:rFonts w:cs="Times New Roman" w:hint="default"/>
        <w:b w:val="0"/>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3990ADF"/>
    <w:multiLevelType w:val="multilevel"/>
    <w:tmpl w:val="91863356"/>
    <w:lvl w:ilvl="0">
      <w:start w:val="6"/>
      <w:numFmt w:val="decimal"/>
      <w:lvlText w:val="%1."/>
      <w:lvlJc w:val="left"/>
      <w:pPr>
        <w:ind w:left="660" w:hanging="660"/>
      </w:pPr>
      <w:rPr>
        <w:rFonts w:hint="default"/>
      </w:rPr>
    </w:lvl>
    <w:lvl w:ilvl="1">
      <w:start w:val="14"/>
      <w:numFmt w:val="decimal"/>
      <w:lvlText w:val="%1.%2."/>
      <w:lvlJc w:val="left"/>
      <w:pPr>
        <w:ind w:left="943" w:hanging="6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9" w15:restartNumberingAfterBreak="0">
    <w:nsid w:val="16D4043F"/>
    <w:multiLevelType w:val="hybridMultilevel"/>
    <w:tmpl w:val="417458AC"/>
    <w:lvl w:ilvl="0" w:tplc="9C54E7FC">
      <w:start w:val="9"/>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8E6616F"/>
    <w:multiLevelType w:val="multilevel"/>
    <w:tmpl w:val="BCE2D17C"/>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C192469"/>
    <w:multiLevelType w:val="multilevel"/>
    <w:tmpl w:val="974A699A"/>
    <w:lvl w:ilvl="0">
      <w:start w:val="6"/>
      <w:numFmt w:val="decimal"/>
      <w:lvlText w:val="%1."/>
      <w:lvlJc w:val="left"/>
      <w:pPr>
        <w:ind w:left="600" w:hanging="600"/>
      </w:pPr>
      <w:rPr>
        <w:rFonts w:hint="default"/>
      </w:rPr>
    </w:lvl>
    <w:lvl w:ilvl="1">
      <w:start w:val="18"/>
      <w:numFmt w:val="decimal"/>
      <w:lvlText w:val="%1.%2."/>
      <w:lvlJc w:val="left"/>
      <w:pPr>
        <w:ind w:left="600" w:hanging="60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5B43C1"/>
    <w:multiLevelType w:val="multilevel"/>
    <w:tmpl w:val="57B4F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ascii="Calibri" w:hAnsi="Calibri" w:cs="Calibri" w:hint="default"/>
        <w:b w:val="0"/>
        <w:sz w:val="22"/>
        <w:szCs w:val="22"/>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297815"/>
    <w:multiLevelType w:val="multilevel"/>
    <w:tmpl w:val="345885D2"/>
    <w:lvl w:ilvl="0">
      <w:start w:val="6"/>
      <w:numFmt w:val="decimal"/>
      <w:lvlText w:val="%1."/>
      <w:lvlJc w:val="left"/>
      <w:pPr>
        <w:ind w:left="540" w:hanging="540"/>
      </w:pPr>
      <w:rPr>
        <w:rFonts w:ascii="Calibri" w:hAnsi="Calibri" w:cs="Calibri" w:hint="default"/>
        <w:b/>
        <w:i w:val="0"/>
        <w:sz w:val="22"/>
        <w:szCs w:val="22"/>
      </w:rPr>
    </w:lvl>
    <w:lvl w:ilvl="1">
      <w:start w:val="15"/>
      <w:numFmt w:val="decimal"/>
      <w:lvlText w:val="%1.%2."/>
      <w:lvlJc w:val="left"/>
      <w:pPr>
        <w:ind w:left="540" w:hanging="540"/>
      </w:pPr>
      <w:rPr>
        <w:rFonts w:hint="default"/>
        <w:b w:val="0"/>
        <w:i w:val="0"/>
        <w:sz w:val="22"/>
        <w:szCs w:val="22"/>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4" w15:restartNumberingAfterBreak="0">
    <w:nsid w:val="287660C6"/>
    <w:multiLevelType w:val="hybridMultilevel"/>
    <w:tmpl w:val="8C24D212"/>
    <w:lvl w:ilvl="0" w:tplc="2BDAB48C">
      <w:start w:val="1"/>
      <w:numFmt w:val="lowerRoman"/>
      <w:lvlText w:val="(%1)"/>
      <w:lvlJc w:val="left"/>
      <w:pPr>
        <w:ind w:left="765" w:hanging="720"/>
      </w:pPr>
      <w:rPr>
        <w:rFonts w:hint="default"/>
        <w:b w:val="0"/>
      </w:rPr>
    </w:lvl>
    <w:lvl w:ilvl="1" w:tplc="04160019">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15" w15:restartNumberingAfterBreak="0">
    <w:nsid w:val="2AA66588"/>
    <w:multiLevelType w:val="multilevel"/>
    <w:tmpl w:val="6BA4F1EA"/>
    <w:lvl w:ilvl="0">
      <w:start w:val="9"/>
      <w:numFmt w:val="decimal"/>
      <w:lvlText w:val="%1."/>
      <w:lvlJc w:val="left"/>
      <w:pPr>
        <w:ind w:left="660" w:hanging="660"/>
      </w:pPr>
      <w:rPr>
        <w:rFonts w:hint="default"/>
      </w:rPr>
    </w:lvl>
    <w:lvl w:ilvl="1">
      <w:start w:val="13"/>
      <w:numFmt w:val="decimal"/>
      <w:lvlText w:val="%1.%2."/>
      <w:lvlJc w:val="left"/>
      <w:pPr>
        <w:ind w:left="943" w:hanging="660"/>
      </w:pPr>
      <w:rPr>
        <w:rFonts w:hint="default"/>
      </w:rPr>
    </w:lvl>
    <w:lvl w:ilvl="2">
      <w:start w:val="1"/>
      <w:numFmt w:val="decimal"/>
      <w:lvlText w:val="%1.%2.%3."/>
      <w:lvlJc w:val="left"/>
      <w:pPr>
        <w:ind w:left="1286" w:hanging="720"/>
      </w:pPr>
      <w:rPr>
        <w:rFonts w:hint="default"/>
        <w:sz w:val="22"/>
        <w:szCs w:val="22"/>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6" w15:restartNumberingAfterBreak="0">
    <w:nsid w:val="2B867BE0"/>
    <w:multiLevelType w:val="hybridMultilevel"/>
    <w:tmpl w:val="423AFFD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C1B4DC8"/>
    <w:multiLevelType w:val="hybridMultilevel"/>
    <w:tmpl w:val="90A24480"/>
    <w:lvl w:ilvl="0" w:tplc="62142C86">
      <w:start w:val="9"/>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E7F6F4A"/>
    <w:multiLevelType w:val="multilevel"/>
    <w:tmpl w:val="CCDCAC04"/>
    <w:lvl w:ilvl="0">
      <w:start w:val="8"/>
      <w:numFmt w:val="decimal"/>
      <w:lvlText w:val="%1."/>
      <w:lvlJc w:val="left"/>
      <w:pPr>
        <w:ind w:left="360" w:hanging="360"/>
      </w:pPr>
      <w:rPr>
        <w:rFonts w:hint="default"/>
        <w:i w:val="0"/>
      </w:rPr>
    </w:lvl>
    <w:lvl w:ilvl="1">
      <w:start w:val="1"/>
      <w:numFmt w:val="decimal"/>
      <w:lvlText w:val="%1.%2."/>
      <w:lvlJc w:val="left"/>
      <w:pPr>
        <w:ind w:left="360" w:hanging="36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5903FC"/>
    <w:multiLevelType w:val="hybridMultilevel"/>
    <w:tmpl w:val="CB6C83D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0" w15:restartNumberingAfterBreak="0">
    <w:nsid w:val="3DEF3923"/>
    <w:multiLevelType w:val="hybridMultilevel"/>
    <w:tmpl w:val="261A0F72"/>
    <w:lvl w:ilvl="0" w:tplc="107E1DD0">
      <w:start w:val="1"/>
      <w:numFmt w:val="lowerRoman"/>
      <w:lvlText w:val="(%1)"/>
      <w:lvlJc w:val="left"/>
      <w:pPr>
        <w:ind w:left="1287" w:hanging="360"/>
      </w:pPr>
      <w:rPr>
        <w:rFonts w:hint="default"/>
        <w:b w:val="0"/>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1" w15:restartNumberingAfterBreak="0">
    <w:nsid w:val="43DD3B15"/>
    <w:multiLevelType w:val="multilevel"/>
    <w:tmpl w:val="4260C67E"/>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sz w:val="22"/>
        <w:szCs w:val="22"/>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5B3203"/>
    <w:multiLevelType w:val="multilevel"/>
    <w:tmpl w:val="6096DE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23" w15:restartNumberingAfterBreak="0">
    <w:nsid w:val="4AED3295"/>
    <w:multiLevelType w:val="multilevel"/>
    <w:tmpl w:val="6D9C5A12"/>
    <w:lvl w:ilvl="0">
      <w:start w:val="6"/>
      <w:numFmt w:val="decimal"/>
      <w:lvlText w:val="%1."/>
      <w:lvlJc w:val="left"/>
      <w:pPr>
        <w:ind w:left="600" w:hanging="600"/>
      </w:pPr>
      <w:rPr>
        <w:rFonts w:cs="Times New Roman" w:hint="default"/>
        <w:u w:val="none"/>
      </w:rPr>
    </w:lvl>
    <w:lvl w:ilvl="1">
      <w:start w:val="17"/>
      <w:numFmt w:val="decimal"/>
      <w:lvlText w:val="%1.%2."/>
      <w:lvlJc w:val="left"/>
      <w:pPr>
        <w:ind w:left="600" w:hanging="600"/>
      </w:pPr>
      <w:rPr>
        <w:rFonts w:cs="Times New Roman" w:hint="default"/>
        <w:b/>
        <w:u w:val="none"/>
      </w:rPr>
    </w:lvl>
    <w:lvl w:ilvl="2">
      <w:start w:val="1"/>
      <w:numFmt w:val="decimal"/>
      <w:lvlText w:val="%1.%2.%3."/>
      <w:lvlJc w:val="left"/>
      <w:pPr>
        <w:ind w:left="720" w:hanging="720"/>
      </w:pPr>
      <w:rPr>
        <w:rFonts w:cs="Times New Roman" w:hint="default"/>
        <w:b w:val="0"/>
        <w:u w:val="none"/>
      </w:rPr>
    </w:lvl>
    <w:lvl w:ilvl="3">
      <w:start w:val="1"/>
      <w:numFmt w:val="decimal"/>
      <w:lvlText w:val="%1.%2.%3.%4."/>
      <w:lvlJc w:val="left"/>
      <w:pPr>
        <w:ind w:left="720" w:hanging="720"/>
      </w:pPr>
      <w:rPr>
        <w:rFonts w:cs="Times New Roman" w:hint="default"/>
        <w:u w:val="none"/>
      </w:rPr>
    </w:lvl>
    <w:lvl w:ilvl="4">
      <w:start w:val="1"/>
      <w:numFmt w:val="decimal"/>
      <w:lvlText w:val="%1.%2.%3.%4.%5."/>
      <w:lvlJc w:val="left"/>
      <w:pPr>
        <w:ind w:left="1080" w:hanging="1080"/>
      </w:pPr>
      <w:rPr>
        <w:rFonts w:cs="Times New Roman" w:hint="default"/>
        <w:u w:val="none"/>
      </w:rPr>
    </w:lvl>
    <w:lvl w:ilvl="5">
      <w:start w:val="1"/>
      <w:numFmt w:val="decimal"/>
      <w:lvlText w:val="%1.%2.%3.%4.%5.%6."/>
      <w:lvlJc w:val="left"/>
      <w:pPr>
        <w:ind w:left="1080" w:hanging="1080"/>
      </w:pPr>
      <w:rPr>
        <w:rFonts w:cs="Times New Roman" w:hint="default"/>
        <w:u w:val="none"/>
      </w:rPr>
    </w:lvl>
    <w:lvl w:ilvl="6">
      <w:start w:val="1"/>
      <w:numFmt w:val="decimal"/>
      <w:lvlText w:val="%1.%2.%3.%4.%5.%6.%7."/>
      <w:lvlJc w:val="left"/>
      <w:pPr>
        <w:ind w:left="1440" w:hanging="1440"/>
      </w:pPr>
      <w:rPr>
        <w:rFonts w:cs="Times New Roman" w:hint="default"/>
        <w:u w:val="none"/>
      </w:rPr>
    </w:lvl>
    <w:lvl w:ilvl="7">
      <w:start w:val="1"/>
      <w:numFmt w:val="decimal"/>
      <w:lvlText w:val="%1.%2.%3.%4.%5.%6.%7.%8."/>
      <w:lvlJc w:val="left"/>
      <w:pPr>
        <w:ind w:left="1440" w:hanging="1440"/>
      </w:pPr>
      <w:rPr>
        <w:rFonts w:cs="Times New Roman" w:hint="default"/>
        <w:u w:val="none"/>
      </w:rPr>
    </w:lvl>
    <w:lvl w:ilvl="8">
      <w:start w:val="1"/>
      <w:numFmt w:val="decimal"/>
      <w:lvlText w:val="%1.%2.%3.%4.%5.%6.%7.%8.%9."/>
      <w:lvlJc w:val="left"/>
      <w:pPr>
        <w:ind w:left="1800" w:hanging="1800"/>
      </w:pPr>
      <w:rPr>
        <w:rFonts w:cs="Times New Roman" w:hint="default"/>
        <w:u w:val="none"/>
      </w:rPr>
    </w:lvl>
  </w:abstractNum>
  <w:abstractNum w:abstractNumId="24" w15:restartNumberingAfterBreak="0">
    <w:nsid w:val="5194742F"/>
    <w:multiLevelType w:val="multilevel"/>
    <w:tmpl w:val="2696B4A6"/>
    <w:lvl w:ilvl="0">
      <w:start w:val="6"/>
      <w:numFmt w:val="decimal"/>
      <w:lvlText w:val="%1"/>
      <w:lvlJc w:val="left"/>
      <w:pPr>
        <w:ind w:left="540" w:hanging="540"/>
      </w:pPr>
      <w:rPr>
        <w:rFonts w:cs="Times New Roman" w:hint="default"/>
        <w:u w:val="none"/>
      </w:rPr>
    </w:lvl>
    <w:lvl w:ilvl="1">
      <w:start w:val="16"/>
      <w:numFmt w:val="decimal"/>
      <w:lvlText w:val="%1.%2"/>
      <w:lvlJc w:val="left"/>
      <w:pPr>
        <w:ind w:left="540" w:hanging="540"/>
      </w:pPr>
      <w:rPr>
        <w:rFonts w:cs="Times New Roman" w:hint="default"/>
        <w:u w:val="none"/>
      </w:rPr>
    </w:lvl>
    <w:lvl w:ilvl="2">
      <w:start w:val="1"/>
      <w:numFmt w:val="decimal"/>
      <w:lvlText w:val="%1.%2.%3"/>
      <w:lvlJc w:val="left"/>
      <w:pPr>
        <w:ind w:left="720" w:hanging="720"/>
      </w:pPr>
      <w:rPr>
        <w:rFonts w:cs="Times New Roman" w:hint="default"/>
        <w:u w:val="none"/>
      </w:rPr>
    </w:lvl>
    <w:lvl w:ilvl="3">
      <w:start w:val="1"/>
      <w:numFmt w:val="decimal"/>
      <w:lvlText w:val="%1.%2.%3.%4"/>
      <w:lvlJc w:val="left"/>
      <w:pPr>
        <w:ind w:left="720" w:hanging="720"/>
      </w:pPr>
      <w:rPr>
        <w:rFonts w:cs="Times New Roman" w:hint="default"/>
        <w:u w:val="none"/>
      </w:rPr>
    </w:lvl>
    <w:lvl w:ilvl="4">
      <w:start w:val="1"/>
      <w:numFmt w:val="decimal"/>
      <w:lvlText w:val="%1.%2.%3.%4.%5"/>
      <w:lvlJc w:val="left"/>
      <w:pPr>
        <w:ind w:left="1080" w:hanging="1080"/>
      </w:pPr>
      <w:rPr>
        <w:rFonts w:cs="Times New Roman" w:hint="default"/>
        <w:u w:val="none"/>
      </w:rPr>
    </w:lvl>
    <w:lvl w:ilvl="5">
      <w:start w:val="1"/>
      <w:numFmt w:val="decimal"/>
      <w:lvlText w:val="%1.%2.%3.%4.%5.%6"/>
      <w:lvlJc w:val="left"/>
      <w:pPr>
        <w:ind w:left="1080" w:hanging="1080"/>
      </w:pPr>
      <w:rPr>
        <w:rFonts w:cs="Times New Roman" w:hint="default"/>
        <w:u w:val="none"/>
      </w:rPr>
    </w:lvl>
    <w:lvl w:ilvl="6">
      <w:start w:val="1"/>
      <w:numFmt w:val="decimal"/>
      <w:lvlText w:val="%1.%2.%3.%4.%5.%6.%7"/>
      <w:lvlJc w:val="left"/>
      <w:pPr>
        <w:ind w:left="1440" w:hanging="1440"/>
      </w:pPr>
      <w:rPr>
        <w:rFonts w:cs="Times New Roman" w:hint="default"/>
        <w:u w:val="none"/>
      </w:rPr>
    </w:lvl>
    <w:lvl w:ilvl="7">
      <w:start w:val="1"/>
      <w:numFmt w:val="decimal"/>
      <w:lvlText w:val="%1.%2.%3.%4.%5.%6.%7.%8"/>
      <w:lvlJc w:val="left"/>
      <w:pPr>
        <w:ind w:left="1440" w:hanging="1440"/>
      </w:pPr>
      <w:rPr>
        <w:rFonts w:cs="Times New Roman" w:hint="default"/>
        <w:u w:val="none"/>
      </w:rPr>
    </w:lvl>
    <w:lvl w:ilvl="8">
      <w:start w:val="1"/>
      <w:numFmt w:val="decimal"/>
      <w:lvlText w:val="%1.%2.%3.%4.%5.%6.%7.%8.%9"/>
      <w:lvlJc w:val="left"/>
      <w:pPr>
        <w:ind w:left="1440" w:hanging="1440"/>
      </w:pPr>
      <w:rPr>
        <w:rFonts w:cs="Times New Roman" w:hint="default"/>
        <w:u w:val="none"/>
      </w:rPr>
    </w:lvl>
  </w:abstractNum>
  <w:abstractNum w:abstractNumId="25" w15:restartNumberingAfterBreak="0">
    <w:nsid w:val="5F4E7D54"/>
    <w:multiLevelType w:val="hybridMultilevel"/>
    <w:tmpl w:val="EF5AEF1A"/>
    <w:lvl w:ilvl="0" w:tplc="2BDAB48C">
      <w:start w:val="1"/>
      <w:numFmt w:val="lowerRoman"/>
      <w:lvlText w:val="(%1)"/>
      <w:lvlJc w:val="left"/>
      <w:pPr>
        <w:ind w:left="765" w:hanging="720"/>
      </w:pPr>
      <w:rPr>
        <w:rFonts w:hint="default"/>
        <w:b w:val="0"/>
      </w:rPr>
    </w:lvl>
    <w:lvl w:ilvl="1" w:tplc="04160019">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26" w15:restartNumberingAfterBreak="0">
    <w:nsid w:val="6147265A"/>
    <w:multiLevelType w:val="multilevel"/>
    <w:tmpl w:val="D152F62A"/>
    <w:lvl w:ilvl="0">
      <w:start w:val="10"/>
      <w:numFmt w:val="decimal"/>
      <w:lvlText w:val="%1."/>
      <w:lvlJc w:val="left"/>
      <w:pPr>
        <w:ind w:left="480" w:hanging="480"/>
      </w:pPr>
      <w:rPr>
        <w:rFonts w:hint="default"/>
        <w:i w:val="0"/>
      </w:rPr>
    </w:lvl>
    <w:lvl w:ilvl="1">
      <w:start w:val="1"/>
      <w:numFmt w:val="decimal"/>
      <w:lvlText w:val="%1.%2."/>
      <w:lvlJc w:val="left"/>
      <w:pPr>
        <w:ind w:left="480" w:hanging="48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9591C"/>
    <w:multiLevelType w:val="hybridMultilevel"/>
    <w:tmpl w:val="895C22CA"/>
    <w:lvl w:ilvl="0" w:tplc="107E1DD0">
      <w:start w:val="1"/>
      <w:numFmt w:val="lowerRoman"/>
      <w:lvlText w:val="(%1)"/>
      <w:lvlJc w:val="left"/>
      <w:pPr>
        <w:ind w:left="2880" w:hanging="360"/>
      </w:pPr>
      <w:rPr>
        <w:rFonts w:hint="default"/>
        <w:b w:val="0"/>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28" w15:restartNumberingAfterBreak="0">
    <w:nsid w:val="633940AA"/>
    <w:multiLevelType w:val="multilevel"/>
    <w:tmpl w:val="9264A750"/>
    <w:lvl w:ilvl="0">
      <w:start w:val="2"/>
      <w:numFmt w:val="decimal"/>
      <w:lvlText w:val="%1."/>
      <w:lvlJc w:val="left"/>
      <w:pPr>
        <w:ind w:left="540" w:hanging="540"/>
      </w:pPr>
      <w:rPr>
        <w:rFonts w:ascii="Calibri" w:hAnsi="Calibri" w:cs="Calibri" w:hint="default"/>
        <w:b/>
        <w:i w:val="0"/>
        <w:sz w:val="22"/>
        <w:szCs w:val="22"/>
      </w:rPr>
    </w:lvl>
    <w:lvl w:ilvl="1">
      <w:start w:val="1"/>
      <w:numFmt w:val="decimal"/>
      <w:lvlText w:val="%1.%2."/>
      <w:lvlJc w:val="left"/>
      <w:pPr>
        <w:ind w:left="540" w:hanging="540"/>
      </w:pPr>
      <w:rPr>
        <w:rFonts w:hint="default"/>
        <w:b w:val="0"/>
        <w:i w:val="0"/>
        <w:sz w:val="22"/>
        <w:szCs w:val="22"/>
      </w:rPr>
    </w:lvl>
    <w:lvl w:ilvl="2">
      <w:start w:val="5"/>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i w:val="0"/>
        <w:u w:val="none"/>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9" w15:restartNumberingAfterBreak="0">
    <w:nsid w:val="687232EF"/>
    <w:multiLevelType w:val="multilevel"/>
    <w:tmpl w:val="8C7C06CA"/>
    <w:lvl w:ilvl="0">
      <w:start w:val="1"/>
      <w:numFmt w:val="decimal"/>
      <w:pStyle w:val="A1"/>
      <w:suff w:val="space"/>
      <w:lvlText w:val="Cláusula %1."/>
      <w:lvlJc w:val="left"/>
      <w:pPr>
        <w:ind w:left="0" w:firstLine="0"/>
      </w:pPr>
      <w:rPr>
        <w:b/>
        <w:i w:val="0"/>
        <w:caps w:val="0"/>
        <w:smallCaps w:val="0"/>
        <w:strike w:val="0"/>
        <w:vanish w:val="0"/>
        <w:color w:val="000000"/>
        <w:spacing w:val="0"/>
        <w:u w:val="none"/>
        <w:em w:val="none"/>
      </w:rPr>
    </w:lvl>
    <w:lvl w:ilvl="1">
      <w:start w:val="1"/>
      <w:numFmt w:val="decimal"/>
      <w:pStyle w:val="A2"/>
      <w:suff w:val="space"/>
      <w:lvlText w:val="%1.%2."/>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pt-BR"/>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3"/>
      <w:lvlText w:val="%1.%2.%3"/>
      <w:lvlJc w:val="left"/>
      <w:pPr>
        <w:ind w:left="1211" w:hanging="360"/>
      </w:pPr>
      <w:rPr>
        <w:rFonts w:ascii="Times New Roman" w:hAnsi="Times New Roman" w:hint="default"/>
        <w:b w:val="0"/>
        <w:color w:val="auto"/>
        <w:sz w:val="22"/>
      </w:rPr>
    </w:lvl>
    <w:lvl w:ilvl="3">
      <w:start w:val="1"/>
      <w:numFmt w:val="decimal"/>
      <w:pStyle w:val="A4"/>
      <w:lvlText w:val="%1.%2.%3.%4"/>
      <w:lvlJc w:val="left"/>
      <w:pPr>
        <w:ind w:left="1440"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4">
      <w:start w:val="1"/>
      <w:numFmt w:val="decimal"/>
      <w:pStyle w:val="P5"/>
      <w:lvlText w:val="%1.%2.%3.%4.%5"/>
      <w:lvlJc w:val="left"/>
      <w:pPr>
        <w:ind w:left="1800" w:hanging="360"/>
      </w:pPr>
      <w:rPr>
        <w:rFonts w:ascii="Times New Roman" w:hAnsi="Times New Roman"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99C6457"/>
    <w:multiLevelType w:val="multilevel"/>
    <w:tmpl w:val="2696B4A6"/>
    <w:lvl w:ilvl="0">
      <w:start w:val="6"/>
      <w:numFmt w:val="decimal"/>
      <w:lvlText w:val="%1"/>
      <w:lvlJc w:val="left"/>
      <w:pPr>
        <w:ind w:left="540" w:hanging="540"/>
      </w:pPr>
      <w:rPr>
        <w:rFonts w:cs="Times New Roman" w:hint="default"/>
        <w:u w:val="none"/>
      </w:rPr>
    </w:lvl>
    <w:lvl w:ilvl="1">
      <w:start w:val="16"/>
      <w:numFmt w:val="decimal"/>
      <w:lvlText w:val="%1.%2"/>
      <w:lvlJc w:val="left"/>
      <w:pPr>
        <w:ind w:left="540" w:hanging="540"/>
      </w:pPr>
      <w:rPr>
        <w:rFonts w:cs="Times New Roman" w:hint="default"/>
        <w:u w:val="none"/>
      </w:rPr>
    </w:lvl>
    <w:lvl w:ilvl="2">
      <w:start w:val="1"/>
      <w:numFmt w:val="decimal"/>
      <w:lvlText w:val="%1.%2.%3"/>
      <w:lvlJc w:val="left"/>
      <w:pPr>
        <w:ind w:left="720" w:hanging="720"/>
      </w:pPr>
      <w:rPr>
        <w:rFonts w:cs="Times New Roman" w:hint="default"/>
        <w:u w:val="none"/>
      </w:rPr>
    </w:lvl>
    <w:lvl w:ilvl="3">
      <w:start w:val="1"/>
      <w:numFmt w:val="decimal"/>
      <w:lvlText w:val="%1.%2.%3.%4"/>
      <w:lvlJc w:val="left"/>
      <w:pPr>
        <w:ind w:left="720" w:hanging="720"/>
      </w:pPr>
      <w:rPr>
        <w:rFonts w:cs="Times New Roman" w:hint="default"/>
        <w:u w:val="none"/>
      </w:rPr>
    </w:lvl>
    <w:lvl w:ilvl="4">
      <w:start w:val="1"/>
      <w:numFmt w:val="decimal"/>
      <w:lvlText w:val="%1.%2.%3.%4.%5"/>
      <w:lvlJc w:val="left"/>
      <w:pPr>
        <w:ind w:left="1080" w:hanging="1080"/>
      </w:pPr>
      <w:rPr>
        <w:rFonts w:cs="Times New Roman" w:hint="default"/>
        <w:u w:val="none"/>
      </w:rPr>
    </w:lvl>
    <w:lvl w:ilvl="5">
      <w:start w:val="1"/>
      <w:numFmt w:val="decimal"/>
      <w:lvlText w:val="%1.%2.%3.%4.%5.%6"/>
      <w:lvlJc w:val="left"/>
      <w:pPr>
        <w:ind w:left="1080" w:hanging="1080"/>
      </w:pPr>
      <w:rPr>
        <w:rFonts w:cs="Times New Roman" w:hint="default"/>
        <w:u w:val="none"/>
      </w:rPr>
    </w:lvl>
    <w:lvl w:ilvl="6">
      <w:start w:val="1"/>
      <w:numFmt w:val="decimal"/>
      <w:lvlText w:val="%1.%2.%3.%4.%5.%6.%7"/>
      <w:lvlJc w:val="left"/>
      <w:pPr>
        <w:ind w:left="1440" w:hanging="1440"/>
      </w:pPr>
      <w:rPr>
        <w:rFonts w:cs="Times New Roman" w:hint="default"/>
        <w:u w:val="none"/>
      </w:rPr>
    </w:lvl>
    <w:lvl w:ilvl="7">
      <w:start w:val="1"/>
      <w:numFmt w:val="decimal"/>
      <w:lvlText w:val="%1.%2.%3.%4.%5.%6.%7.%8"/>
      <w:lvlJc w:val="left"/>
      <w:pPr>
        <w:ind w:left="1440" w:hanging="1440"/>
      </w:pPr>
      <w:rPr>
        <w:rFonts w:cs="Times New Roman" w:hint="default"/>
        <w:u w:val="none"/>
      </w:rPr>
    </w:lvl>
    <w:lvl w:ilvl="8">
      <w:start w:val="1"/>
      <w:numFmt w:val="decimal"/>
      <w:lvlText w:val="%1.%2.%3.%4.%5.%6.%7.%8.%9"/>
      <w:lvlJc w:val="left"/>
      <w:pPr>
        <w:ind w:left="1440" w:hanging="1440"/>
      </w:pPr>
      <w:rPr>
        <w:rFonts w:cs="Times New Roman" w:hint="default"/>
        <w:u w:val="none"/>
      </w:rPr>
    </w:lvl>
  </w:abstractNum>
  <w:abstractNum w:abstractNumId="31" w15:restartNumberingAfterBreak="0">
    <w:nsid w:val="6AD95F34"/>
    <w:multiLevelType w:val="hybridMultilevel"/>
    <w:tmpl w:val="7DE2E10C"/>
    <w:lvl w:ilvl="0" w:tplc="107E1DD0">
      <w:start w:val="1"/>
      <w:numFmt w:val="lowerRoman"/>
      <w:lvlText w:val="(%1)"/>
      <w:lvlJc w:val="left"/>
      <w:pPr>
        <w:ind w:left="1287" w:hanging="360"/>
      </w:pPr>
      <w:rPr>
        <w:rFonts w:hint="default"/>
        <w:b w:val="0"/>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2" w15:restartNumberingAfterBreak="0">
    <w:nsid w:val="7861666A"/>
    <w:multiLevelType w:val="hybridMultilevel"/>
    <w:tmpl w:val="54FE0112"/>
    <w:lvl w:ilvl="0" w:tplc="4044C520">
      <w:start w:val="1"/>
      <w:numFmt w:val="lowerLetter"/>
      <w:lvlText w:val="(%1)"/>
      <w:lvlJc w:val="left"/>
      <w:pPr>
        <w:ind w:left="1287" w:hanging="360"/>
      </w:pPr>
      <w:rPr>
        <w:rFonts w:cs="Times New Roman" w:hint="default"/>
        <w:b w:val="0"/>
        <w:i w:val="0"/>
      </w:rPr>
    </w:lvl>
    <w:lvl w:ilvl="1" w:tplc="4044C520">
      <w:start w:val="1"/>
      <w:numFmt w:val="lowerLetter"/>
      <w:lvlText w:val="(%2)"/>
      <w:lvlJc w:val="left"/>
      <w:pPr>
        <w:ind w:left="2007" w:hanging="360"/>
      </w:pPr>
      <w:rPr>
        <w:rFonts w:cs="Times New Roman" w:hint="default"/>
        <w:b w:val="0"/>
        <w:i w:val="0"/>
      </w:r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3" w15:restartNumberingAfterBreak="0">
    <w:nsid w:val="7CA05737"/>
    <w:multiLevelType w:val="hybridMultilevel"/>
    <w:tmpl w:val="140C5C58"/>
    <w:lvl w:ilvl="0" w:tplc="107E1DD0">
      <w:start w:val="1"/>
      <w:numFmt w:val="lowerRoman"/>
      <w:lvlText w:val="(%1)"/>
      <w:lvlJc w:val="left"/>
      <w:pPr>
        <w:ind w:left="1440" w:hanging="720"/>
      </w:pPr>
      <w:rPr>
        <w:rFonts w:hint="default"/>
        <w:b w:val="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4" w15:restartNumberingAfterBreak="0">
    <w:nsid w:val="7DE34AC2"/>
    <w:multiLevelType w:val="multilevel"/>
    <w:tmpl w:val="777EBB1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3"/>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9"/>
  </w:num>
  <w:num w:numId="6">
    <w:abstractNumId w:val="9"/>
  </w:num>
  <w:num w:numId="7">
    <w:abstractNumId w:val="17"/>
  </w:num>
  <w:num w:numId="8">
    <w:abstractNumId w:val="16"/>
  </w:num>
  <w:num w:numId="9">
    <w:abstractNumId w:val="12"/>
  </w:num>
  <w:num w:numId="10">
    <w:abstractNumId w:val="1"/>
  </w:num>
  <w:num w:numId="11">
    <w:abstractNumId w:val="28"/>
  </w:num>
  <w:num w:numId="12">
    <w:abstractNumId w:val="8"/>
  </w:num>
  <w:num w:numId="13">
    <w:abstractNumId w:val="24"/>
  </w:num>
  <w:num w:numId="14">
    <w:abstractNumId w:val="30"/>
  </w:num>
  <w:num w:numId="15">
    <w:abstractNumId w:val="11"/>
  </w:num>
  <w:num w:numId="16">
    <w:abstractNumId w:val="10"/>
  </w:num>
  <w:num w:numId="17">
    <w:abstractNumId w:val="21"/>
  </w:num>
  <w:num w:numId="18">
    <w:abstractNumId w:val="18"/>
  </w:num>
  <w:num w:numId="19">
    <w:abstractNumId w:val="19"/>
  </w:num>
  <w:num w:numId="20">
    <w:abstractNumId w:val="20"/>
  </w:num>
  <w:num w:numId="21">
    <w:abstractNumId w:val="31"/>
  </w:num>
  <w:num w:numId="22">
    <w:abstractNumId w:val="5"/>
  </w:num>
  <w:num w:numId="23">
    <w:abstractNumId w:val="32"/>
  </w:num>
  <w:num w:numId="24">
    <w:abstractNumId w:val="7"/>
  </w:num>
  <w:num w:numId="25">
    <w:abstractNumId w:val="34"/>
  </w:num>
  <w:num w:numId="26">
    <w:abstractNumId w:val="15"/>
  </w:num>
  <w:num w:numId="27">
    <w:abstractNumId w:val="26"/>
  </w:num>
  <w:num w:numId="28">
    <w:abstractNumId w:val="23"/>
  </w:num>
  <w:num w:numId="29">
    <w:abstractNumId w:val="33"/>
  </w:num>
  <w:num w:numId="30">
    <w:abstractNumId w:val="27"/>
  </w:num>
  <w:num w:numId="31">
    <w:abstractNumId w:val="6"/>
  </w:num>
  <w:num w:numId="32">
    <w:abstractNumId w:val="13"/>
  </w:num>
  <w:num w:numId="33">
    <w:abstractNumId w:val="25"/>
  </w:num>
  <w:num w:numId="34">
    <w:abstractNumId w:val="2"/>
  </w:num>
  <w:num w:numId="35">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PersonName"/>
  <w:smartTagType w:namespaceuri="urn:schemas-microsoft-com:office:smarttags" w:name="metricconverter"/>
  <w:smartTagType w:namespaceuri="urn:schemas-microsoft-com:office:smarttags" w:name="date"/>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spacing w:before="240" w:after="60"/>
      <w:outlineLvl w:val="0"/>
    </w:pPr>
    <w:rPr>
      <w:rFonts w:ascii="Arial" w:hAnsi="Arial" w:cs="Arial"/>
      <w:b/>
      <w:bCs/>
      <w:kern w:val="32"/>
      <w:sz w:val="32"/>
      <w:szCs w:val="32"/>
    </w:rPr>
  </w:style>
  <w:style w:type="paragraph" w:styleId="Ttulo2">
    <w:name w:val="heading 2"/>
    <w:basedOn w:val="Normal"/>
    <w:next w:val="Normal"/>
    <w:qFormat/>
    <w:pPr>
      <w:keepNext/>
      <w:spacing w:before="240" w:after="60"/>
      <w:outlineLvl w:val="1"/>
    </w:pPr>
    <w:rPr>
      <w:rFonts w:ascii="Arial" w:hAnsi="Arial" w:cs="Arial"/>
      <w:b/>
      <w:bCs/>
      <w:i/>
      <w:iCs/>
      <w:sz w:val="28"/>
      <w:szCs w:val="28"/>
    </w:rPr>
  </w:style>
  <w:style w:type="paragraph" w:styleId="Ttulo3">
    <w:name w:val="heading 3"/>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qFormat/>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paragraph" w:styleId="Ttulo9">
    <w:name w:val="heading 9"/>
    <w:basedOn w:val="Normal"/>
    <w:next w:val="Normal"/>
    <w:link w:val="Ttulo9Char"/>
    <w:semiHidden/>
    <w:unhideWhenUsed/>
    <w:qFormat/>
    <w:pPr>
      <w:spacing w:before="240" w:after="60"/>
      <w:outlineLvl w:val="8"/>
    </w:pPr>
    <w:rPr>
      <w:rFonts w:ascii="Cambria" w:hAnsi="Cambria"/>
      <w:sz w:val="22"/>
      <w:szCs w:val="2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pPr>
      <w:jc w:val="both"/>
    </w:pPr>
    <w:rPr>
      <w:color w:val="0000FF"/>
    </w:rPr>
  </w:style>
  <w:style w:type="paragraph" w:styleId="NormalWeb">
    <w:name w:val="Normal (Web)"/>
    <w:basedOn w:val="Normal"/>
    <w:pPr>
      <w:autoSpaceDE w:val="0"/>
      <w:autoSpaceDN w:val="0"/>
      <w:adjustRightInd w:val="0"/>
      <w:spacing w:before="100" w:beforeAutospacing="1" w:after="100" w:afterAutospacing="1"/>
    </w:pPr>
  </w:style>
  <w:style w:type="paragraph" w:styleId="Cabealho">
    <w:name w:val="header"/>
    <w:basedOn w:val="Normal"/>
    <w:link w:val="CabealhoChar"/>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lang w:val="x-none" w:eastAsia="x-none"/>
    </w:rPr>
  </w:style>
  <w:style w:type="paragraph" w:styleId="Commarcadores">
    <w:name w:val="List Bullet"/>
    <w:basedOn w:val="Normal"/>
    <w:pPr>
      <w:numPr>
        <w:numId w:val="1"/>
      </w:numPr>
    </w:pPr>
  </w:style>
  <w:style w:type="character" w:customStyle="1" w:styleId="Char1">
    <w:name w:val="Char1"/>
    <w:rPr>
      <w:noProof w:val="0"/>
      <w:sz w:val="24"/>
      <w:szCs w:val="24"/>
      <w:lang w:val="pt-BR" w:eastAsia="pt-BR" w:bidi="ar-SA"/>
    </w:rPr>
  </w:style>
  <w:style w:type="paragraph" w:customStyle="1" w:styleId="BodyText22">
    <w:name w:val="Body Text 22"/>
    <w:basedOn w:val="Normal"/>
    <w:pPr>
      <w:jc w:val="both"/>
    </w:pPr>
    <w:rPr>
      <w:szCs w:val="20"/>
      <w:lang w:val="en-AU"/>
    </w:rPr>
  </w:style>
  <w:style w:type="paragraph" w:styleId="Corpodetexto">
    <w:name w:val="Body Text"/>
    <w:aliases w:val="b"/>
    <w:basedOn w:val="Normal"/>
    <w:pPr>
      <w:spacing w:after="120"/>
    </w:pPr>
  </w:style>
  <w:style w:type="paragraph" w:styleId="Rodap">
    <w:name w:val="footer"/>
    <w:basedOn w:val="Normal"/>
    <w:link w:val="RodapChar"/>
    <w:uiPriority w:val="99"/>
    <w:pPr>
      <w:tabs>
        <w:tab w:val="center" w:pos="4320"/>
        <w:tab w:val="right" w:pos="8640"/>
      </w:tabs>
    </w:pPr>
    <w:rPr>
      <w:lang w:val="x-none" w:eastAsia="x-none"/>
    </w:rPr>
  </w:style>
  <w:style w:type="paragraph" w:customStyle="1" w:styleId="p0">
    <w:name w:val="p0"/>
    <w:basedOn w:val="Normal"/>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link w:val="RecuodecorpodetextoChar"/>
    <w:pPr>
      <w:spacing w:after="120"/>
      <w:ind w:left="283"/>
    </w:pPr>
    <w:rPr>
      <w:lang w:val="x-none" w:eastAsia="x-none"/>
    </w:rPr>
  </w:style>
  <w:style w:type="paragraph" w:styleId="Corpodetexto3">
    <w:name w:val="Body Text 3"/>
    <w:basedOn w:val="Normal"/>
    <w:pPr>
      <w:spacing w:after="120"/>
    </w:pPr>
    <w:rPr>
      <w:sz w:val="16"/>
      <w:szCs w:val="16"/>
    </w:rPr>
  </w:style>
  <w:style w:type="paragraph" w:styleId="Recuodecorpodetexto3">
    <w:name w:val="Body Text Indent 3"/>
    <w:basedOn w:val="Normal"/>
    <w:pPr>
      <w:spacing w:after="120"/>
      <w:ind w:left="283"/>
    </w:pPr>
    <w:rPr>
      <w:sz w:val="16"/>
      <w:szCs w:val="16"/>
    </w:rPr>
  </w:style>
  <w:style w:type="character" w:customStyle="1" w:styleId="Char">
    <w:name w:val="Char"/>
    <w:rPr>
      <w:noProof w:val="0"/>
      <w:sz w:val="24"/>
      <w:szCs w:val="24"/>
      <w:lang w:val="pt-BR" w:eastAsia="pt-BR" w:bidi="ar-SA"/>
    </w:r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Pr>
      <w:color w:val="0000FF"/>
      <w:spacing w:val="0"/>
      <w:u w:val="double"/>
    </w:rPr>
  </w:style>
  <w:style w:type="paragraph" w:customStyle="1" w:styleId="DeltaViewTableBody">
    <w:name w:val="DeltaView Table Body"/>
    <w:basedOn w:val="Normal"/>
    <w:pPr>
      <w:autoSpaceDE w:val="0"/>
      <w:autoSpaceDN w:val="0"/>
      <w:adjustRightInd w:val="0"/>
    </w:pPr>
    <w:rPr>
      <w:rFonts w:ascii="Arial" w:hAnsi="Arial" w:cs="Arial"/>
      <w:lang w:val="en-US"/>
    </w:rPr>
  </w:style>
  <w:style w:type="character" w:styleId="Refdecomentrio">
    <w:name w:val="annotation reference"/>
    <w:semiHidden/>
    <w:rPr>
      <w:sz w:val="16"/>
      <w:szCs w:val="16"/>
    </w:rPr>
  </w:style>
  <w:style w:type="paragraph" w:styleId="Textodecomentrio">
    <w:name w:val="annotation text"/>
    <w:basedOn w:val="Normal"/>
    <w:semiHidden/>
    <w:rPr>
      <w:sz w:val="20"/>
      <w:szCs w:val="20"/>
    </w:rPr>
  </w:style>
  <w:style w:type="paragraph" w:styleId="Assuntodocomentrio">
    <w:name w:val="annotation subject"/>
    <w:basedOn w:val="Textodecomentrio"/>
    <w:next w:val="Textodecomentrio"/>
    <w:semiHidden/>
    <w:rPr>
      <w:b/>
      <w:bCs/>
    </w:rPr>
  </w:style>
  <w:style w:type="paragraph" w:styleId="Textodebalo">
    <w:name w:val="Balloon Text"/>
    <w:basedOn w:val="Normal"/>
    <w:semiHidden/>
    <w:rPr>
      <w:rFonts w:ascii="Tahoma" w:hAnsi="Tahoma" w:cs="Swiss"/>
      <w:sz w:val="16"/>
      <w:szCs w:val="16"/>
    </w:rPr>
  </w:style>
  <w:style w:type="character" w:styleId="Nmerodepgina">
    <w:name w:val="page number"/>
    <w:basedOn w:val="Fontepargpadro"/>
  </w:style>
  <w:style w:type="character" w:styleId="Hyperlink">
    <w:name w:val="Hyperlink"/>
    <w:rPr>
      <w:color w:val="0000FF"/>
      <w:u w:val="single"/>
    </w:rPr>
  </w:style>
  <w:style w:type="paragraph" w:styleId="Recuodecorpodetexto2">
    <w:name w:val="Body Text Indent 2"/>
    <w:basedOn w:val="Normal"/>
    <w:pPr>
      <w:spacing w:after="120" w:line="480" w:lineRule="auto"/>
      <w:ind w:left="283"/>
    </w:pPr>
  </w:style>
  <w:style w:type="paragraph" w:customStyle="1" w:styleId="Textopadro">
    <w:name w:val="Texto padrão"/>
    <w:basedOn w:val="Normal"/>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hAnsi="Swiss"/>
      <w:sz w:val="22"/>
      <w:szCs w:val="22"/>
    </w:rPr>
  </w:style>
  <w:style w:type="character" w:customStyle="1" w:styleId="InitialStyle">
    <w:name w:val="InitialStyle"/>
    <w:rPr>
      <w:rFonts w:ascii="Times New Roman" w:hAnsi="Times New Roman" w:cs="Times New Roman"/>
      <w:color w:val="auto"/>
      <w:spacing w:val="0"/>
      <w:sz w:val="20"/>
      <w:szCs w:val="20"/>
    </w:rPr>
  </w:style>
  <w:style w:type="paragraph" w:customStyle="1" w:styleId="Estilo2">
    <w:name w:val="Estilo2"/>
    <w:basedOn w:val="Normal"/>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pPr>
      <w:widowControl w:val="0"/>
      <w:autoSpaceDE w:val="0"/>
      <w:autoSpaceDN w:val="0"/>
      <w:adjustRightInd w:val="0"/>
      <w:jc w:val="both"/>
    </w:pPr>
    <w:rPr>
      <w:rFonts w:ascii="Arial" w:hAnsi="Arial" w:cs="Arial"/>
    </w:rPr>
  </w:style>
  <w:style w:type="character" w:customStyle="1" w:styleId="BodyText31">
    <w:name w:val="Body Text 31"/>
    <w:rPr>
      <w:noProof w:val="0"/>
      <w:spacing w:val="0"/>
      <w:sz w:val="28"/>
      <w:szCs w:val="28"/>
      <w:lang w:val="pt-BR"/>
    </w:rPr>
  </w:style>
  <w:style w:type="paragraph" w:customStyle="1" w:styleId="para">
    <w:name w:val="para"/>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tituloc">
    <w:name w:val="titulo_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hAnsi="Times"/>
      <w:b/>
      <w:bCs/>
      <w:sz w:val="24"/>
      <w:szCs w:val="24"/>
    </w:rPr>
  </w:style>
  <w:style w:type="paragraph" w:customStyle="1" w:styleId="DeltaViewTableHeading">
    <w:name w:val="DeltaView Table Heading"/>
    <w:basedOn w:val="Normal"/>
    <w:pPr>
      <w:autoSpaceDE w:val="0"/>
      <w:autoSpaceDN w:val="0"/>
      <w:adjustRightInd w:val="0"/>
      <w:spacing w:after="120"/>
    </w:pPr>
    <w:rPr>
      <w:rFonts w:ascii="Arial" w:hAnsi="Arial" w:cs="Arial"/>
      <w:b/>
      <w:bCs/>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00C000"/>
      <w:spacing w:val="0"/>
    </w:rPr>
  </w:style>
  <w:style w:type="character" w:customStyle="1" w:styleId="DeltaViewMoveDestination">
    <w:name w:val="DeltaView Move Destination"/>
    <w:rPr>
      <w:color w:val="00C000"/>
      <w:spacing w:val="0"/>
      <w:u w:val="doub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double"/>
    </w:rPr>
  </w:style>
  <w:style w:type="character" w:customStyle="1" w:styleId="DeltaViewStyleChangeText">
    <w:name w:val="DeltaView Style Change Text"/>
    <w:rPr>
      <w:color w:val="000000"/>
      <w:spacing w:val="0"/>
      <w:u w:val="double"/>
    </w:rPr>
  </w:style>
  <w:style w:type="character" w:customStyle="1" w:styleId="DeltaViewStyleChangeLabel">
    <w:name w:val="DeltaView Style Change Label"/>
    <w:rPr>
      <w:color w:val="000000"/>
      <w:spacing w:val="0"/>
    </w:rPr>
  </w:style>
  <w:style w:type="paragraph" w:customStyle="1" w:styleId="BodyText32">
    <w:name w:val="Body Text 32"/>
    <w:basedOn w:val="Normal"/>
    <w:pPr>
      <w:jc w:val="both"/>
    </w:pPr>
    <w:rPr>
      <w:rFonts w:ascii="Arial" w:hAnsi="Arial"/>
      <w:szCs w:val="20"/>
    </w:rPr>
  </w:style>
  <w:style w:type="paragraph" w:customStyle="1" w:styleId="assin">
    <w:name w:val="assin"/>
    <w:pPr>
      <w:widowControl w:val="0"/>
      <w:tabs>
        <w:tab w:val="left" w:pos="0"/>
        <w:tab w:val="left" w:pos="1418"/>
        <w:tab w:val="left" w:pos="2835"/>
        <w:tab w:val="left" w:pos="4252"/>
      </w:tabs>
      <w:spacing w:before="269" w:after="170" w:line="214" w:lineRule="atLeast"/>
      <w:jc w:val="center"/>
    </w:pPr>
    <w:rPr>
      <w:rFonts w:ascii="Swiss" w:hAnsi="Swiss"/>
      <w:b/>
      <w:snapToGrid w:val="0"/>
    </w:rPr>
  </w:style>
  <w:style w:type="paragraph" w:styleId="Ttulo">
    <w:name w:val="Title"/>
    <w:basedOn w:val="Normal"/>
    <w:qFormat/>
    <w:pPr>
      <w:jc w:val="center"/>
    </w:pPr>
    <w:rPr>
      <w:rFonts w:ascii="Bookman Old Style" w:hAnsi="Bookman Old Style"/>
      <w:b/>
      <w:sz w:val="22"/>
      <w:szCs w:val="20"/>
    </w:rPr>
  </w:style>
  <w:style w:type="paragraph" w:customStyle="1" w:styleId="TextoTpicosProspecto">
    <w:name w:val="Texto Tópicos Prospecto"/>
    <w:basedOn w:val="TextoProspecto"/>
    <w:autoRedefine/>
    <w:pPr>
      <w:numPr>
        <w:numId w:val="2"/>
      </w:numPr>
    </w:pPr>
  </w:style>
  <w:style w:type="paragraph" w:customStyle="1" w:styleId="TextoProspecto">
    <w:name w:val="Texto Prospecto"/>
    <w:basedOn w:val="Normal"/>
    <w:autoRedefine/>
    <w:pPr>
      <w:tabs>
        <w:tab w:val="left" w:pos="-1430"/>
        <w:tab w:val="left" w:pos="780"/>
      </w:tabs>
      <w:spacing w:after="120"/>
      <w:jc w:val="both"/>
    </w:pPr>
    <w:rPr>
      <w:rFonts w:ascii="Frutiger Light" w:hAnsi="Frutiger Light"/>
      <w:sz w:val="20"/>
      <w:szCs w:val="20"/>
    </w:rPr>
  </w:style>
  <w:style w:type="paragraph" w:customStyle="1" w:styleId="N">
    <w:name w:val="N"/>
    <w:pPr>
      <w:spacing w:line="240" w:lineRule="exact"/>
      <w:jc w:val="both"/>
    </w:pPr>
    <w:rPr>
      <w:rFonts w:ascii="Arial" w:hAnsi="Arial"/>
      <w:sz w:val="22"/>
      <w:lang w:val="pt-PT"/>
    </w:rPr>
  </w:style>
  <w:style w:type="paragraph" w:customStyle="1" w:styleId="Celso1">
    <w:name w:val="Celso1"/>
    <w:basedOn w:val="Normal"/>
    <w:pPr>
      <w:widowControl w:val="0"/>
      <w:jc w:val="both"/>
    </w:pPr>
    <w:rPr>
      <w:rFonts w:ascii="Univers (W1)" w:hAnsi="Univers (W1)"/>
      <w:szCs w:val="20"/>
    </w:rPr>
  </w:style>
  <w:style w:type="character" w:customStyle="1" w:styleId="thptitle1">
    <w:name w:val="thptitle1"/>
    <w:rPr>
      <w:color w:val="000000"/>
    </w:rPr>
  </w:style>
  <w:style w:type="paragraph" w:customStyle="1" w:styleId="Corpo">
    <w:name w:val="Corpo"/>
    <w:rPr>
      <w:color w:val="000000"/>
      <w:sz w:val="28"/>
    </w:rPr>
  </w:style>
  <w:style w:type="paragraph" w:styleId="MapadoDocumento">
    <w:name w:val="Document Map"/>
    <w:basedOn w:val="Normal"/>
    <w:semiHidden/>
    <w:pPr>
      <w:shd w:val="clear" w:color="auto" w:fill="000080"/>
    </w:pPr>
    <w:rPr>
      <w:rFonts w:ascii="Tahoma" w:hAnsi="Tahoma" w:cs="Tahoma"/>
      <w:sz w:val="20"/>
      <w:szCs w:val="20"/>
    </w:rPr>
  </w:style>
  <w:style w:type="character" w:styleId="Forte">
    <w:name w:val="Strong"/>
    <w:qFormat/>
    <w:rPr>
      <w:b/>
      <w:bCs/>
    </w:rPr>
  </w:style>
  <w:style w:type="character" w:styleId="nfase">
    <w:name w:val="Emphasis"/>
    <w:qFormat/>
    <w:rPr>
      <w:i/>
      <w:iCs/>
    </w:rPr>
  </w:style>
  <w:style w:type="paragraph" w:customStyle="1" w:styleId="CharCharCharCharCharChar">
    <w:name w:val="Char Char Char Char Char Char"/>
    <w:basedOn w:val="Normal"/>
    <w:pPr>
      <w:spacing w:after="160" w:line="240" w:lineRule="exact"/>
    </w:pPr>
    <w:rPr>
      <w:rFonts w:ascii="Verdana" w:hAnsi="Verdana"/>
      <w:sz w:val="20"/>
      <w:szCs w:val="20"/>
      <w:lang w:val="en-US" w:eastAsia="en-US"/>
    </w:rPr>
  </w:style>
  <w:style w:type="paragraph" w:styleId="Lista">
    <w:name w:val="List"/>
    <w:basedOn w:val="Normal"/>
    <w:pPr>
      <w:ind w:left="283" w:hanging="283"/>
    </w:pPr>
  </w:style>
  <w:style w:type="paragraph" w:customStyle="1" w:styleId="Body1">
    <w:name w:val="Body 1"/>
    <w:basedOn w:val="Normal"/>
    <w:pPr>
      <w:spacing w:after="140" w:line="290" w:lineRule="auto"/>
      <w:ind w:left="567"/>
      <w:jc w:val="both"/>
    </w:pPr>
    <w:rPr>
      <w:rFonts w:ascii="Arial" w:hAnsi="Arial"/>
      <w:kern w:val="20"/>
      <w:sz w:val="20"/>
      <w:szCs w:val="20"/>
      <w:lang w:val="en-GB"/>
    </w:rPr>
  </w:style>
  <w:style w:type="paragraph" w:styleId="Textodenotaderodap">
    <w:name w:val="footnote text"/>
    <w:basedOn w:val="Normal"/>
    <w:link w:val="TextodenotaderodapChar"/>
    <w:rPr>
      <w:sz w:val="20"/>
      <w:szCs w:val="20"/>
    </w:rPr>
  </w:style>
  <w:style w:type="character" w:customStyle="1" w:styleId="TextodenotaderodapChar">
    <w:name w:val="Texto de nota de rodapé Char"/>
    <w:basedOn w:val="Fontepargpadro"/>
    <w:link w:val="Textodenotaderodap"/>
  </w:style>
  <w:style w:type="character" w:styleId="Refdenotaderodap">
    <w:name w:val="footnote reference"/>
    <w:rPr>
      <w:vertAlign w:val="superscript"/>
    </w:rPr>
  </w:style>
  <w:style w:type="paragraph" w:customStyle="1" w:styleId="BNDES">
    <w:name w:val="BNDES"/>
    <w:basedOn w:val="Normal"/>
    <w:link w:val="BNDESChar"/>
    <w:pPr>
      <w:suppressAutoHyphens/>
      <w:jc w:val="both"/>
    </w:pPr>
    <w:rPr>
      <w:rFonts w:ascii="Arial" w:hAnsi="Arial"/>
      <w:szCs w:val="20"/>
      <w:lang w:val="x-none" w:eastAsia="ar-SA"/>
    </w:rPr>
  </w:style>
  <w:style w:type="character" w:customStyle="1" w:styleId="BNDESChar">
    <w:name w:val="BNDES Char"/>
    <w:link w:val="BNDES"/>
    <w:rPr>
      <w:rFonts w:ascii="Arial" w:hAnsi="Arial"/>
      <w:sz w:val="24"/>
      <w:lang w:eastAsia="ar-SA"/>
    </w:rPr>
  </w:style>
  <w:style w:type="character" w:customStyle="1" w:styleId="Ttulo9Char">
    <w:name w:val="Título 9 Char"/>
    <w:link w:val="Ttulo9"/>
    <w:semiHidden/>
    <w:rPr>
      <w:rFonts w:ascii="Cambria" w:eastAsia="Times New Roman" w:hAnsi="Cambria" w:cs="Times New Roman"/>
      <w:sz w:val="22"/>
      <w:szCs w:val="22"/>
    </w:rPr>
  </w:style>
  <w:style w:type="paragraph" w:customStyle="1" w:styleId="Paraa">
    <w:name w:val="Para (a)"/>
    <w:basedOn w:val="Normal"/>
    <w:pPr>
      <w:widowControl w:val="0"/>
      <w:autoSpaceDE w:val="0"/>
      <w:autoSpaceDN w:val="0"/>
      <w:adjustRightInd w:val="0"/>
      <w:spacing w:before="240"/>
      <w:ind w:left="720" w:firstLine="720"/>
    </w:pPr>
    <w:rPr>
      <w:lang w:val="en-US" w:eastAsia="en-US"/>
    </w:rPr>
  </w:style>
  <w:style w:type="paragraph" w:customStyle="1" w:styleId="Para0">
    <w:name w:val="Para"/>
    <w:basedOn w:val="Normal"/>
    <w:pPr>
      <w:widowControl w:val="0"/>
      <w:autoSpaceDE w:val="0"/>
      <w:autoSpaceDN w:val="0"/>
      <w:adjustRightInd w:val="0"/>
      <w:spacing w:before="240"/>
      <w:ind w:firstLine="720"/>
    </w:pPr>
    <w:rPr>
      <w:lang w:val="en-US" w:eastAsia="en-US"/>
    </w:rPr>
  </w:style>
  <w:style w:type="character" w:customStyle="1" w:styleId="MBPCItalics">
    <w:name w:val="MBPC_Italics"/>
    <w:aliases w:val="c2"/>
    <w:rPr>
      <w:rFonts w:ascii="Times New Roman" w:hAnsi="Times New Roman" w:cs="Times New Roman"/>
      <w:i/>
      <w:iCs/>
      <w:spacing w:val="0"/>
      <w:sz w:val="24"/>
      <w:szCs w:val="24"/>
      <w:lang w:val="en-US"/>
    </w:rPr>
  </w:style>
  <w:style w:type="paragraph" w:styleId="PargrafodaLista">
    <w:name w:val="List Paragraph"/>
    <w:basedOn w:val="Normal"/>
    <w:link w:val="PargrafodaListaChar"/>
    <w:uiPriority w:val="34"/>
    <w:qFormat/>
    <w:pPr>
      <w:ind w:left="720"/>
    </w:pPr>
    <w:rPr>
      <w:rFonts w:ascii="Calibri" w:eastAsia="Calibri" w:hAnsi="Calibri"/>
      <w:sz w:val="22"/>
      <w:szCs w:val="22"/>
    </w:rPr>
  </w:style>
  <w:style w:type="character" w:customStyle="1" w:styleId="CabealhoChar">
    <w:name w:val="Cabeçalho Char"/>
    <w:link w:val="Cabealho"/>
    <w:rPr>
      <w:sz w:val="22"/>
      <w:szCs w:val="22"/>
      <w:shd w:val="clear" w:color="auto" w:fill="FFFFFF"/>
    </w:rPr>
  </w:style>
  <w:style w:type="paragraph" w:customStyle="1" w:styleId="singleparaflush">
    <w:name w:val="singleparaflush"/>
    <w:basedOn w:val="Normal"/>
    <w:pPr>
      <w:autoSpaceDE w:val="0"/>
      <w:autoSpaceDN w:val="0"/>
      <w:spacing w:before="240" w:after="240"/>
    </w:pPr>
    <w:rPr>
      <w:rFonts w:eastAsia="Calibri"/>
    </w:rPr>
  </w:style>
  <w:style w:type="character" w:customStyle="1" w:styleId="definedterm">
    <w:name w:val="definedterm"/>
    <w:rPr>
      <w:rFonts w:ascii="Times New Roman" w:hAnsi="Times New Roman" w:cs="Times New Roman" w:hint="default"/>
      <w:b/>
      <w:bCs/>
      <w:spacing w:val="0"/>
    </w:rPr>
  </w:style>
  <w:style w:type="character" w:customStyle="1" w:styleId="RodapChar">
    <w:name w:val="Rodapé Char"/>
    <w:link w:val="Rodap"/>
    <w:uiPriority w:val="99"/>
    <w:rPr>
      <w:sz w:val="24"/>
      <w:szCs w:val="24"/>
    </w:rPr>
  </w:style>
  <w:style w:type="paragraph" w:customStyle="1" w:styleId="AODocTxt">
    <w:name w:val="AODocTxt"/>
    <w:basedOn w:val="Normal"/>
    <w:pPr>
      <w:numPr>
        <w:numId w:val="3"/>
      </w:numPr>
      <w:spacing w:before="240" w:line="260" w:lineRule="atLeast"/>
      <w:jc w:val="both"/>
    </w:pPr>
    <w:rPr>
      <w:rFonts w:eastAsia="Calibri"/>
      <w:sz w:val="22"/>
      <w:szCs w:val="22"/>
    </w:rPr>
  </w:style>
  <w:style w:type="paragraph" w:customStyle="1" w:styleId="AODocTxtL1">
    <w:name w:val="AODocTxtL1"/>
    <w:basedOn w:val="Normal"/>
    <w:pPr>
      <w:numPr>
        <w:ilvl w:val="1"/>
        <w:numId w:val="3"/>
      </w:numPr>
      <w:spacing w:before="240" w:line="260" w:lineRule="atLeast"/>
      <w:jc w:val="both"/>
    </w:pPr>
    <w:rPr>
      <w:rFonts w:eastAsia="Calibri"/>
      <w:sz w:val="22"/>
      <w:szCs w:val="22"/>
    </w:rPr>
  </w:style>
  <w:style w:type="paragraph" w:customStyle="1" w:styleId="AODocTxtL2">
    <w:name w:val="AODocTxtL2"/>
    <w:basedOn w:val="Normal"/>
    <w:pPr>
      <w:numPr>
        <w:ilvl w:val="2"/>
        <w:numId w:val="3"/>
      </w:numPr>
      <w:spacing w:before="240" w:line="260" w:lineRule="atLeast"/>
      <w:jc w:val="both"/>
    </w:pPr>
    <w:rPr>
      <w:rFonts w:eastAsia="Calibri"/>
      <w:sz w:val="22"/>
      <w:szCs w:val="22"/>
    </w:rPr>
  </w:style>
  <w:style w:type="paragraph" w:customStyle="1" w:styleId="AODocTxtL3">
    <w:name w:val="AODocTxtL3"/>
    <w:basedOn w:val="Normal"/>
    <w:pPr>
      <w:numPr>
        <w:ilvl w:val="3"/>
        <w:numId w:val="3"/>
      </w:numPr>
      <w:spacing w:before="240" w:line="260" w:lineRule="atLeast"/>
      <w:jc w:val="both"/>
    </w:pPr>
    <w:rPr>
      <w:rFonts w:eastAsia="Calibri"/>
      <w:sz w:val="22"/>
      <w:szCs w:val="22"/>
    </w:rPr>
  </w:style>
  <w:style w:type="paragraph" w:customStyle="1" w:styleId="AODocTxtL4">
    <w:name w:val="AODocTxtL4"/>
    <w:basedOn w:val="Normal"/>
    <w:pPr>
      <w:numPr>
        <w:ilvl w:val="4"/>
        <w:numId w:val="3"/>
      </w:numPr>
      <w:spacing w:before="240" w:line="260" w:lineRule="atLeast"/>
      <w:jc w:val="both"/>
    </w:pPr>
    <w:rPr>
      <w:rFonts w:eastAsia="Calibri"/>
      <w:sz w:val="22"/>
      <w:szCs w:val="22"/>
    </w:rPr>
  </w:style>
  <w:style w:type="paragraph" w:customStyle="1" w:styleId="AODocTxtL5">
    <w:name w:val="AODocTxtL5"/>
    <w:basedOn w:val="Normal"/>
    <w:pPr>
      <w:numPr>
        <w:ilvl w:val="5"/>
        <w:numId w:val="3"/>
      </w:numPr>
      <w:spacing w:before="240" w:line="260" w:lineRule="atLeast"/>
      <w:jc w:val="both"/>
    </w:pPr>
    <w:rPr>
      <w:rFonts w:eastAsia="Calibri"/>
      <w:sz w:val="22"/>
      <w:szCs w:val="22"/>
    </w:rPr>
  </w:style>
  <w:style w:type="paragraph" w:customStyle="1" w:styleId="AODocTxtL6">
    <w:name w:val="AODocTxtL6"/>
    <w:basedOn w:val="Normal"/>
    <w:pPr>
      <w:numPr>
        <w:ilvl w:val="6"/>
        <w:numId w:val="3"/>
      </w:numPr>
      <w:spacing w:before="240" w:line="260" w:lineRule="atLeast"/>
      <w:jc w:val="both"/>
    </w:pPr>
    <w:rPr>
      <w:rFonts w:eastAsia="Calibri"/>
      <w:sz w:val="22"/>
      <w:szCs w:val="22"/>
    </w:rPr>
  </w:style>
  <w:style w:type="paragraph" w:customStyle="1" w:styleId="AODocTxtL7">
    <w:name w:val="AODocTxtL7"/>
    <w:basedOn w:val="Normal"/>
    <w:pPr>
      <w:numPr>
        <w:ilvl w:val="7"/>
        <w:numId w:val="3"/>
      </w:numPr>
      <w:spacing w:before="240" w:line="260" w:lineRule="atLeast"/>
      <w:jc w:val="both"/>
    </w:pPr>
    <w:rPr>
      <w:rFonts w:eastAsia="Calibri"/>
      <w:sz w:val="22"/>
      <w:szCs w:val="22"/>
    </w:rPr>
  </w:style>
  <w:style w:type="paragraph" w:customStyle="1" w:styleId="AODocTxtL8">
    <w:name w:val="AODocTxtL8"/>
    <w:basedOn w:val="Normal"/>
    <w:pPr>
      <w:numPr>
        <w:ilvl w:val="8"/>
        <w:numId w:val="3"/>
      </w:numPr>
      <w:spacing w:before="240" w:line="260" w:lineRule="atLeast"/>
      <w:jc w:val="both"/>
    </w:pPr>
    <w:rPr>
      <w:rFonts w:eastAsia="Calibri"/>
      <w:sz w:val="22"/>
      <w:szCs w:val="22"/>
    </w:rPr>
  </w:style>
  <w:style w:type="paragraph" w:styleId="Reviso">
    <w:name w:val="Revision"/>
    <w:hidden/>
    <w:uiPriority w:val="99"/>
    <w:semiHidden/>
    <w:rPr>
      <w:sz w:val="24"/>
      <w:szCs w:val="24"/>
    </w:rPr>
  </w:style>
  <w:style w:type="character" w:customStyle="1" w:styleId="label">
    <w:name w:val="label"/>
    <w:basedOn w:val="Fontepargpadro"/>
  </w:style>
  <w:style w:type="paragraph" w:styleId="Lista2">
    <w:name w:val="List 2"/>
    <w:basedOn w:val="Normal"/>
    <w:pPr>
      <w:ind w:left="566" w:hanging="283"/>
      <w:contextualSpacing/>
    </w:pPr>
  </w:style>
  <w:style w:type="paragraph" w:styleId="Lista3">
    <w:name w:val="List 3"/>
    <w:basedOn w:val="Normal"/>
    <w:pPr>
      <w:ind w:left="849" w:hanging="283"/>
      <w:contextualSpacing/>
    </w:pPr>
  </w:style>
  <w:style w:type="paragraph" w:styleId="Lista4">
    <w:name w:val="List 4"/>
    <w:basedOn w:val="Normal"/>
    <w:pPr>
      <w:ind w:left="1132" w:hanging="283"/>
      <w:contextualSpacing/>
    </w:pPr>
  </w:style>
  <w:style w:type="paragraph" w:styleId="Lista5">
    <w:name w:val="List 5"/>
    <w:basedOn w:val="Normal"/>
    <w:pPr>
      <w:ind w:left="1415" w:hanging="283"/>
      <w:contextualSpacing/>
    </w:pPr>
  </w:style>
  <w:style w:type="paragraph" w:customStyle="1" w:styleId="A1">
    <w:name w:val="A1"/>
    <w:pPr>
      <w:numPr>
        <w:numId w:val="5"/>
      </w:numPr>
      <w:spacing w:before="120" w:after="120"/>
      <w:jc w:val="center"/>
    </w:pPr>
    <w:rPr>
      <w:b/>
      <w:caps/>
      <w:sz w:val="22"/>
      <w:szCs w:val="22"/>
      <w:lang w:val="en-US" w:eastAsia="en-US"/>
    </w:rPr>
  </w:style>
  <w:style w:type="paragraph" w:customStyle="1" w:styleId="A2">
    <w:name w:val="A2"/>
    <w:basedOn w:val="Lista"/>
    <w:pPr>
      <w:numPr>
        <w:ilvl w:val="1"/>
        <w:numId w:val="5"/>
      </w:numPr>
      <w:spacing w:before="120" w:after="120"/>
      <w:contextualSpacing/>
      <w:jc w:val="both"/>
    </w:pPr>
    <w:rPr>
      <w:sz w:val="20"/>
      <w:szCs w:val="20"/>
      <w:lang w:val="en-US"/>
    </w:rPr>
  </w:style>
  <w:style w:type="paragraph" w:customStyle="1" w:styleId="A3">
    <w:name w:val="A3"/>
    <w:basedOn w:val="Normal"/>
    <w:pPr>
      <w:numPr>
        <w:ilvl w:val="2"/>
        <w:numId w:val="5"/>
      </w:numPr>
      <w:spacing w:before="120" w:after="120"/>
      <w:jc w:val="both"/>
    </w:pPr>
    <w:rPr>
      <w:sz w:val="20"/>
      <w:szCs w:val="20"/>
      <w:lang w:val="en-US"/>
    </w:rPr>
  </w:style>
  <w:style w:type="paragraph" w:customStyle="1" w:styleId="A4">
    <w:name w:val="A4"/>
    <w:basedOn w:val="A3"/>
    <w:pPr>
      <w:numPr>
        <w:ilvl w:val="3"/>
      </w:numPr>
    </w:pPr>
  </w:style>
  <w:style w:type="paragraph" w:customStyle="1" w:styleId="P3">
    <w:name w:val="P3"/>
    <w:basedOn w:val="A3"/>
    <w:link w:val="P3Char"/>
    <w:qFormat/>
    <w:pPr>
      <w:spacing w:before="240" w:after="240" w:line="320" w:lineRule="exact"/>
    </w:pPr>
    <w:rPr>
      <w:lang w:eastAsia="x-none"/>
    </w:rPr>
  </w:style>
  <w:style w:type="character" w:customStyle="1" w:styleId="P3Char">
    <w:name w:val="P3 Char"/>
    <w:link w:val="P3"/>
    <w:rPr>
      <w:lang w:val="en-US" w:eastAsia="x-none"/>
    </w:rPr>
  </w:style>
  <w:style w:type="paragraph" w:customStyle="1" w:styleId="P5">
    <w:name w:val="P5"/>
    <w:basedOn w:val="Normal"/>
    <w:qFormat/>
    <w:pPr>
      <w:numPr>
        <w:ilvl w:val="4"/>
        <w:numId w:val="5"/>
      </w:numPr>
      <w:spacing w:after="240" w:line="320" w:lineRule="exact"/>
      <w:jc w:val="both"/>
    </w:pPr>
    <w:rPr>
      <w:rFonts w:eastAsia="Arial Unicode MS"/>
      <w:w w:val="0"/>
      <w:sz w:val="20"/>
      <w:szCs w:val="20"/>
    </w:rPr>
  </w:style>
  <w:style w:type="paragraph" w:customStyle="1" w:styleId="Text">
    <w:name w:val="Text"/>
    <w:basedOn w:val="Normal"/>
    <w:pPr>
      <w:autoSpaceDE w:val="0"/>
      <w:autoSpaceDN w:val="0"/>
      <w:adjustRightInd w:val="0"/>
      <w:spacing w:after="240"/>
      <w:ind w:firstLine="1440"/>
    </w:pPr>
    <w:rPr>
      <w:lang w:val="en-US"/>
    </w:rPr>
  </w:style>
  <w:style w:type="character" w:customStyle="1" w:styleId="deltaviewinsertion0">
    <w:name w:val="deltaviewinsertion"/>
    <w:rPr>
      <w:color w:val="0000FF"/>
      <w:spacing w:val="0"/>
      <w:u w:val="single"/>
    </w:rPr>
  </w:style>
  <w:style w:type="character" w:customStyle="1" w:styleId="RecuodecorpodetextoChar">
    <w:name w:val="Recuo de corpo de texto Char"/>
    <w:link w:val="Recuodecorpodetexto"/>
    <w:rPr>
      <w:sz w:val="24"/>
      <w:szCs w:val="24"/>
    </w:rPr>
  </w:style>
  <w:style w:type="table" w:styleId="Tabelacomgrade">
    <w:name w:val="Table Grid"/>
    <w:basedOn w:val="Tabelanormal"/>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link w:val="PargrafodaLista"/>
    <w:uiPriority w:val="34"/>
    <w:locked/>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42039">
      <w:bodyDiv w:val="1"/>
      <w:marLeft w:val="0"/>
      <w:marRight w:val="0"/>
      <w:marTop w:val="0"/>
      <w:marBottom w:val="0"/>
      <w:divBdr>
        <w:top w:val="none" w:sz="0" w:space="0" w:color="auto"/>
        <w:left w:val="none" w:sz="0" w:space="0" w:color="auto"/>
        <w:bottom w:val="none" w:sz="0" w:space="0" w:color="auto"/>
        <w:right w:val="none" w:sz="0" w:space="0" w:color="auto"/>
      </w:divBdr>
    </w:div>
    <w:div w:id="54134936">
      <w:bodyDiv w:val="1"/>
      <w:marLeft w:val="0"/>
      <w:marRight w:val="0"/>
      <w:marTop w:val="0"/>
      <w:marBottom w:val="0"/>
      <w:divBdr>
        <w:top w:val="none" w:sz="0" w:space="0" w:color="auto"/>
        <w:left w:val="none" w:sz="0" w:space="0" w:color="auto"/>
        <w:bottom w:val="none" w:sz="0" w:space="0" w:color="auto"/>
        <w:right w:val="none" w:sz="0" w:space="0" w:color="auto"/>
      </w:divBdr>
    </w:div>
    <w:div w:id="73359559">
      <w:bodyDiv w:val="1"/>
      <w:marLeft w:val="0"/>
      <w:marRight w:val="0"/>
      <w:marTop w:val="0"/>
      <w:marBottom w:val="0"/>
      <w:divBdr>
        <w:top w:val="none" w:sz="0" w:space="0" w:color="auto"/>
        <w:left w:val="none" w:sz="0" w:space="0" w:color="auto"/>
        <w:bottom w:val="none" w:sz="0" w:space="0" w:color="auto"/>
        <w:right w:val="none" w:sz="0" w:space="0" w:color="auto"/>
      </w:divBdr>
    </w:div>
    <w:div w:id="184441931">
      <w:bodyDiv w:val="1"/>
      <w:marLeft w:val="0"/>
      <w:marRight w:val="0"/>
      <w:marTop w:val="0"/>
      <w:marBottom w:val="0"/>
      <w:divBdr>
        <w:top w:val="none" w:sz="0" w:space="0" w:color="auto"/>
        <w:left w:val="none" w:sz="0" w:space="0" w:color="auto"/>
        <w:bottom w:val="none" w:sz="0" w:space="0" w:color="auto"/>
        <w:right w:val="none" w:sz="0" w:space="0" w:color="auto"/>
      </w:divBdr>
    </w:div>
    <w:div w:id="238487302">
      <w:bodyDiv w:val="1"/>
      <w:marLeft w:val="0"/>
      <w:marRight w:val="0"/>
      <w:marTop w:val="0"/>
      <w:marBottom w:val="0"/>
      <w:divBdr>
        <w:top w:val="none" w:sz="0" w:space="0" w:color="auto"/>
        <w:left w:val="none" w:sz="0" w:space="0" w:color="auto"/>
        <w:bottom w:val="none" w:sz="0" w:space="0" w:color="auto"/>
        <w:right w:val="none" w:sz="0" w:space="0" w:color="auto"/>
      </w:divBdr>
    </w:div>
    <w:div w:id="247615455">
      <w:bodyDiv w:val="1"/>
      <w:marLeft w:val="0"/>
      <w:marRight w:val="0"/>
      <w:marTop w:val="0"/>
      <w:marBottom w:val="0"/>
      <w:divBdr>
        <w:top w:val="none" w:sz="0" w:space="0" w:color="auto"/>
        <w:left w:val="none" w:sz="0" w:space="0" w:color="auto"/>
        <w:bottom w:val="none" w:sz="0" w:space="0" w:color="auto"/>
        <w:right w:val="none" w:sz="0" w:space="0" w:color="auto"/>
      </w:divBdr>
    </w:div>
    <w:div w:id="289632052">
      <w:bodyDiv w:val="1"/>
      <w:marLeft w:val="0"/>
      <w:marRight w:val="0"/>
      <w:marTop w:val="0"/>
      <w:marBottom w:val="0"/>
      <w:divBdr>
        <w:top w:val="none" w:sz="0" w:space="0" w:color="auto"/>
        <w:left w:val="none" w:sz="0" w:space="0" w:color="auto"/>
        <w:bottom w:val="none" w:sz="0" w:space="0" w:color="auto"/>
        <w:right w:val="none" w:sz="0" w:space="0" w:color="auto"/>
      </w:divBdr>
    </w:div>
    <w:div w:id="436797602">
      <w:bodyDiv w:val="1"/>
      <w:marLeft w:val="0"/>
      <w:marRight w:val="0"/>
      <w:marTop w:val="0"/>
      <w:marBottom w:val="0"/>
      <w:divBdr>
        <w:top w:val="none" w:sz="0" w:space="0" w:color="auto"/>
        <w:left w:val="none" w:sz="0" w:space="0" w:color="auto"/>
        <w:bottom w:val="none" w:sz="0" w:space="0" w:color="auto"/>
        <w:right w:val="none" w:sz="0" w:space="0" w:color="auto"/>
      </w:divBdr>
    </w:div>
    <w:div w:id="442118057">
      <w:bodyDiv w:val="1"/>
      <w:marLeft w:val="0"/>
      <w:marRight w:val="0"/>
      <w:marTop w:val="0"/>
      <w:marBottom w:val="0"/>
      <w:divBdr>
        <w:top w:val="none" w:sz="0" w:space="0" w:color="auto"/>
        <w:left w:val="none" w:sz="0" w:space="0" w:color="auto"/>
        <w:bottom w:val="none" w:sz="0" w:space="0" w:color="auto"/>
        <w:right w:val="none" w:sz="0" w:space="0" w:color="auto"/>
      </w:divBdr>
    </w:div>
    <w:div w:id="456802345">
      <w:bodyDiv w:val="1"/>
      <w:marLeft w:val="0"/>
      <w:marRight w:val="0"/>
      <w:marTop w:val="0"/>
      <w:marBottom w:val="0"/>
      <w:divBdr>
        <w:top w:val="none" w:sz="0" w:space="0" w:color="auto"/>
        <w:left w:val="none" w:sz="0" w:space="0" w:color="auto"/>
        <w:bottom w:val="none" w:sz="0" w:space="0" w:color="auto"/>
        <w:right w:val="none" w:sz="0" w:space="0" w:color="auto"/>
      </w:divBdr>
    </w:div>
    <w:div w:id="482815024">
      <w:bodyDiv w:val="1"/>
      <w:marLeft w:val="0"/>
      <w:marRight w:val="0"/>
      <w:marTop w:val="0"/>
      <w:marBottom w:val="0"/>
      <w:divBdr>
        <w:top w:val="none" w:sz="0" w:space="0" w:color="auto"/>
        <w:left w:val="none" w:sz="0" w:space="0" w:color="auto"/>
        <w:bottom w:val="none" w:sz="0" w:space="0" w:color="auto"/>
        <w:right w:val="none" w:sz="0" w:space="0" w:color="auto"/>
      </w:divBdr>
    </w:div>
    <w:div w:id="486364055">
      <w:bodyDiv w:val="1"/>
      <w:marLeft w:val="0"/>
      <w:marRight w:val="0"/>
      <w:marTop w:val="0"/>
      <w:marBottom w:val="0"/>
      <w:divBdr>
        <w:top w:val="none" w:sz="0" w:space="0" w:color="auto"/>
        <w:left w:val="none" w:sz="0" w:space="0" w:color="auto"/>
        <w:bottom w:val="none" w:sz="0" w:space="0" w:color="auto"/>
        <w:right w:val="none" w:sz="0" w:space="0" w:color="auto"/>
      </w:divBdr>
    </w:div>
    <w:div w:id="494807335">
      <w:bodyDiv w:val="1"/>
      <w:marLeft w:val="0"/>
      <w:marRight w:val="0"/>
      <w:marTop w:val="0"/>
      <w:marBottom w:val="0"/>
      <w:divBdr>
        <w:top w:val="none" w:sz="0" w:space="0" w:color="auto"/>
        <w:left w:val="none" w:sz="0" w:space="0" w:color="auto"/>
        <w:bottom w:val="none" w:sz="0" w:space="0" w:color="auto"/>
        <w:right w:val="none" w:sz="0" w:space="0" w:color="auto"/>
      </w:divBdr>
    </w:div>
    <w:div w:id="502858331">
      <w:bodyDiv w:val="1"/>
      <w:marLeft w:val="0"/>
      <w:marRight w:val="0"/>
      <w:marTop w:val="0"/>
      <w:marBottom w:val="0"/>
      <w:divBdr>
        <w:top w:val="none" w:sz="0" w:space="0" w:color="auto"/>
        <w:left w:val="none" w:sz="0" w:space="0" w:color="auto"/>
        <w:bottom w:val="none" w:sz="0" w:space="0" w:color="auto"/>
        <w:right w:val="none" w:sz="0" w:space="0" w:color="auto"/>
      </w:divBdr>
    </w:div>
    <w:div w:id="583221207">
      <w:bodyDiv w:val="1"/>
      <w:marLeft w:val="0"/>
      <w:marRight w:val="0"/>
      <w:marTop w:val="0"/>
      <w:marBottom w:val="0"/>
      <w:divBdr>
        <w:top w:val="none" w:sz="0" w:space="0" w:color="auto"/>
        <w:left w:val="none" w:sz="0" w:space="0" w:color="auto"/>
        <w:bottom w:val="none" w:sz="0" w:space="0" w:color="auto"/>
        <w:right w:val="none" w:sz="0" w:space="0" w:color="auto"/>
      </w:divBdr>
    </w:div>
    <w:div w:id="712078615">
      <w:bodyDiv w:val="1"/>
      <w:marLeft w:val="0"/>
      <w:marRight w:val="0"/>
      <w:marTop w:val="0"/>
      <w:marBottom w:val="0"/>
      <w:divBdr>
        <w:top w:val="none" w:sz="0" w:space="0" w:color="auto"/>
        <w:left w:val="none" w:sz="0" w:space="0" w:color="auto"/>
        <w:bottom w:val="none" w:sz="0" w:space="0" w:color="auto"/>
        <w:right w:val="none" w:sz="0" w:space="0" w:color="auto"/>
      </w:divBdr>
    </w:div>
    <w:div w:id="768425720">
      <w:bodyDiv w:val="1"/>
      <w:marLeft w:val="0"/>
      <w:marRight w:val="0"/>
      <w:marTop w:val="0"/>
      <w:marBottom w:val="0"/>
      <w:divBdr>
        <w:top w:val="none" w:sz="0" w:space="0" w:color="auto"/>
        <w:left w:val="none" w:sz="0" w:space="0" w:color="auto"/>
        <w:bottom w:val="none" w:sz="0" w:space="0" w:color="auto"/>
        <w:right w:val="none" w:sz="0" w:space="0" w:color="auto"/>
      </w:divBdr>
    </w:div>
    <w:div w:id="768428262">
      <w:bodyDiv w:val="1"/>
      <w:marLeft w:val="0"/>
      <w:marRight w:val="0"/>
      <w:marTop w:val="0"/>
      <w:marBottom w:val="0"/>
      <w:divBdr>
        <w:top w:val="none" w:sz="0" w:space="0" w:color="auto"/>
        <w:left w:val="none" w:sz="0" w:space="0" w:color="auto"/>
        <w:bottom w:val="none" w:sz="0" w:space="0" w:color="auto"/>
        <w:right w:val="none" w:sz="0" w:space="0" w:color="auto"/>
      </w:divBdr>
    </w:div>
    <w:div w:id="790903276">
      <w:bodyDiv w:val="1"/>
      <w:marLeft w:val="0"/>
      <w:marRight w:val="0"/>
      <w:marTop w:val="0"/>
      <w:marBottom w:val="0"/>
      <w:divBdr>
        <w:top w:val="none" w:sz="0" w:space="0" w:color="auto"/>
        <w:left w:val="none" w:sz="0" w:space="0" w:color="auto"/>
        <w:bottom w:val="none" w:sz="0" w:space="0" w:color="auto"/>
        <w:right w:val="none" w:sz="0" w:space="0" w:color="auto"/>
      </w:divBdr>
    </w:div>
    <w:div w:id="842548433">
      <w:bodyDiv w:val="1"/>
      <w:marLeft w:val="0"/>
      <w:marRight w:val="0"/>
      <w:marTop w:val="0"/>
      <w:marBottom w:val="0"/>
      <w:divBdr>
        <w:top w:val="none" w:sz="0" w:space="0" w:color="auto"/>
        <w:left w:val="none" w:sz="0" w:space="0" w:color="auto"/>
        <w:bottom w:val="none" w:sz="0" w:space="0" w:color="auto"/>
        <w:right w:val="none" w:sz="0" w:space="0" w:color="auto"/>
      </w:divBdr>
    </w:div>
    <w:div w:id="882055274">
      <w:bodyDiv w:val="1"/>
      <w:marLeft w:val="0"/>
      <w:marRight w:val="0"/>
      <w:marTop w:val="0"/>
      <w:marBottom w:val="0"/>
      <w:divBdr>
        <w:top w:val="none" w:sz="0" w:space="0" w:color="auto"/>
        <w:left w:val="none" w:sz="0" w:space="0" w:color="auto"/>
        <w:bottom w:val="none" w:sz="0" w:space="0" w:color="auto"/>
        <w:right w:val="none" w:sz="0" w:space="0" w:color="auto"/>
      </w:divBdr>
    </w:div>
    <w:div w:id="915821425">
      <w:bodyDiv w:val="1"/>
      <w:marLeft w:val="0"/>
      <w:marRight w:val="0"/>
      <w:marTop w:val="0"/>
      <w:marBottom w:val="0"/>
      <w:divBdr>
        <w:top w:val="none" w:sz="0" w:space="0" w:color="auto"/>
        <w:left w:val="none" w:sz="0" w:space="0" w:color="auto"/>
        <w:bottom w:val="none" w:sz="0" w:space="0" w:color="auto"/>
        <w:right w:val="none" w:sz="0" w:space="0" w:color="auto"/>
      </w:divBdr>
    </w:div>
    <w:div w:id="992102126">
      <w:bodyDiv w:val="1"/>
      <w:marLeft w:val="0"/>
      <w:marRight w:val="0"/>
      <w:marTop w:val="0"/>
      <w:marBottom w:val="0"/>
      <w:divBdr>
        <w:top w:val="none" w:sz="0" w:space="0" w:color="auto"/>
        <w:left w:val="none" w:sz="0" w:space="0" w:color="auto"/>
        <w:bottom w:val="none" w:sz="0" w:space="0" w:color="auto"/>
        <w:right w:val="none" w:sz="0" w:space="0" w:color="auto"/>
      </w:divBdr>
    </w:div>
    <w:div w:id="1024791288">
      <w:bodyDiv w:val="1"/>
      <w:marLeft w:val="0"/>
      <w:marRight w:val="0"/>
      <w:marTop w:val="0"/>
      <w:marBottom w:val="0"/>
      <w:divBdr>
        <w:top w:val="none" w:sz="0" w:space="0" w:color="auto"/>
        <w:left w:val="none" w:sz="0" w:space="0" w:color="auto"/>
        <w:bottom w:val="none" w:sz="0" w:space="0" w:color="auto"/>
        <w:right w:val="none" w:sz="0" w:space="0" w:color="auto"/>
      </w:divBdr>
    </w:div>
    <w:div w:id="1029793891">
      <w:bodyDiv w:val="1"/>
      <w:marLeft w:val="0"/>
      <w:marRight w:val="0"/>
      <w:marTop w:val="0"/>
      <w:marBottom w:val="0"/>
      <w:divBdr>
        <w:top w:val="none" w:sz="0" w:space="0" w:color="auto"/>
        <w:left w:val="none" w:sz="0" w:space="0" w:color="auto"/>
        <w:bottom w:val="none" w:sz="0" w:space="0" w:color="auto"/>
        <w:right w:val="none" w:sz="0" w:space="0" w:color="auto"/>
      </w:divBdr>
    </w:div>
    <w:div w:id="1065445182">
      <w:bodyDiv w:val="1"/>
      <w:marLeft w:val="0"/>
      <w:marRight w:val="0"/>
      <w:marTop w:val="0"/>
      <w:marBottom w:val="0"/>
      <w:divBdr>
        <w:top w:val="none" w:sz="0" w:space="0" w:color="auto"/>
        <w:left w:val="none" w:sz="0" w:space="0" w:color="auto"/>
        <w:bottom w:val="none" w:sz="0" w:space="0" w:color="auto"/>
        <w:right w:val="none" w:sz="0" w:space="0" w:color="auto"/>
      </w:divBdr>
    </w:div>
    <w:div w:id="1077283804">
      <w:bodyDiv w:val="1"/>
      <w:marLeft w:val="0"/>
      <w:marRight w:val="0"/>
      <w:marTop w:val="0"/>
      <w:marBottom w:val="0"/>
      <w:divBdr>
        <w:top w:val="none" w:sz="0" w:space="0" w:color="auto"/>
        <w:left w:val="none" w:sz="0" w:space="0" w:color="auto"/>
        <w:bottom w:val="none" w:sz="0" w:space="0" w:color="auto"/>
        <w:right w:val="none" w:sz="0" w:space="0" w:color="auto"/>
      </w:divBdr>
    </w:div>
    <w:div w:id="1129469679">
      <w:bodyDiv w:val="1"/>
      <w:marLeft w:val="0"/>
      <w:marRight w:val="0"/>
      <w:marTop w:val="0"/>
      <w:marBottom w:val="0"/>
      <w:divBdr>
        <w:top w:val="none" w:sz="0" w:space="0" w:color="auto"/>
        <w:left w:val="none" w:sz="0" w:space="0" w:color="auto"/>
        <w:bottom w:val="none" w:sz="0" w:space="0" w:color="auto"/>
        <w:right w:val="none" w:sz="0" w:space="0" w:color="auto"/>
      </w:divBdr>
    </w:div>
    <w:div w:id="1157183411">
      <w:bodyDiv w:val="1"/>
      <w:marLeft w:val="0"/>
      <w:marRight w:val="0"/>
      <w:marTop w:val="0"/>
      <w:marBottom w:val="0"/>
      <w:divBdr>
        <w:top w:val="none" w:sz="0" w:space="0" w:color="auto"/>
        <w:left w:val="none" w:sz="0" w:space="0" w:color="auto"/>
        <w:bottom w:val="none" w:sz="0" w:space="0" w:color="auto"/>
        <w:right w:val="none" w:sz="0" w:space="0" w:color="auto"/>
      </w:divBdr>
    </w:div>
    <w:div w:id="1157500305">
      <w:bodyDiv w:val="1"/>
      <w:marLeft w:val="0"/>
      <w:marRight w:val="0"/>
      <w:marTop w:val="0"/>
      <w:marBottom w:val="0"/>
      <w:divBdr>
        <w:top w:val="none" w:sz="0" w:space="0" w:color="auto"/>
        <w:left w:val="none" w:sz="0" w:space="0" w:color="auto"/>
        <w:bottom w:val="none" w:sz="0" w:space="0" w:color="auto"/>
        <w:right w:val="none" w:sz="0" w:space="0" w:color="auto"/>
      </w:divBdr>
    </w:div>
    <w:div w:id="1191989285">
      <w:bodyDiv w:val="1"/>
      <w:marLeft w:val="0"/>
      <w:marRight w:val="0"/>
      <w:marTop w:val="0"/>
      <w:marBottom w:val="0"/>
      <w:divBdr>
        <w:top w:val="none" w:sz="0" w:space="0" w:color="auto"/>
        <w:left w:val="none" w:sz="0" w:space="0" w:color="auto"/>
        <w:bottom w:val="none" w:sz="0" w:space="0" w:color="auto"/>
        <w:right w:val="none" w:sz="0" w:space="0" w:color="auto"/>
      </w:divBdr>
    </w:div>
    <w:div w:id="1230581409">
      <w:bodyDiv w:val="1"/>
      <w:marLeft w:val="0"/>
      <w:marRight w:val="0"/>
      <w:marTop w:val="0"/>
      <w:marBottom w:val="0"/>
      <w:divBdr>
        <w:top w:val="none" w:sz="0" w:space="0" w:color="auto"/>
        <w:left w:val="none" w:sz="0" w:space="0" w:color="auto"/>
        <w:bottom w:val="none" w:sz="0" w:space="0" w:color="auto"/>
        <w:right w:val="none" w:sz="0" w:space="0" w:color="auto"/>
      </w:divBdr>
    </w:div>
    <w:div w:id="1355423717">
      <w:bodyDiv w:val="1"/>
      <w:marLeft w:val="0"/>
      <w:marRight w:val="0"/>
      <w:marTop w:val="0"/>
      <w:marBottom w:val="0"/>
      <w:divBdr>
        <w:top w:val="none" w:sz="0" w:space="0" w:color="auto"/>
        <w:left w:val="none" w:sz="0" w:space="0" w:color="auto"/>
        <w:bottom w:val="none" w:sz="0" w:space="0" w:color="auto"/>
        <w:right w:val="none" w:sz="0" w:space="0" w:color="auto"/>
      </w:divBdr>
    </w:div>
    <w:div w:id="1466893634">
      <w:bodyDiv w:val="1"/>
      <w:marLeft w:val="0"/>
      <w:marRight w:val="0"/>
      <w:marTop w:val="0"/>
      <w:marBottom w:val="0"/>
      <w:divBdr>
        <w:top w:val="none" w:sz="0" w:space="0" w:color="auto"/>
        <w:left w:val="none" w:sz="0" w:space="0" w:color="auto"/>
        <w:bottom w:val="none" w:sz="0" w:space="0" w:color="auto"/>
        <w:right w:val="none" w:sz="0" w:space="0" w:color="auto"/>
      </w:divBdr>
    </w:div>
    <w:div w:id="1536306240">
      <w:bodyDiv w:val="1"/>
      <w:marLeft w:val="0"/>
      <w:marRight w:val="0"/>
      <w:marTop w:val="0"/>
      <w:marBottom w:val="0"/>
      <w:divBdr>
        <w:top w:val="none" w:sz="0" w:space="0" w:color="auto"/>
        <w:left w:val="none" w:sz="0" w:space="0" w:color="auto"/>
        <w:bottom w:val="none" w:sz="0" w:space="0" w:color="auto"/>
        <w:right w:val="none" w:sz="0" w:space="0" w:color="auto"/>
      </w:divBdr>
    </w:div>
    <w:div w:id="1576813557">
      <w:bodyDiv w:val="1"/>
      <w:marLeft w:val="0"/>
      <w:marRight w:val="0"/>
      <w:marTop w:val="0"/>
      <w:marBottom w:val="0"/>
      <w:divBdr>
        <w:top w:val="none" w:sz="0" w:space="0" w:color="auto"/>
        <w:left w:val="none" w:sz="0" w:space="0" w:color="auto"/>
        <w:bottom w:val="none" w:sz="0" w:space="0" w:color="auto"/>
        <w:right w:val="none" w:sz="0" w:space="0" w:color="auto"/>
      </w:divBdr>
    </w:div>
    <w:div w:id="1641880573">
      <w:bodyDiv w:val="1"/>
      <w:marLeft w:val="0"/>
      <w:marRight w:val="0"/>
      <w:marTop w:val="0"/>
      <w:marBottom w:val="0"/>
      <w:divBdr>
        <w:top w:val="none" w:sz="0" w:space="0" w:color="auto"/>
        <w:left w:val="none" w:sz="0" w:space="0" w:color="auto"/>
        <w:bottom w:val="none" w:sz="0" w:space="0" w:color="auto"/>
        <w:right w:val="none" w:sz="0" w:space="0" w:color="auto"/>
      </w:divBdr>
    </w:div>
    <w:div w:id="1672948615">
      <w:bodyDiv w:val="1"/>
      <w:marLeft w:val="0"/>
      <w:marRight w:val="0"/>
      <w:marTop w:val="0"/>
      <w:marBottom w:val="0"/>
      <w:divBdr>
        <w:top w:val="none" w:sz="0" w:space="0" w:color="auto"/>
        <w:left w:val="none" w:sz="0" w:space="0" w:color="auto"/>
        <w:bottom w:val="none" w:sz="0" w:space="0" w:color="auto"/>
        <w:right w:val="none" w:sz="0" w:space="0" w:color="auto"/>
      </w:divBdr>
    </w:div>
    <w:div w:id="1801414993">
      <w:bodyDiv w:val="1"/>
      <w:marLeft w:val="0"/>
      <w:marRight w:val="0"/>
      <w:marTop w:val="0"/>
      <w:marBottom w:val="0"/>
      <w:divBdr>
        <w:top w:val="none" w:sz="0" w:space="0" w:color="auto"/>
        <w:left w:val="none" w:sz="0" w:space="0" w:color="auto"/>
        <w:bottom w:val="none" w:sz="0" w:space="0" w:color="auto"/>
        <w:right w:val="none" w:sz="0" w:space="0" w:color="auto"/>
      </w:divBdr>
    </w:div>
    <w:div w:id="1876312014">
      <w:bodyDiv w:val="1"/>
      <w:marLeft w:val="0"/>
      <w:marRight w:val="0"/>
      <w:marTop w:val="0"/>
      <w:marBottom w:val="0"/>
      <w:divBdr>
        <w:top w:val="none" w:sz="0" w:space="0" w:color="auto"/>
        <w:left w:val="none" w:sz="0" w:space="0" w:color="auto"/>
        <w:bottom w:val="none" w:sz="0" w:space="0" w:color="auto"/>
        <w:right w:val="none" w:sz="0" w:space="0" w:color="auto"/>
      </w:divBdr>
    </w:div>
    <w:div w:id="1996101377">
      <w:bodyDiv w:val="1"/>
      <w:marLeft w:val="0"/>
      <w:marRight w:val="0"/>
      <w:marTop w:val="0"/>
      <w:marBottom w:val="0"/>
      <w:divBdr>
        <w:top w:val="none" w:sz="0" w:space="0" w:color="auto"/>
        <w:left w:val="none" w:sz="0" w:space="0" w:color="auto"/>
        <w:bottom w:val="none" w:sz="0" w:space="0" w:color="auto"/>
        <w:right w:val="none" w:sz="0" w:space="0" w:color="auto"/>
      </w:divBdr>
    </w:div>
    <w:div w:id="2034532215">
      <w:bodyDiv w:val="1"/>
      <w:marLeft w:val="0"/>
      <w:marRight w:val="0"/>
      <w:marTop w:val="0"/>
      <w:marBottom w:val="0"/>
      <w:divBdr>
        <w:top w:val="none" w:sz="0" w:space="0" w:color="auto"/>
        <w:left w:val="none" w:sz="0" w:space="0" w:color="auto"/>
        <w:bottom w:val="none" w:sz="0" w:space="0" w:color="auto"/>
        <w:right w:val="none" w:sz="0" w:space="0" w:color="auto"/>
      </w:divBdr>
    </w:div>
    <w:div w:id="210922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5F852A-F05C-4836-B874-277588B5E96F}">
  <ds:schemaRefs>
    <ds:schemaRef ds:uri="http://schemas.openxmlformats.org/officeDocument/2006/bibliography"/>
  </ds:schemaRefs>
</ds:datastoreItem>
</file>

<file path=customXml/itemProps2.xml><?xml version="1.0" encoding="utf-8"?>
<ds:datastoreItem xmlns:ds="http://schemas.openxmlformats.org/officeDocument/2006/customXml" ds:itemID="{EBEB4C69-5A39-443C-8E86-2306D3BE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16533</Words>
  <Characters>93057</Characters>
  <Application>Microsoft Office Word</Application>
  <DocSecurity>0</DocSecurity>
  <Lines>775</Lines>
  <Paragraphs>218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vector>
  </TitlesOfParts>
  <LinksUpToDate>false</LinksUpToDate>
  <CharactersWithSpaces>109372</CharactersWithSpaces>
  <SharedDoc>false</SharedDoc>
  <HLinks>
    <vt:vector size="6" baseType="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2017-12-22T13:07:00Z</dcterms:created>
  <dcterms:modified xsi:type="dcterms:W3CDTF">2017-12-22T13:07:00Z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gFAACRwgU2+mnxky4tBJ2Oab7wVqh9TlLxy9eRMpWWlGZPJLFCET1RITMk8tF+Q8iRvpkA165dysspDK
wUvAW85LWwa/hjZKJKDbn+NXb2MUN/t9DgbXqbhdM6i4ZXhHHfRulgNNs6o3czjKwUvAW85LWwa/
hjZKJKDbn+NXb2MUN/t9DgbXqbhdM8UokTnll88eVWD+2HGWAFnKBP3PaHjuhLHaBLQJCUZk+7qY
Bzcjnh8PXw2nXkyjW</vt:lpwstr>
  </property>
  <property fmtid="{D5CDD505-2E9C-101B-9397-08002B2CF9AE}" pid="3" name="RESPONSE_SENDER_NAME">
    <vt:lpwstr>ABAAdnH19QYq2YVGCF3rcjjKc0A6XUsB3aYkNVmer3ItQcwi+J6JMYfYL0nGHpAGpGr9</vt:lpwstr>
  </property>
  <property fmtid="{D5CDD505-2E9C-101B-9397-08002B2CF9AE}" pid="4" name="EMAIL_OWNER_ADDRESS">
    <vt:lpwstr>ABAAMV6B7YzPbaIQN/wWth7kNxEgeb8ofqJ1/IWhFERElTg7EsdooDrYgCHKEDuZi7WL</vt:lpwstr>
  </property>
  <property fmtid="{D5CDD505-2E9C-101B-9397-08002B2CF9AE}" pid="5" name="MAIL_MSG_ID2">
    <vt:lpwstr>Y+JpioRckgsMsbccWH3aP0VrZzitxDXHx5b4/OvD2BDyIWcQtukuqFaKI4W
EvrPMy4eVJO7ikxy5Xy5sinKonRU1YeNL6zxQg==</vt:lpwstr>
  </property>
  <property fmtid="{D5CDD505-2E9C-101B-9397-08002B2CF9AE}" pid="6" name="iManageFooter">
    <vt:lpwstr>_x000d_TEXT_SP - 14031766v7 9693.11 </vt:lpwstr>
  </property>
</Properties>
</file>