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4B37" w:rsidRPr="00F74141" w:rsidRDefault="00204B37">
      <w:pPr>
        <w:pBdr>
          <w:bottom w:val="double" w:sz="6" w:space="1" w:color="auto"/>
        </w:pBdr>
        <w:tabs>
          <w:tab w:val="left" w:pos="5954"/>
        </w:tabs>
        <w:spacing w:before="240" w:after="240" w:line="320" w:lineRule="exact"/>
        <w:rPr>
          <w:rFonts w:ascii="Verdana" w:hAnsi="Verdana" w:cs="Arial"/>
          <w:sz w:val="20"/>
          <w:szCs w:val="20"/>
        </w:rPr>
      </w:pPr>
    </w:p>
    <w:p w:rsidR="00204B37" w:rsidRPr="00F74141" w:rsidRDefault="00706572">
      <w:pPr>
        <w:spacing w:before="240" w:after="240" w:line="320" w:lineRule="exact"/>
        <w:jc w:val="both"/>
        <w:rPr>
          <w:rFonts w:ascii="Verdana" w:hAnsi="Verdana"/>
          <w:b/>
          <w:sz w:val="20"/>
          <w:szCs w:val="20"/>
        </w:rPr>
      </w:pPr>
      <w:r w:rsidRPr="00F74141">
        <w:rPr>
          <w:rFonts w:ascii="Verdana" w:hAnsi="Verdana"/>
          <w:b/>
          <w:sz w:val="20"/>
          <w:szCs w:val="20"/>
        </w:rPr>
        <w:t>INSTRUMENTO PARTICULAR DE</w:t>
      </w:r>
      <w:r w:rsidRPr="00F74141">
        <w:rPr>
          <w:rFonts w:ascii="Verdana" w:hAnsi="Verdana" w:cs="Arial"/>
          <w:b/>
          <w:smallCaps/>
          <w:sz w:val="20"/>
          <w:szCs w:val="20"/>
        </w:rPr>
        <w:t xml:space="preserve"> </w:t>
      </w:r>
      <w:r w:rsidRPr="00F74141">
        <w:rPr>
          <w:rFonts w:ascii="Verdana" w:hAnsi="Verdana"/>
          <w:b/>
          <w:sz w:val="20"/>
          <w:szCs w:val="20"/>
        </w:rPr>
        <w:t xml:space="preserve">ESCRITURA DA 1ª (PRIMEIRA) EMISSÃO DE DEBÊNTURES SIMPLES, NÃO CONVERSÍVEIS EM AÇÕES, EM ATÉ 2 (DUAS) </w:t>
      </w:r>
      <w:r w:rsidRPr="00F74141">
        <w:rPr>
          <w:rFonts w:ascii="Verdana" w:hAnsi="Verdana" w:cs="Arial"/>
          <w:b/>
          <w:bCs/>
          <w:sz w:val="20"/>
          <w:szCs w:val="20"/>
        </w:rPr>
        <w:t>SÉRIES</w:t>
      </w:r>
      <w:r w:rsidRPr="00F74141">
        <w:rPr>
          <w:rFonts w:ascii="Verdana" w:hAnsi="Verdana"/>
          <w:b/>
          <w:sz w:val="20"/>
          <w:szCs w:val="20"/>
        </w:rPr>
        <w:t>, DA ESPÉCIE COM GARANTIA REAL, PARA DISTRIBUIÇÃO PÚBLICA COM ESFORÇOS RESTRITOS, DA VENTOS DO SUL ENERGIA S.A.</w:t>
      </w:r>
    </w:p>
    <w:p w:rsidR="00204B37" w:rsidRPr="00F74141" w:rsidRDefault="00204B37">
      <w:pPr>
        <w:pStyle w:val="Default"/>
        <w:widowControl/>
        <w:spacing w:before="240" w:after="240" w:line="320" w:lineRule="exact"/>
        <w:rPr>
          <w:rFonts w:ascii="Verdana" w:hAnsi="Verdana"/>
          <w:color w:val="auto"/>
          <w:sz w:val="20"/>
          <w:szCs w:val="20"/>
        </w:rPr>
      </w:pPr>
    </w:p>
    <w:p w:rsidR="00204B37" w:rsidRPr="00F74141" w:rsidRDefault="00706572">
      <w:pPr>
        <w:pStyle w:val="CM13"/>
        <w:widowControl/>
        <w:spacing w:before="240" w:after="240" w:line="320" w:lineRule="exact"/>
        <w:jc w:val="center"/>
        <w:rPr>
          <w:rFonts w:ascii="Verdana" w:hAnsi="Verdana"/>
          <w:sz w:val="20"/>
          <w:szCs w:val="20"/>
        </w:rPr>
      </w:pPr>
      <w:r w:rsidRPr="00F74141">
        <w:rPr>
          <w:rFonts w:ascii="Verdana" w:hAnsi="Verdana"/>
          <w:sz w:val="20"/>
          <w:szCs w:val="20"/>
        </w:rPr>
        <w:t>entre</w:t>
      </w:r>
    </w:p>
    <w:p w:rsidR="00204B37" w:rsidRPr="00F74141" w:rsidRDefault="00204B37">
      <w:pPr>
        <w:pStyle w:val="Default"/>
        <w:widowControl/>
        <w:spacing w:before="240" w:after="240" w:line="320" w:lineRule="exact"/>
        <w:rPr>
          <w:rFonts w:ascii="Verdana" w:hAnsi="Verdana"/>
          <w:sz w:val="20"/>
          <w:szCs w:val="20"/>
        </w:rPr>
      </w:pPr>
    </w:p>
    <w:p w:rsidR="00204B37" w:rsidRPr="00F74141" w:rsidRDefault="00706572">
      <w:pPr>
        <w:pStyle w:val="CM14"/>
        <w:widowControl/>
        <w:tabs>
          <w:tab w:val="left" w:pos="814"/>
          <w:tab w:val="center" w:pos="4710"/>
        </w:tabs>
        <w:spacing w:before="240" w:after="240" w:line="320" w:lineRule="exact"/>
        <w:jc w:val="center"/>
        <w:rPr>
          <w:rFonts w:ascii="Verdana" w:hAnsi="Verdana"/>
          <w:sz w:val="20"/>
          <w:szCs w:val="20"/>
        </w:rPr>
      </w:pPr>
      <w:r w:rsidRPr="00F74141">
        <w:rPr>
          <w:rFonts w:ascii="Verdana" w:hAnsi="Verdana"/>
          <w:b/>
          <w:sz w:val="20"/>
          <w:szCs w:val="20"/>
        </w:rPr>
        <w:t>VENTOS DO SUL ENERGIA S.A.</w:t>
      </w:r>
      <w:r w:rsidRPr="00F74141">
        <w:rPr>
          <w:rFonts w:ascii="Verdana" w:hAnsi="Verdana"/>
          <w:sz w:val="20"/>
          <w:szCs w:val="20"/>
        </w:rPr>
        <w:t>,</w:t>
      </w:r>
    </w:p>
    <w:p w:rsidR="00204B37" w:rsidRPr="00F74141" w:rsidRDefault="00706572">
      <w:pPr>
        <w:pStyle w:val="CM15"/>
        <w:widowControl/>
        <w:spacing w:before="240" w:after="240" w:line="320" w:lineRule="exact"/>
        <w:jc w:val="center"/>
        <w:rPr>
          <w:rFonts w:ascii="Verdana" w:hAnsi="Verdana"/>
          <w:i/>
          <w:sz w:val="20"/>
          <w:szCs w:val="20"/>
        </w:rPr>
      </w:pPr>
      <w:r w:rsidRPr="00F74141">
        <w:rPr>
          <w:rFonts w:ascii="Verdana" w:hAnsi="Verdana"/>
          <w:i/>
          <w:sz w:val="20"/>
          <w:szCs w:val="20"/>
        </w:rPr>
        <w:t>como Emissora,</w:t>
      </w:r>
    </w:p>
    <w:p w:rsidR="00204B37" w:rsidRPr="00F74141" w:rsidRDefault="00204B37">
      <w:pPr>
        <w:pStyle w:val="Default"/>
        <w:widowControl/>
        <w:spacing w:before="240" w:after="240" w:line="320" w:lineRule="exact"/>
        <w:rPr>
          <w:rFonts w:ascii="Verdana" w:hAnsi="Verdana"/>
          <w:sz w:val="20"/>
          <w:szCs w:val="20"/>
        </w:rPr>
      </w:pPr>
    </w:p>
    <w:p w:rsidR="00204B37" w:rsidRPr="00F74141" w:rsidRDefault="00706572">
      <w:pPr>
        <w:pStyle w:val="CM16"/>
        <w:widowControl/>
        <w:spacing w:before="240" w:after="240" w:line="320" w:lineRule="exact"/>
        <w:jc w:val="center"/>
        <w:rPr>
          <w:rFonts w:ascii="Verdana" w:hAnsi="Verdana"/>
          <w:b/>
          <w:sz w:val="20"/>
          <w:szCs w:val="20"/>
        </w:rPr>
      </w:pPr>
      <w:r w:rsidRPr="00F74141">
        <w:rPr>
          <w:rFonts w:ascii="Verdana" w:hAnsi="Verdana"/>
          <w:b/>
          <w:sz w:val="20"/>
          <w:szCs w:val="20"/>
        </w:rPr>
        <w:t>OLIVEIRA TRUST DISTRIBUIDORA DE TÍTULOS E VALORES MOBILIÁRIOS S.A.</w:t>
      </w:r>
    </w:p>
    <w:p w:rsidR="00204B37" w:rsidRPr="00F74141" w:rsidRDefault="00706572">
      <w:pPr>
        <w:pStyle w:val="CM16"/>
        <w:widowControl/>
        <w:spacing w:before="240" w:after="240" w:line="320" w:lineRule="exact"/>
        <w:jc w:val="center"/>
        <w:rPr>
          <w:rFonts w:ascii="Verdana" w:hAnsi="Verdana"/>
          <w:sz w:val="20"/>
          <w:szCs w:val="20"/>
        </w:rPr>
      </w:pPr>
      <w:r w:rsidRPr="00F74141">
        <w:rPr>
          <w:rFonts w:ascii="Verdana" w:hAnsi="Verdana"/>
          <w:i/>
          <w:sz w:val="20"/>
          <w:szCs w:val="20"/>
        </w:rPr>
        <w:t>representando a comunhão dos titulares das debêntures objeto da presente Emissão</w:t>
      </w:r>
    </w:p>
    <w:p w:rsidR="00204B37" w:rsidRPr="00F74141" w:rsidRDefault="00204B37">
      <w:pPr>
        <w:pStyle w:val="Default"/>
        <w:widowControl/>
        <w:spacing w:before="240" w:after="240" w:line="320" w:lineRule="exact"/>
        <w:rPr>
          <w:rFonts w:ascii="Verdana" w:hAnsi="Verdana"/>
          <w:color w:val="auto"/>
          <w:sz w:val="20"/>
          <w:szCs w:val="20"/>
        </w:rPr>
      </w:pPr>
    </w:p>
    <w:p w:rsidR="00204B37" w:rsidRPr="00F74141" w:rsidRDefault="00706572">
      <w:pPr>
        <w:pStyle w:val="CM17"/>
        <w:widowControl/>
        <w:spacing w:before="240" w:after="240" w:line="320" w:lineRule="exact"/>
        <w:jc w:val="center"/>
        <w:rPr>
          <w:rFonts w:ascii="Verdana" w:hAnsi="Verdana"/>
          <w:sz w:val="20"/>
          <w:szCs w:val="20"/>
        </w:rPr>
      </w:pPr>
      <w:r w:rsidRPr="00F74141">
        <w:rPr>
          <w:rFonts w:ascii="Verdana" w:hAnsi="Verdana"/>
          <w:sz w:val="20"/>
          <w:szCs w:val="20"/>
        </w:rPr>
        <w:t>_________________________</w:t>
      </w:r>
    </w:p>
    <w:p w:rsidR="00204B37" w:rsidRPr="00F74141" w:rsidRDefault="00CA3BDF">
      <w:pPr>
        <w:pStyle w:val="CM16"/>
        <w:widowControl/>
        <w:spacing w:before="240" w:after="240" w:line="320" w:lineRule="exact"/>
        <w:jc w:val="center"/>
        <w:rPr>
          <w:rFonts w:ascii="Verdana" w:hAnsi="Verdana"/>
          <w:sz w:val="20"/>
          <w:szCs w:val="20"/>
        </w:rPr>
      </w:pPr>
      <w:r>
        <w:rPr>
          <w:rFonts w:ascii="Verdana" w:hAnsi="Verdana"/>
          <w:sz w:val="20"/>
          <w:szCs w:val="20"/>
        </w:rPr>
        <w:t>13</w:t>
      </w:r>
      <w:r w:rsidRPr="00F74141">
        <w:rPr>
          <w:rFonts w:ascii="Verdana" w:hAnsi="Verdana"/>
          <w:sz w:val="20"/>
          <w:szCs w:val="20"/>
        </w:rPr>
        <w:t xml:space="preserve"> </w:t>
      </w:r>
      <w:r w:rsidR="00706572" w:rsidRPr="00F74141">
        <w:rPr>
          <w:rFonts w:ascii="Verdana" w:hAnsi="Verdana"/>
          <w:sz w:val="20"/>
          <w:szCs w:val="20"/>
        </w:rPr>
        <w:t>de setembro de 2019</w:t>
      </w:r>
    </w:p>
    <w:p w:rsidR="00204B37" w:rsidRPr="00F74141" w:rsidRDefault="00706572">
      <w:pPr>
        <w:pStyle w:val="CM16"/>
        <w:widowControl/>
        <w:spacing w:before="240" w:after="240" w:line="320" w:lineRule="exact"/>
        <w:jc w:val="center"/>
        <w:rPr>
          <w:rFonts w:ascii="Verdana" w:hAnsi="Verdana"/>
          <w:sz w:val="20"/>
          <w:szCs w:val="20"/>
        </w:rPr>
      </w:pPr>
      <w:r w:rsidRPr="00F74141">
        <w:rPr>
          <w:rFonts w:ascii="Verdana" w:hAnsi="Verdana"/>
          <w:sz w:val="20"/>
          <w:szCs w:val="20"/>
        </w:rPr>
        <w:t>_________________________</w:t>
      </w:r>
    </w:p>
    <w:p w:rsidR="00204B37" w:rsidRPr="00F74141" w:rsidRDefault="00204B37">
      <w:pPr>
        <w:pBdr>
          <w:bottom w:val="double" w:sz="6" w:space="1" w:color="auto"/>
        </w:pBdr>
        <w:spacing w:before="240" w:after="240" w:line="320" w:lineRule="exact"/>
        <w:rPr>
          <w:rFonts w:ascii="Verdana" w:hAnsi="Verdana" w:cs="Arial"/>
          <w:sz w:val="20"/>
          <w:szCs w:val="20"/>
        </w:rPr>
      </w:pPr>
    </w:p>
    <w:p w:rsidR="00204B37" w:rsidRPr="00F74141" w:rsidRDefault="00204B37">
      <w:pPr>
        <w:pBdr>
          <w:bottom w:val="double" w:sz="6" w:space="1" w:color="auto"/>
        </w:pBdr>
        <w:spacing w:before="240" w:after="240" w:line="320" w:lineRule="exact"/>
        <w:rPr>
          <w:rFonts w:ascii="Verdana" w:hAnsi="Verdana" w:cs="Arial"/>
          <w:sz w:val="20"/>
          <w:szCs w:val="20"/>
        </w:rPr>
      </w:pPr>
    </w:p>
    <w:p w:rsidR="00204B37" w:rsidRPr="00F74141" w:rsidRDefault="00204B37">
      <w:pPr>
        <w:pBdr>
          <w:bottom w:val="double" w:sz="6" w:space="1" w:color="auto"/>
        </w:pBdr>
        <w:spacing w:before="240" w:after="240" w:line="320" w:lineRule="exact"/>
        <w:rPr>
          <w:rFonts w:ascii="Verdana" w:hAnsi="Verdana" w:cs="Arial"/>
          <w:sz w:val="20"/>
          <w:szCs w:val="20"/>
        </w:rPr>
      </w:pPr>
    </w:p>
    <w:p w:rsidR="00204B37" w:rsidRPr="00F74141" w:rsidRDefault="00204B37">
      <w:pPr>
        <w:pStyle w:val="Default"/>
        <w:widowControl/>
        <w:spacing w:before="240" w:after="240" w:line="320" w:lineRule="exact"/>
        <w:rPr>
          <w:rFonts w:ascii="Verdana" w:hAnsi="Verdana"/>
          <w:color w:val="auto"/>
          <w:sz w:val="20"/>
          <w:szCs w:val="20"/>
        </w:rPr>
      </w:pPr>
    </w:p>
    <w:p w:rsidR="00204B37" w:rsidRPr="00F74141" w:rsidRDefault="00706572">
      <w:pPr>
        <w:pStyle w:val="CM13"/>
        <w:widowControl/>
        <w:spacing w:before="240" w:after="240" w:line="320" w:lineRule="exact"/>
        <w:jc w:val="both"/>
        <w:rPr>
          <w:rFonts w:ascii="Verdana" w:hAnsi="Verdana"/>
          <w:b/>
          <w:sz w:val="20"/>
          <w:szCs w:val="20"/>
        </w:rPr>
      </w:pPr>
      <w:r w:rsidRPr="00F74141">
        <w:rPr>
          <w:rFonts w:ascii="Verdana" w:hAnsi="Verdana" w:cs="Arial"/>
          <w:sz w:val="20"/>
          <w:szCs w:val="20"/>
        </w:rPr>
        <w:br w:type="page"/>
      </w:r>
      <w:r w:rsidRPr="00F74141">
        <w:rPr>
          <w:rFonts w:ascii="Verdana" w:hAnsi="Verdana"/>
          <w:b/>
          <w:sz w:val="20"/>
          <w:szCs w:val="20"/>
        </w:rPr>
        <w:t>INSTRUMENTO PARTICULAR DE</w:t>
      </w:r>
      <w:r w:rsidRPr="00F74141">
        <w:rPr>
          <w:rFonts w:ascii="Verdana" w:hAnsi="Verdana" w:cs="Arial"/>
          <w:b/>
          <w:smallCaps/>
          <w:sz w:val="20"/>
          <w:szCs w:val="20"/>
        </w:rPr>
        <w:t xml:space="preserve"> </w:t>
      </w:r>
      <w:r w:rsidRPr="00F74141">
        <w:rPr>
          <w:rFonts w:ascii="Verdana" w:hAnsi="Verdana"/>
          <w:b/>
          <w:sz w:val="20"/>
          <w:szCs w:val="20"/>
        </w:rPr>
        <w:t xml:space="preserve">ESCRITURA DA 1ª (PRIMEIRA) EMISSÃO DE DEBÊNTURES SIMPLES, NÃO CONVERSÍVEIS EM AÇÕES, EM ATÉ 2 (DUAS) </w:t>
      </w:r>
      <w:r w:rsidRPr="00F74141">
        <w:rPr>
          <w:rFonts w:ascii="Verdana" w:hAnsi="Verdana" w:cs="Arial"/>
          <w:b/>
          <w:bCs/>
          <w:sz w:val="20"/>
          <w:szCs w:val="20"/>
        </w:rPr>
        <w:t>SÉRIES</w:t>
      </w:r>
      <w:r w:rsidRPr="00F74141">
        <w:rPr>
          <w:rFonts w:ascii="Verdana" w:hAnsi="Verdana"/>
          <w:b/>
          <w:sz w:val="20"/>
          <w:szCs w:val="20"/>
        </w:rPr>
        <w:t>, DA ESPÉCIE COM GARANTIA REAL</w:t>
      </w:r>
      <w:r w:rsidRPr="00F74141">
        <w:rPr>
          <w:rFonts w:ascii="Verdana" w:hAnsi="Verdana" w:cs="Tahoma"/>
          <w:b/>
          <w:caps/>
          <w:sz w:val="20"/>
          <w:szCs w:val="20"/>
        </w:rPr>
        <w:t>,</w:t>
      </w:r>
      <w:r w:rsidRPr="00F74141">
        <w:rPr>
          <w:rFonts w:ascii="Verdana" w:hAnsi="Verdana"/>
          <w:b/>
          <w:sz w:val="20"/>
          <w:szCs w:val="20"/>
        </w:rPr>
        <w:t xml:space="preserve"> PARA DISTRIBUIÇÃO PÚBLICA COM ESFORÇOS RESTRITOS, DA VENTOS DO SUL ENERGIA S.A.</w:t>
      </w:r>
    </w:p>
    <w:p w:rsidR="00204B37" w:rsidRPr="00F74141" w:rsidRDefault="00706572">
      <w:pPr>
        <w:spacing w:before="240" w:after="240" w:line="320" w:lineRule="exact"/>
        <w:jc w:val="both"/>
        <w:rPr>
          <w:rFonts w:ascii="Verdana" w:hAnsi="Verdana"/>
          <w:sz w:val="20"/>
          <w:szCs w:val="20"/>
        </w:rPr>
      </w:pPr>
      <w:r w:rsidRPr="00F74141">
        <w:rPr>
          <w:rFonts w:ascii="Verdana" w:hAnsi="Verdana"/>
          <w:sz w:val="20"/>
          <w:szCs w:val="20"/>
        </w:rPr>
        <w:t xml:space="preserve">São partes neste </w:t>
      </w:r>
      <w:r w:rsidRPr="00F74141">
        <w:rPr>
          <w:rFonts w:ascii="Verdana" w:hAnsi="Verdana"/>
          <w:i/>
          <w:sz w:val="20"/>
          <w:szCs w:val="20"/>
        </w:rPr>
        <w:t>“Instrumento Particular de Escritura da 1ª (primeira) Emissão de Debêntures Simples, Não Conversíveis em Ações, em até 2 (duas) Séries, da Espécie com Garantia Real, para Distribuição Pública Com Esforços Restritos, da Ventos do Sul Energia S.A.”</w:t>
      </w:r>
      <w:r w:rsidRPr="00F74141">
        <w:rPr>
          <w:rFonts w:ascii="Verdana" w:hAnsi="Verdana"/>
          <w:sz w:val="20"/>
          <w:szCs w:val="20"/>
        </w:rPr>
        <w:t xml:space="preserve"> (“</w:t>
      </w:r>
      <w:r w:rsidRPr="00F74141">
        <w:rPr>
          <w:rFonts w:ascii="Verdana" w:hAnsi="Verdana"/>
          <w:b/>
          <w:sz w:val="20"/>
          <w:szCs w:val="20"/>
        </w:rPr>
        <w:t>Escritura de Emissão</w:t>
      </w:r>
      <w:r w:rsidRPr="00F74141">
        <w:rPr>
          <w:rFonts w:ascii="Verdana" w:hAnsi="Verdana"/>
          <w:sz w:val="20"/>
          <w:szCs w:val="20"/>
        </w:rPr>
        <w:t>” e “</w:t>
      </w:r>
      <w:r w:rsidRPr="00F74141">
        <w:rPr>
          <w:rFonts w:ascii="Verdana" w:hAnsi="Verdana"/>
          <w:b/>
          <w:sz w:val="20"/>
          <w:szCs w:val="20"/>
        </w:rPr>
        <w:t>Emissão</w:t>
      </w:r>
      <w:r w:rsidRPr="00F74141">
        <w:rPr>
          <w:rFonts w:ascii="Verdana" w:hAnsi="Verdana"/>
          <w:sz w:val="20"/>
          <w:szCs w:val="20"/>
        </w:rPr>
        <w:t>”, respectivamente):</w:t>
      </w:r>
    </w:p>
    <w:p w:rsidR="00204B37" w:rsidRPr="00F74141" w:rsidRDefault="00706572">
      <w:pPr>
        <w:pStyle w:val="Parties"/>
        <w:spacing w:before="240" w:after="240" w:line="320" w:lineRule="exact"/>
        <w:rPr>
          <w:rFonts w:ascii="Verdana" w:hAnsi="Verdana"/>
        </w:rPr>
      </w:pPr>
      <w:r w:rsidRPr="00F74141">
        <w:rPr>
          <w:rFonts w:ascii="Verdana" w:hAnsi="Verdana"/>
        </w:rPr>
        <w:t>como emissora e ofertante das debêntures objeto desta Escritura de Emissão:</w:t>
      </w:r>
    </w:p>
    <w:p w:rsidR="00204B37" w:rsidRPr="00F74141" w:rsidRDefault="00706572">
      <w:pPr>
        <w:pStyle w:val="Parties"/>
        <w:numPr>
          <w:ilvl w:val="0"/>
          <w:numId w:val="0"/>
        </w:numPr>
        <w:spacing w:before="240" w:after="240" w:line="320" w:lineRule="exact"/>
        <w:rPr>
          <w:rFonts w:ascii="Verdana" w:hAnsi="Verdana"/>
          <w:b/>
        </w:rPr>
      </w:pPr>
      <w:r w:rsidRPr="00F74141">
        <w:rPr>
          <w:rFonts w:ascii="Verdana" w:hAnsi="Verdana"/>
          <w:b/>
        </w:rPr>
        <w:t>VENTOS DO SUL ENERGIA S.A.</w:t>
      </w:r>
      <w:r w:rsidRPr="00F74141">
        <w:rPr>
          <w:rFonts w:ascii="Verdana" w:hAnsi="Verdana"/>
        </w:rPr>
        <w:t xml:space="preserve">, </w:t>
      </w:r>
      <w:r w:rsidR="00CC33D9" w:rsidRPr="00CC33D9">
        <w:rPr>
          <w:rFonts w:ascii="Verdana" w:hAnsi="Verdana"/>
        </w:rPr>
        <w:t xml:space="preserve">sociedade por ações, com registro de companhia aberta perante a </w:t>
      </w:r>
      <w:r w:rsidRPr="00F74141">
        <w:rPr>
          <w:rFonts w:ascii="Verdana" w:hAnsi="Verdana"/>
        </w:rPr>
        <w:t>Comissão de Valores Mobiliários (“</w:t>
      </w:r>
      <w:r w:rsidRPr="00F74141">
        <w:rPr>
          <w:rFonts w:ascii="Verdana" w:hAnsi="Verdana"/>
          <w:b/>
        </w:rPr>
        <w:t>CVM</w:t>
      </w:r>
      <w:r w:rsidRPr="00F74141">
        <w:rPr>
          <w:rFonts w:ascii="Verdana" w:hAnsi="Verdana"/>
        </w:rPr>
        <w:t>”) na “Categoria B”, com sede na Cidade de Porto Alegre, Estado do Rio Grande do Sul, na Av. Carlos Gomes, nº 222, Sala 701, Parte 4, bairro Auxiliadora, CEP 90.480-000, inscrita no Cadastro Nacional da Pessoa Jurídica (“</w:t>
      </w:r>
      <w:r w:rsidRPr="00F74141">
        <w:rPr>
          <w:rFonts w:ascii="Verdana" w:hAnsi="Verdana"/>
          <w:b/>
        </w:rPr>
        <w:t>CNPJ</w:t>
      </w:r>
      <w:r w:rsidRPr="00F74141">
        <w:rPr>
          <w:rFonts w:ascii="Verdana" w:hAnsi="Verdana"/>
        </w:rPr>
        <w:t>”) sob o nº</w:t>
      </w:r>
      <w:r w:rsidR="008F67DD" w:rsidRPr="00F74141">
        <w:rPr>
          <w:rFonts w:ascii="Verdana" w:hAnsi="Verdana"/>
        </w:rPr>
        <w:t> </w:t>
      </w:r>
      <w:r w:rsidRPr="00F74141">
        <w:rPr>
          <w:rFonts w:ascii="Verdana" w:hAnsi="Verdana"/>
        </w:rPr>
        <w:t>06.016.348/0001-53 e com seus atos constitutivos arquivados na Junta Comercial, Industrial e Serviços do Rio Grande do Sul (“</w:t>
      </w:r>
      <w:r w:rsidRPr="00F74141">
        <w:rPr>
          <w:rFonts w:ascii="Verdana" w:hAnsi="Verdana"/>
          <w:b/>
        </w:rPr>
        <w:t>JUCISRS</w:t>
      </w:r>
      <w:r w:rsidRPr="00F74141">
        <w:rPr>
          <w:rFonts w:ascii="Verdana" w:hAnsi="Verdana"/>
        </w:rPr>
        <w:t>”) sob o Número de Inscrição de Registro de Empresas - NIRE nº 43.3.0004554-4, neste ato representada na forma de seu Estatuto Social (“</w:t>
      </w:r>
      <w:r w:rsidRPr="00F74141">
        <w:rPr>
          <w:rFonts w:ascii="Verdana" w:hAnsi="Verdana"/>
          <w:b/>
        </w:rPr>
        <w:t>Emissora</w:t>
      </w:r>
      <w:r w:rsidRPr="00F74141">
        <w:rPr>
          <w:rFonts w:ascii="Verdana" w:hAnsi="Verdana"/>
        </w:rPr>
        <w:t>”);</w:t>
      </w:r>
    </w:p>
    <w:p w:rsidR="00204B37" w:rsidRPr="00F74141" w:rsidRDefault="00706572">
      <w:pPr>
        <w:pStyle w:val="Parties"/>
        <w:spacing w:before="240" w:after="240" w:line="320" w:lineRule="exact"/>
        <w:rPr>
          <w:rFonts w:ascii="Verdana" w:hAnsi="Verdana"/>
        </w:rPr>
      </w:pPr>
      <w:r w:rsidRPr="00F74141">
        <w:rPr>
          <w:rFonts w:ascii="Verdana" w:hAnsi="Verdana"/>
        </w:rPr>
        <w:t>como agente fiduciário, nomeado nesta Escritura de Emissão, representando a comunhão dos titulares das Debêntures (“</w:t>
      </w:r>
      <w:r w:rsidRPr="00F74141">
        <w:rPr>
          <w:rFonts w:ascii="Verdana" w:hAnsi="Verdana"/>
          <w:b/>
        </w:rPr>
        <w:t>Debenturistas</w:t>
      </w:r>
      <w:r w:rsidRPr="00F74141">
        <w:rPr>
          <w:rFonts w:ascii="Verdana" w:hAnsi="Verdana"/>
        </w:rPr>
        <w:t>”):</w:t>
      </w:r>
    </w:p>
    <w:p w:rsidR="00204B37" w:rsidRPr="00F74141" w:rsidRDefault="00706572">
      <w:pPr>
        <w:pStyle w:val="Parties"/>
        <w:numPr>
          <w:ilvl w:val="0"/>
          <w:numId w:val="0"/>
        </w:numPr>
        <w:spacing w:before="240" w:after="240" w:line="320" w:lineRule="exact"/>
        <w:rPr>
          <w:rFonts w:ascii="Verdana" w:hAnsi="Verdana"/>
        </w:rPr>
      </w:pPr>
      <w:r w:rsidRPr="00F74141">
        <w:rPr>
          <w:rFonts w:ascii="Verdana" w:hAnsi="Verdana"/>
          <w:b/>
        </w:rPr>
        <w:t>OLIVEIRA TRUST DISTRIBUIDORA DE TÍTULOS E VALORES MOBILIÁRIOS S.A</w:t>
      </w:r>
      <w:r w:rsidRPr="00F74141">
        <w:rPr>
          <w:rFonts w:ascii="Verdana" w:hAnsi="Verdana"/>
        </w:rPr>
        <w:t>., sociedade por ações, com domicílio na Cidade de São Paulo, Estado de São Paulo, na Rua Joaquim Floriano, nº 1.052, 13º andar, inscrita no CNPJ sob o nº 36.113.876/0004-34, representando a comunhão de Debenturistas, neste ato representada por seu(s) representante(s) legal(</w:t>
      </w:r>
      <w:proofErr w:type="spellStart"/>
      <w:r w:rsidRPr="00F74141">
        <w:rPr>
          <w:rFonts w:ascii="Verdana" w:hAnsi="Verdana"/>
        </w:rPr>
        <w:t>is</w:t>
      </w:r>
      <w:proofErr w:type="spellEnd"/>
      <w:r w:rsidRPr="00F74141">
        <w:rPr>
          <w:rFonts w:ascii="Verdana" w:hAnsi="Verdana"/>
        </w:rPr>
        <w:t>) devidamente autorizado(s) e identificado(s) na página de assinaturas do presente instrumento (“</w:t>
      </w:r>
      <w:r w:rsidRPr="00F74141">
        <w:rPr>
          <w:rFonts w:ascii="Verdana" w:hAnsi="Verdana"/>
          <w:b/>
        </w:rPr>
        <w:t>Agente Fiduciário</w:t>
      </w:r>
      <w:r w:rsidRPr="00F74141">
        <w:rPr>
          <w:rFonts w:ascii="Verdana" w:hAnsi="Verdana"/>
        </w:rPr>
        <w:t xml:space="preserve">”); </w:t>
      </w:r>
    </w:p>
    <w:p w:rsidR="00204B37" w:rsidRPr="00F74141" w:rsidRDefault="00706572">
      <w:pPr>
        <w:pStyle w:val="Corpodetexto"/>
        <w:spacing w:before="240" w:after="240" w:line="320" w:lineRule="exact"/>
        <w:rPr>
          <w:rFonts w:ascii="Verdana" w:hAnsi="Verdana"/>
        </w:rPr>
      </w:pPr>
      <w:r w:rsidRPr="00F74141">
        <w:rPr>
          <w:rFonts w:ascii="Verdana" w:hAnsi="Verdana"/>
        </w:rPr>
        <w:t>sendo a Emissora e o Agente Fiduciário doravante designados, em conjunto, como “</w:t>
      </w:r>
      <w:r w:rsidRPr="00F74141">
        <w:rPr>
          <w:rFonts w:ascii="Verdana" w:hAnsi="Verdana"/>
          <w:b/>
        </w:rPr>
        <w:t>Partes</w:t>
      </w:r>
      <w:r w:rsidRPr="00F74141">
        <w:rPr>
          <w:rFonts w:ascii="Verdana" w:hAnsi="Verdana"/>
        </w:rPr>
        <w:t>” e, individualmente, como “</w:t>
      </w:r>
      <w:r w:rsidRPr="00F74141">
        <w:rPr>
          <w:rFonts w:ascii="Verdana" w:hAnsi="Verdana"/>
          <w:b/>
        </w:rPr>
        <w:t>Parte</w:t>
      </w:r>
      <w:r w:rsidRPr="00F74141">
        <w:rPr>
          <w:rFonts w:ascii="Verdana" w:hAnsi="Verdana"/>
        </w:rPr>
        <w:t>”;</w:t>
      </w:r>
    </w:p>
    <w:p w:rsidR="00204B37" w:rsidRPr="00F74141" w:rsidRDefault="00706572">
      <w:pPr>
        <w:spacing w:before="240" w:after="240" w:line="320" w:lineRule="exact"/>
        <w:jc w:val="both"/>
        <w:rPr>
          <w:rFonts w:ascii="Verdana" w:hAnsi="Verdana"/>
          <w:sz w:val="20"/>
          <w:szCs w:val="20"/>
        </w:rPr>
      </w:pPr>
      <w:r w:rsidRPr="00F74141">
        <w:rPr>
          <w:rFonts w:ascii="Verdana" w:hAnsi="Verdana"/>
          <w:sz w:val="20"/>
          <w:szCs w:val="20"/>
        </w:rPr>
        <w:t>Resolvem celebrar esta Escritura de Emissão de acordo com os seguintes termos e condições a seguir.</w:t>
      </w:r>
    </w:p>
    <w:p w:rsidR="00204B37" w:rsidRPr="00F74141" w:rsidRDefault="00706572">
      <w:pPr>
        <w:pStyle w:val="CM1"/>
        <w:widowControl/>
        <w:spacing w:before="240" w:after="240" w:line="320" w:lineRule="exact"/>
        <w:rPr>
          <w:rFonts w:ascii="Verdana" w:hAnsi="Verdana"/>
          <w:sz w:val="20"/>
          <w:szCs w:val="20"/>
        </w:rPr>
      </w:pPr>
      <w:r w:rsidRPr="00F74141">
        <w:rPr>
          <w:rFonts w:ascii="Verdana" w:hAnsi="Verdana" w:cs="Arial"/>
          <w:sz w:val="20"/>
          <w:szCs w:val="20"/>
        </w:rPr>
        <w:t>Os termos aqui iniciados em letra maiúscula, estejam no singular ou no plural, terão o significado a eles atribuído nesta Escritura de Emissão, ainda que posteriormente ao seu uso.</w:t>
      </w:r>
    </w:p>
    <w:p w:rsidR="00204B37" w:rsidRPr="00F74141" w:rsidRDefault="00706572">
      <w:pPr>
        <w:pStyle w:val="Level1"/>
        <w:spacing w:before="240" w:after="240" w:line="320" w:lineRule="exact"/>
        <w:rPr>
          <w:rFonts w:ascii="Verdana" w:hAnsi="Verdana"/>
          <w:sz w:val="20"/>
          <w:szCs w:val="20"/>
        </w:rPr>
      </w:pPr>
      <w:r w:rsidRPr="00F74141">
        <w:rPr>
          <w:rFonts w:ascii="Verdana" w:hAnsi="Verdana"/>
          <w:sz w:val="20"/>
          <w:szCs w:val="20"/>
        </w:rPr>
        <w:t>AUTORIZAÇÃO</w:t>
      </w:r>
    </w:p>
    <w:p w:rsidR="00204B37" w:rsidRPr="00F74141" w:rsidRDefault="00706572">
      <w:pPr>
        <w:pStyle w:val="Level2"/>
        <w:spacing w:before="240" w:after="240" w:line="320" w:lineRule="exact"/>
        <w:rPr>
          <w:rFonts w:ascii="Verdana" w:hAnsi="Verdana"/>
          <w:szCs w:val="20"/>
        </w:rPr>
      </w:pPr>
      <w:r w:rsidRPr="00F74141">
        <w:rPr>
          <w:rFonts w:ascii="Verdana" w:hAnsi="Verdana"/>
          <w:szCs w:val="20"/>
        </w:rPr>
        <w:t>Nos termos do artigo 59, da Lei nº 6.404, de 15 de dezembro de 1976, conforme alterada (“</w:t>
      </w:r>
      <w:r w:rsidRPr="00F74141">
        <w:rPr>
          <w:rFonts w:ascii="Verdana" w:hAnsi="Verdana"/>
          <w:b/>
          <w:szCs w:val="20"/>
        </w:rPr>
        <w:t>Lei das Sociedades por Ações</w:t>
      </w:r>
      <w:r w:rsidRPr="00F74141">
        <w:rPr>
          <w:rFonts w:ascii="Verdana" w:hAnsi="Verdana"/>
          <w:szCs w:val="20"/>
        </w:rPr>
        <w:t>”), e do estatuto social da Emissora, a Assembleia Geral Extraordinária da Emissora realizada em 6 de setembro de 2019 (“</w:t>
      </w:r>
      <w:r w:rsidRPr="00F74141">
        <w:rPr>
          <w:rFonts w:ascii="Verdana" w:hAnsi="Verdana"/>
          <w:b/>
          <w:szCs w:val="20"/>
        </w:rPr>
        <w:t>AGE da Emissora</w:t>
      </w:r>
      <w:r w:rsidRPr="00F74141">
        <w:rPr>
          <w:rFonts w:ascii="Verdana" w:hAnsi="Verdana"/>
          <w:szCs w:val="20"/>
        </w:rPr>
        <w:t>”), aprovou (i) a emissão das Debêntures (conforme definido abaixo), em até 2 (duas) séries, no montante total de R$325.000.000,00 (trezentos e vinte e cinco milhões de reais)</w:t>
      </w:r>
      <w:r w:rsidRPr="00F74141">
        <w:rPr>
          <w:rFonts w:ascii="Verdana" w:hAnsi="Verdana"/>
          <w:i/>
          <w:szCs w:val="20"/>
        </w:rPr>
        <w:t xml:space="preserve"> </w:t>
      </w:r>
      <w:r w:rsidRPr="00F74141">
        <w:rPr>
          <w:rFonts w:ascii="Verdana" w:hAnsi="Verdana"/>
          <w:szCs w:val="20"/>
        </w:rPr>
        <w:t>da 1ª (primeira) emissão da Emissora, e as demais condições indicadas nesta Escritura de Emissão; (</w:t>
      </w:r>
      <w:proofErr w:type="spellStart"/>
      <w:r w:rsidRPr="00F74141">
        <w:rPr>
          <w:rFonts w:ascii="Verdana" w:hAnsi="Verdana"/>
          <w:szCs w:val="20"/>
        </w:rPr>
        <w:t>ii</w:t>
      </w:r>
      <w:proofErr w:type="spellEnd"/>
      <w:r w:rsidRPr="00F74141">
        <w:rPr>
          <w:rFonts w:ascii="Verdana" w:hAnsi="Verdana"/>
          <w:szCs w:val="20"/>
        </w:rPr>
        <w:t xml:space="preserve">) a constituição da Alienação Fiduciária de Ações </w:t>
      </w:r>
      <w:r w:rsidRPr="00F74141">
        <w:rPr>
          <w:rFonts w:ascii="Verdana" w:hAnsi="Verdana" w:cs="Tahoma"/>
          <w:szCs w:val="20"/>
        </w:rPr>
        <w:t xml:space="preserve">(conforme definido abaixo); da Alienação Fiduciária de Equipamentos (conforme definido abaixo) e da </w:t>
      </w:r>
      <w:r w:rsidRPr="00F74141">
        <w:rPr>
          <w:rFonts w:ascii="Verdana" w:hAnsi="Verdana"/>
          <w:szCs w:val="20"/>
        </w:rPr>
        <w:t xml:space="preserve">Cessão Fiduciária de Direitos </w:t>
      </w:r>
      <w:r w:rsidRPr="00F74141">
        <w:rPr>
          <w:rFonts w:ascii="Verdana" w:hAnsi="Verdana" w:cs="Tahoma"/>
          <w:szCs w:val="20"/>
        </w:rPr>
        <w:t>(conforme definido abaixo), em garantia das Debêntures</w:t>
      </w:r>
      <w:r w:rsidRPr="00F74141">
        <w:rPr>
          <w:rFonts w:ascii="Verdana" w:hAnsi="Verdana"/>
          <w:szCs w:val="20"/>
        </w:rPr>
        <w:t>; (</w:t>
      </w:r>
      <w:proofErr w:type="spellStart"/>
      <w:r w:rsidRPr="00F74141">
        <w:rPr>
          <w:rFonts w:ascii="Verdana" w:hAnsi="Verdana"/>
          <w:szCs w:val="20"/>
        </w:rPr>
        <w:t>iii</w:t>
      </w:r>
      <w:proofErr w:type="spellEnd"/>
      <w:r w:rsidRPr="00F74141">
        <w:rPr>
          <w:rFonts w:ascii="Verdana" w:hAnsi="Verdana"/>
          <w:szCs w:val="20"/>
        </w:rPr>
        <w:t>) a autorização para a diretoria da Emissora tomar todas as providências necessárias para a efetivação da Oferta (conforme definido abaixo), incluindo mas não se limitando a celebração de todos os documentos necessários à Emissão e à contratação do Agente Fiduciário, das instituições financeiras que realizarão a colocação das Debêntures e dos demais prestadores de serviços; e (</w:t>
      </w:r>
      <w:proofErr w:type="spellStart"/>
      <w:r w:rsidRPr="00F74141">
        <w:rPr>
          <w:rFonts w:ascii="Verdana" w:hAnsi="Verdana"/>
          <w:szCs w:val="20"/>
        </w:rPr>
        <w:t>iv</w:t>
      </w:r>
      <w:proofErr w:type="spellEnd"/>
      <w:r w:rsidRPr="00F74141">
        <w:rPr>
          <w:rFonts w:ascii="Verdana" w:hAnsi="Verdana"/>
          <w:szCs w:val="20"/>
        </w:rPr>
        <w:t>) ratificação dos atos já praticados pela diretoria da Emissora relacionados à Emissão. Adicionalmente, nos termos da cláusula 10 do acordo de acionistas da Emissora, a estrutura da Emissão, bem como a constituição da Alienação Fiduciária de Equipamentos e da Cessão Fiduciária de Direitos, foram aprovadas na reunião do conselho de administração da Emissora realizada em 6 de setembro de 2019 (“</w:t>
      </w:r>
      <w:r w:rsidRPr="00F74141">
        <w:rPr>
          <w:rFonts w:ascii="Verdana" w:hAnsi="Verdana"/>
          <w:b/>
          <w:szCs w:val="20"/>
        </w:rPr>
        <w:t>RCA da Emissora</w:t>
      </w:r>
      <w:r w:rsidRPr="00F74141">
        <w:rPr>
          <w:rFonts w:ascii="Verdana" w:hAnsi="Verdana"/>
          <w:szCs w:val="20"/>
        </w:rPr>
        <w:t>” e, quando em conjunto com a AGE da Emissora, “</w:t>
      </w:r>
      <w:r w:rsidRPr="00F74141">
        <w:rPr>
          <w:rFonts w:ascii="Verdana" w:hAnsi="Verdana"/>
          <w:b/>
          <w:szCs w:val="20"/>
        </w:rPr>
        <w:t>Aprovações Societárias Emissora</w:t>
      </w:r>
      <w:r w:rsidRPr="00F74141">
        <w:rPr>
          <w:rFonts w:ascii="Verdana" w:hAnsi="Verdana"/>
          <w:szCs w:val="20"/>
        </w:rPr>
        <w:t>”).</w:t>
      </w:r>
    </w:p>
    <w:p w:rsidR="00204B37" w:rsidRPr="00F74141" w:rsidRDefault="00706572">
      <w:pPr>
        <w:pStyle w:val="Level2"/>
        <w:spacing w:before="240" w:after="240" w:line="320" w:lineRule="exact"/>
        <w:rPr>
          <w:rFonts w:ascii="Verdana" w:hAnsi="Verdana"/>
          <w:szCs w:val="20"/>
        </w:rPr>
      </w:pPr>
      <w:r w:rsidRPr="00F74141">
        <w:rPr>
          <w:rFonts w:ascii="Verdana" w:hAnsi="Verdana"/>
          <w:szCs w:val="20"/>
        </w:rPr>
        <w:t xml:space="preserve">A outorga da Alienação Fiduciária </w:t>
      </w:r>
      <w:r w:rsidR="005C3403">
        <w:rPr>
          <w:rFonts w:ascii="Verdana" w:hAnsi="Verdana"/>
          <w:szCs w:val="20"/>
        </w:rPr>
        <w:t>de</w:t>
      </w:r>
      <w:r w:rsidR="005C3403" w:rsidRPr="00F74141">
        <w:rPr>
          <w:rFonts w:ascii="Verdana" w:hAnsi="Verdana"/>
          <w:szCs w:val="20"/>
        </w:rPr>
        <w:t xml:space="preserve"> </w:t>
      </w:r>
      <w:r w:rsidRPr="00F74141">
        <w:rPr>
          <w:rFonts w:ascii="Verdana" w:hAnsi="Verdana"/>
          <w:szCs w:val="20"/>
        </w:rPr>
        <w:t xml:space="preserve">Ações, em garantia das Debêntures, </w:t>
      </w:r>
      <w:r w:rsidR="00CD795E">
        <w:rPr>
          <w:rFonts w:ascii="Verdana" w:hAnsi="Verdana"/>
          <w:szCs w:val="20"/>
        </w:rPr>
        <w:t xml:space="preserve">(i) </w:t>
      </w:r>
      <w:r w:rsidRPr="00F74141">
        <w:rPr>
          <w:rFonts w:ascii="Verdana" w:hAnsi="Verdana"/>
          <w:szCs w:val="20"/>
        </w:rPr>
        <w:t>foi aprovada (</w:t>
      </w:r>
      <w:r w:rsidR="00CD795E">
        <w:rPr>
          <w:rFonts w:ascii="Verdana" w:hAnsi="Verdana"/>
          <w:szCs w:val="20"/>
        </w:rPr>
        <w:t>a</w:t>
      </w:r>
      <w:r w:rsidRPr="00F74141">
        <w:rPr>
          <w:rFonts w:ascii="Verdana" w:hAnsi="Verdana"/>
          <w:szCs w:val="20"/>
        </w:rPr>
        <w:t>) na reunião de sócios da Rio Sul 1 Energia Ltda. (“</w:t>
      </w:r>
      <w:r w:rsidRPr="00F74141">
        <w:rPr>
          <w:rFonts w:ascii="Verdana" w:hAnsi="Verdana"/>
          <w:b/>
          <w:szCs w:val="20"/>
        </w:rPr>
        <w:t>Rio Sul</w:t>
      </w:r>
      <w:r w:rsidRPr="00F74141">
        <w:rPr>
          <w:rFonts w:ascii="Verdana" w:hAnsi="Verdana"/>
          <w:szCs w:val="20"/>
        </w:rPr>
        <w:t>”) realizada em 9 de agosto de 2019 (“</w:t>
      </w:r>
      <w:r w:rsidRPr="00F74141">
        <w:rPr>
          <w:rFonts w:ascii="Verdana" w:hAnsi="Verdana"/>
          <w:b/>
          <w:szCs w:val="20"/>
        </w:rPr>
        <w:t>Reunião de Sócios da Rio Sul</w:t>
      </w:r>
      <w:r w:rsidRPr="00F74141">
        <w:rPr>
          <w:rFonts w:ascii="Verdana" w:hAnsi="Verdana"/>
          <w:szCs w:val="20"/>
        </w:rPr>
        <w:t>”)</w:t>
      </w:r>
      <w:r w:rsidR="00CD795E">
        <w:rPr>
          <w:rFonts w:ascii="Verdana" w:hAnsi="Verdana"/>
          <w:szCs w:val="20"/>
        </w:rPr>
        <w:t xml:space="preserve"> e</w:t>
      </w:r>
      <w:r w:rsidRPr="00F74141">
        <w:rPr>
          <w:rFonts w:ascii="Verdana" w:hAnsi="Verdana"/>
          <w:szCs w:val="20"/>
        </w:rPr>
        <w:t xml:space="preserve"> (</w:t>
      </w:r>
      <w:proofErr w:type="spellStart"/>
      <w:r w:rsidRPr="00F74141">
        <w:rPr>
          <w:rFonts w:ascii="Verdana" w:hAnsi="Verdana"/>
          <w:szCs w:val="20"/>
        </w:rPr>
        <w:t>ii</w:t>
      </w:r>
      <w:proofErr w:type="spellEnd"/>
      <w:r w:rsidRPr="00F74141">
        <w:rPr>
          <w:rFonts w:ascii="Verdana" w:hAnsi="Verdana"/>
          <w:szCs w:val="20"/>
        </w:rPr>
        <w:t xml:space="preserve">) na reunião de sócios da </w:t>
      </w:r>
      <w:proofErr w:type="spellStart"/>
      <w:r w:rsidRPr="00F74141">
        <w:rPr>
          <w:rFonts w:ascii="Verdana" w:hAnsi="Verdana"/>
          <w:szCs w:val="20"/>
        </w:rPr>
        <w:t>Wobben</w:t>
      </w:r>
      <w:proofErr w:type="spellEnd"/>
      <w:r w:rsidRPr="00F74141">
        <w:rPr>
          <w:rFonts w:ascii="Verdana" w:hAnsi="Verdana"/>
          <w:szCs w:val="20"/>
        </w:rPr>
        <w:t xml:space="preserve"> </w:t>
      </w:r>
      <w:proofErr w:type="spellStart"/>
      <w:r w:rsidRPr="00F74141">
        <w:rPr>
          <w:rFonts w:ascii="Verdana" w:hAnsi="Verdana"/>
          <w:szCs w:val="20"/>
        </w:rPr>
        <w:t>Windpower</w:t>
      </w:r>
      <w:proofErr w:type="spellEnd"/>
      <w:r w:rsidRPr="00F74141">
        <w:rPr>
          <w:rFonts w:ascii="Verdana" w:hAnsi="Verdana"/>
          <w:szCs w:val="20"/>
        </w:rPr>
        <w:t xml:space="preserve"> Indústria e Comércio Ltda. (“</w:t>
      </w:r>
      <w:proofErr w:type="spellStart"/>
      <w:r w:rsidRPr="00F74141">
        <w:rPr>
          <w:rFonts w:ascii="Verdana" w:hAnsi="Verdana"/>
          <w:b/>
          <w:szCs w:val="20"/>
        </w:rPr>
        <w:t>Wobben</w:t>
      </w:r>
      <w:proofErr w:type="spellEnd"/>
      <w:r w:rsidRPr="00F74141">
        <w:rPr>
          <w:rFonts w:ascii="Verdana" w:hAnsi="Verdana"/>
          <w:szCs w:val="20"/>
        </w:rPr>
        <w:t>”) realizada em 9 de agosto de 2019 (“</w:t>
      </w:r>
      <w:r w:rsidRPr="00F74141">
        <w:rPr>
          <w:rFonts w:ascii="Verdana" w:hAnsi="Verdana"/>
          <w:b/>
          <w:szCs w:val="20"/>
        </w:rPr>
        <w:t xml:space="preserve">Reunião de Sócios da </w:t>
      </w:r>
      <w:proofErr w:type="spellStart"/>
      <w:r w:rsidRPr="00F74141">
        <w:rPr>
          <w:rFonts w:ascii="Verdana" w:hAnsi="Verdana"/>
          <w:b/>
          <w:szCs w:val="20"/>
        </w:rPr>
        <w:t>Wobben</w:t>
      </w:r>
      <w:proofErr w:type="spellEnd"/>
      <w:r w:rsidRPr="00F74141">
        <w:rPr>
          <w:rFonts w:ascii="Verdana" w:hAnsi="Verdana"/>
          <w:szCs w:val="20"/>
        </w:rPr>
        <w:t>”)</w:t>
      </w:r>
      <w:r w:rsidR="00CD795E">
        <w:rPr>
          <w:rFonts w:ascii="Verdana" w:hAnsi="Verdana"/>
          <w:szCs w:val="20"/>
        </w:rPr>
        <w:t>, e (</w:t>
      </w:r>
      <w:proofErr w:type="spellStart"/>
      <w:r w:rsidR="00CD795E">
        <w:rPr>
          <w:rFonts w:ascii="Verdana" w:hAnsi="Verdana"/>
          <w:szCs w:val="20"/>
        </w:rPr>
        <w:t>ii</w:t>
      </w:r>
      <w:proofErr w:type="spellEnd"/>
      <w:r w:rsidR="00CD795E">
        <w:rPr>
          <w:rFonts w:ascii="Verdana" w:hAnsi="Verdana"/>
          <w:szCs w:val="20"/>
        </w:rPr>
        <w:t>) será aprovada</w:t>
      </w:r>
      <w:r w:rsidRPr="00F74141">
        <w:rPr>
          <w:rFonts w:ascii="Verdana" w:hAnsi="Verdana"/>
          <w:szCs w:val="20"/>
        </w:rPr>
        <w:t xml:space="preserve"> </w:t>
      </w:r>
      <w:r w:rsidR="005C3403">
        <w:rPr>
          <w:rFonts w:ascii="Verdana" w:hAnsi="Verdana"/>
          <w:szCs w:val="20"/>
        </w:rPr>
        <w:t xml:space="preserve">na </w:t>
      </w:r>
      <w:r w:rsidRPr="00F74141">
        <w:rPr>
          <w:rFonts w:ascii="Verdana" w:hAnsi="Verdana"/>
          <w:szCs w:val="20"/>
        </w:rPr>
        <w:t>reunião de diretoria da Companhia Estadual de Geração e Transmissão de Energia Elétrica – CEEE-GT (“</w:t>
      </w:r>
      <w:r w:rsidRPr="00F74141">
        <w:rPr>
          <w:rFonts w:ascii="Verdana" w:hAnsi="Verdana"/>
          <w:b/>
          <w:szCs w:val="20"/>
        </w:rPr>
        <w:t>CEEE-GT</w:t>
      </w:r>
      <w:r w:rsidRPr="00F74141">
        <w:rPr>
          <w:rFonts w:ascii="Verdana" w:hAnsi="Verdana"/>
          <w:szCs w:val="20"/>
        </w:rPr>
        <w:t xml:space="preserve">” e, quando em conjunto com Rio Sul e </w:t>
      </w:r>
      <w:proofErr w:type="spellStart"/>
      <w:r w:rsidRPr="00F74141">
        <w:rPr>
          <w:rFonts w:ascii="Verdana" w:hAnsi="Verdana"/>
          <w:szCs w:val="20"/>
        </w:rPr>
        <w:t>Wobben</w:t>
      </w:r>
      <w:proofErr w:type="spellEnd"/>
      <w:r w:rsidRPr="00F74141">
        <w:rPr>
          <w:rFonts w:ascii="Verdana" w:hAnsi="Verdana"/>
          <w:szCs w:val="20"/>
        </w:rPr>
        <w:t xml:space="preserve"> “</w:t>
      </w:r>
      <w:r w:rsidRPr="00F74141">
        <w:rPr>
          <w:rFonts w:ascii="Verdana" w:hAnsi="Verdana"/>
          <w:b/>
          <w:szCs w:val="20"/>
        </w:rPr>
        <w:t>Acionistas</w:t>
      </w:r>
      <w:r w:rsidRPr="00F74141">
        <w:rPr>
          <w:rFonts w:ascii="Verdana" w:hAnsi="Verdana"/>
          <w:szCs w:val="20"/>
        </w:rPr>
        <w:t xml:space="preserve">”) </w:t>
      </w:r>
      <w:r w:rsidR="00CD795E">
        <w:rPr>
          <w:rFonts w:ascii="Verdana" w:hAnsi="Verdana"/>
          <w:szCs w:val="20"/>
        </w:rPr>
        <w:t xml:space="preserve">a ser oportunamente </w:t>
      </w:r>
      <w:r w:rsidRPr="00F74141">
        <w:rPr>
          <w:rFonts w:ascii="Verdana" w:hAnsi="Verdana"/>
          <w:szCs w:val="20"/>
        </w:rPr>
        <w:t>realizada (“</w:t>
      </w:r>
      <w:r w:rsidRPr="00F74141">
        <w:rPr>
          <w:rFonts w:ascii="Verdana" w:hAnsi="Verdana"/>
          <w:b/>
          <w:szCs w:val="20"/>
        </w:rPr>
        <w:t>ARD CEEE-GT</w:t>
      </w:r>
      <w:r w:rsidRPr="00F74141">
        <w:rPr>
          <w:rFonts w:ascii="Verdana" w:hAnsi="Verdana"/>
          <w:szCs w:val="20"/>
        </w:rPr>
        <w:t xml:space="preserve">” e, quando em conjunto com Reunião de Sócios da Rio Sul e Reunião de Sócios da </w:t>
      </w:r>
      <w:proofErr w:type="spellStart"/>
      <w:r w:rsidRPr="00F74141">
        <w:rPr>
          <w:rFonts w:ascii="Verdana" w:hAnsi="Verdana"/>
          <w:szCs w:val="20"/>
        </w:rPr>
        <w:t>Wobben</w:t>
      </w:r>
      <w:proofErr w:type="spellEnd"/>
      <w:r w:rsidRPr="00F74141">
        <w:rPr>
          <w:rFonts w:ascii="Verdana" w:hAnsi="Verdana"/>
          <w:szCs w:val="20"/>
        </w:rPr>
        <w:t>, “</w:t>
      </w:r>
      <w:r w:rsidRPr="00F74141">
        <w:rPr>
          <w:rFonts w:ascii="Verdana" w:hAnsi="Verdana"/>
          <w:b/>
          <w:szCs w:val="20"/>
        </w:rPr>
        <w:t>Aprovações Societárias dos Acionistas</w:t>
      </w:r>
      <w:r w:rsidRPr="00F74141">
        <w:rPr>
          <w:rFonts w:ascii="Verdana" w:hAnsi="Verdana"/>
          <w:szCs w:val="20"/>
        </w:rPr>
        <w:t>”).</w:t>
      </w:r>
    </w:p>
    <w:p w:rsidR="00204B37" w:rsidRPr="00F74141" w:rsidRDefault="00706572">
      <w:pPr>
        <w:pStyle w:val="Level1"/>
        <w:keepNext w:val="0"/>
        <w:spacing w:before="240" w:after="240" w:line="320" w:lineRule="exact"/>
        <w:rPr>
          <w:rFonts w:ascii="Verdana" w:hAnsi="Verdana"/>
          <w:sz w:val="20"/>
          <w:szCs w:val="20"/>
        </w:rPr>
      </w:pPr>
      <w:bookmarkStart w:id="0" w:name="_Ref420334656"/>
      <w:r w:rsidRPr="00F74141">
        <w:rPr>
          <w:rFonts w:ascii="Verdana" w:hAnsi="Verdana"/>
          <w:sz w:val="20"/>
          <w:szCs w:val="20"/>
        </w:rPr>
        <w:t>DOS REQUISITOS</w:t>
      </w:r>
      <w:bookmarkEnd w:id="0"/>
    </w:p>
    <w:p w:rsidR="00204B37" w:rsidRPr="00F74141" w:rsidRDefault="00706572">
      <w:pPr>
        <w:pStyle w:val="Level2"/>
        <w:spacing w:before="240" w:after="240" w:line="320" w:lineRule="exact"/>
        <w:rPr>
          <w:rFonts w:ascii="Verdana" w:hAnsi="Verdana"/>
          <w:szCs w:val="20"/>
        </w:rPr>
      </w:pPr>
      <w:r w:rsidRPr="00F74141">
        <w:rPr>
          <w:rFonts w:ascii="Verdana" w:hAnsi="Verdana"/>
          <w:szCs w:val="20"/>
        </w:rPr>
        <w:t>A primeira emissão de debêntures simples, não conversíveis em ações, em até 2 (duas) séries, da espécie com garantia real (“</w:t>
      </w:r>
      <w:r w:rsidRPr="00F74141">
        <w:rPr>
          <w:rFonts w:ascii="Verdana" w:hAnsi="Verdana"/>
          <w:b/>
          <w:szCs w:val="20"/>
        </w:rPr>
        <w:t>Debêntures</w:t>
      </w:r>
      <w:r w:rsidRPr="00F74141">
        <w:rPr>
          <w:rFonts w:ascii="Verdana" w:hAnsi="Verdana"/>
          <w:szCs w:val="20"/>
        </w:rPr>
        <w:t>”), para distribuição pública, com esforços restritos de distribuição, sob regime de garantia firme de colocação, nos termos da Instrução da CVM nº 476, de 16 de janeiro de 2009, conforme alterada (“</w:t>
      </w:r>
      <w:r w:rsidRPr="00F74141">
        <w:rPr>
          <w:rFonts w:ascii="Verdana" w:hAnsi="Verdana"/>
          <w:b/>
          <w:szCs w:val="20"/>
        </w:rPr>
        <w:t>Instrução CVM 476</w:t>
      </w:r>
      <w:r w:rsidRPr="00F74141">
        <w:rPr>
          <w:rFonts w:ascii="Verdana" w:hAnsi="Verdana"/>
          <w:szCs w:val="20"/>
        </w:rPr>
        <w:t>” e “</w:t>
      </w:r>
      <w:r w:rsidRPr="00F74141">
        <w:rPr>
          <w:rFonts w:ascii="Verdana" w:hAnsi="Verdana"/>
          <w:b/>
          <w:szCs w:val="20"/>
        </w:rPr>
        <w:t>Oferta</w:t>
      </w:r>
      <w:r w:rsidRPr="00F74141">
        <w:rPr>
          <w:rFonts w:ascii="Verdana" w:hAnsi="Verdana"/>
          <w:szCs w:val="20"/>
        </w:rPr>
        <w:t>”), será realizada com observância dos requisitos abaixo indicados.</w:t>
      </w:r>
    </w:p>
    <w:p w:rsidR="00204B37" w:rsidRPr="00F74141" w:rsidRDefault="00706572">
      <w:pPr>
        <w:pStyle w:val="Level2"/>
        <w:spacing w:before="240" w:after="240" w:line="320" w:lineRule="exact"/>
        <w:rPr>
          <w:rFonts w:ascii="Verdana" w:hAnsi="Verdana"/>
          <w:b/>
          <w:szCs w:val="20"/>
        </w:rPr>
      </w:pPr>
      <w:bookmarkStart w:id="1" w:name="_Ref420337216"/>
      <w:r w:rsidRPr="00F74141">
        <w:rPr>
          <w:rFonts w:ascii="Verdana" w:hAnsi="Verdana"/>
          <w:b/>
          <w:szCs w:val="20"/>
        </w:rPr>
        <w:t>Arquivamento e Publicação das Deliberações Societária</w:t>
      </w:r>
      <w:bookmarkEnd w:id="1"/>
      <w:r w:rsidRPr="00F74141">
        <w:rPr>
          <w:rFonts w:ascii="Verdana" w:hAnsi="Verdana"/>
          <w:b/>
          <w:szCs w:val="20"/>
        </w:rPr>
        <w:t>s</w:t>
      </w:r>
    </w:p>
    <w:p w:rsidR="00204B37" w:rsidRPr="00F74141" w:rsidRDefault="00706572">
      <w:pPr>
        <w:pStyle w:val="Level3"/>
        <w:spacing w:before="240" w:after="240" w:line="320" w:lineRule="exact"/>
        <w:rPr>
          <w:rFonts w:ascii="Verdana" w:hAnsi="Verdana"/>
          <w:b/>
          <w:szCs w:val="20"/>
        </w:rPr>
      </w:pPr>
      <w:r w:rsidRPr="00F74141">
        <w:rPr>
          <w:rFonts w:ascii="Verdana" w:hAnsi="Verdana"/>
          <w:szCs w:val="20"/>
        </w:rPr>
        <w:t>Nos termos do artigo 62, I, da Lei das Sociedades por Ações, as atas das Aprovações Societárias da Emissora serão registradas na JUCISRS e a ata da AGE da Emissora será publicada no Diário Oficial do Estado do Rio Grande do Sul (“</w:t>
      </w:r>
      <w:r w:rsidRPr="00F74141">
        <w:rPr>
          <w:rFonts w:ascii="Verdana" w:hAnsi="Verdana"/>
          <w:b/>
          <w:szCs w:val="20"/>
        </w:rPr>
        <w:t>DOE</w:t>
      </w:r>
      <w:r w:rsidRPr="00F74141">
        <w:rPr>
          <w:rFonts w:ascii="Verdana" w:hAnsi="Verdana"/>
          <w:szCs w:val="20"/>
        </w:rPr>
        <w:t>”) e no Jornal do Comércio (“</w:t>
      </w:r>
      <w:r w:rsidRPr="00F74141">
        <w:rPr>
          <w:rFonts w:ascii="Verdana" w:hAnsi="Verdana"/>
          <w:b/>
          <w:szCs w:val="20"/>
        </w:rPr>
        <w:t>Jornais de Publicação</w:t>
      </w:r>
      <w:r w:rsidRPr="00F74141">
        <w:rPr>
          <w:rFonts w:ascii="Verdana" w:hAnsi="Verdana"/>
          <w:szCs w:val="20"/>
        </w:rPr>
        <w:t>”).</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A ata da (i) Reunião de Sócios da Rio Sul será registrada na JUCISRS; e (</w:t>
      </w:r>
      <w:proofErr w:type="spellStart"/>
      <w:r w:rsidRPr="00F74141">
        <w:rPr>
          <w:rFonts w:ascii="Verdana" w:hAnsi="Verdana"/>
          <w:szCs w:val="20"/>
        </w:rPr>
        <w:t>ii</w:t>
      </w:r>
      <w:proofErr w:type="spellEnd"/>
      <w:r w:rsidRPr="00F74141">
        <w:rPr>
          <w:rFonts w:ascii="Verdana" w:hAnsi="Verdana"/>
          <w:szCs w:val="20"/>
        </w:rPr>
        <w:t xml:space="preserve">) Reunião de Sócio da </w:t>
      </w:r>
      <w:proofErr w:type="spellStart"/>
      <w:r w:rsidRPr="00F74141">
        <w:rPr>
          <w:rFonts w:ascii="Verdana" w:hAnsi="Verdana"/>
          <w:szCs w:val="20"/>
        </w:rPr>
        <w:t>Wobben</w:t>
      </w:r>
      <w:proofErr w:type="spellEnd"/>
      <w:r w:rsidRPr="00F74141">
        <w:rPr>
          <w:rFonts w:ascii="Verdana" w:hAnsi="Verdana"/>
          <w:szCs w:val="20"/>
        </w:rPr>
        <w:t xml:space="preserve"> será registrada na </w:t>
      </w:r>
      <w:r w:rsidRPr="00F74141">
        <w:rPr>
          <w:rFonts w:ascii="Verdana" w:hAnsi="Verdana"/>
        </w:rPr>
        <w:t>Junta Comercial do Estado de São Paulo (“</w:t>
      </w:r>
      <w:r w:rsidRPr="00F74141">
        <w:rPr>
          <w:rFonts w:ascii="Verdana" w:hAnsi="Verdana"/>
          <w:b/>
        </w:rPr>
        <w:t>JUCESP</w:t>
      </w:r>
      <w:r w:rsidRPr="00F74141">
        <w:rPr>
          <w:rFonts w:ascii="Verdana" w:hAnsi="Verdana"/>
        </w:rPr>
        <w:t>”)</w:t>
      </w:r>
      <w:r w:rsidRPr="00F74141">
        <w:rPr>
          <w:rFonts w:ascii="Verdana" w:hAnsi="Verdana"/>
          <w:szCs w:val="20"/>
        </w:rPr>
        <w:t>.</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Inscrição da Escritura de Emissão na Junta Comercial e dos Contratos de Garantias nos cartórios competentes.</w:t>
      </w:r>
    </w:p>
    <w:p w:rsidR="00204B37" w:rsidRPr="00F74141" w:rsidRDefault="00706572">
      <w:pPr>
        <w:pStyle w:val="Level3"/>
        <w:spacing w:before="240" w:after="240" w:line="320" w:lineRule="exact"/>
        <w:ind w:left="1360" w:hanging="680"/>
        <w:rPr>
          <w:rFonts w:ascii="Verdana" w:hAnsi="Verdana"/>
          <w:szCs w:val="20"/>
        </w:rPr>
      </w:pPr>
      <w:r w:rsidRPr="00F74141">
        <w:rPr>
          <w:rFonts w:ascii="Verdana" w:hAnsi="Verdana"/>
          <w:szCs w:val="20"/>
        </w:rPr>
        <w:t xml:space="preserve">Esta Escritura de Emissão e seus eventuais aditamentos serão inscritos na JUCISRS, conforme disposto no artigo 62, II e parágrafo 3º, da Lei das Sociedades por Ações. Sem prejuízo do disposto na Cláusula </w:t>
      </w:r>
      <w:r w:rsidRPr="00F74141">
        <w:rPr>
          <w:rFonts w:ascii="Verdana" w:hAnsi="Verdana"/>
          <w:szCs w:val="20"/>
        </w:rPr>
        <w:fldChar w:fldCharType="begin"/>
      </w:r>
      <w:r w:rsidRPr="00F74141">
        <w:rPr>
          <w:rFonts w:ascii="Verdana" w:hAnsi="Verdana"/>
          <w:szCs w:val="20"/>
        </w:rPr>
        <w:instrText xml:space="preserve"> REF _Ref420594999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7.1</w:t>
      </w:r>
      <w:r w:rsidRPr="00F74141">
        <w:rPr>
          <w:rFonts w:ascii="Verdana" w:hAnsi="Verdana"/>
          <w:szCs w:val="20"/>
        </w:rPr>
        <w:fldChar w:fldCharType="end"/>
      </w:r>
      <w:r w:rsidRPr="00F74141">
        <w:rPr>
          <w:rFonts w:ascii="Verdana" w:hAnsi="Verdana"/>
          <w:szCs w:val="20"/>
        </w:rPr>
        <w:t xml:space="preserve">(i) abaixo, 1 (uma) via original desta Escritura de Emissão e de eventuais aditamentos arquivados na JUCISRS deverá ser enviada pela Emissora ao Agente Fiduciário na forma e conforme prazos estabelecidos na Cláusula </w:t>
      </w:r>
      <w:r w:rsidRPr="00F74141">
        <w:rPr>
          <w:rFonts w:ascii="Verdana" w:hAnsi="Verdana"/>
          <w:szCs w:val="20"/>
        </w:rPr>
        <w:fldChar w:fldCharType="begin"/>
      </w:r>
      <w:r w:rsidRPr="00F74141">
        <w:rPr>
          <w:rFonts w:ascii="Verdana" w:hAnsi="Verdana"/>
          <w:szCs w:val="20"/>
        </w:rPr>
        <w:instrText xml:space="preserve"> REF _Ref474777204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7.1(h)</w:t>
      </w:r>
      <w:r w:rsidRPr="00F74141">
        <w:rPr>
          <w:rFonts w:ascii="Verdana" w:hAnsi="Verdana"/>
          <w:szCs w:val="20"/>
        </w:rPr>
        <w:fldChar w:fldCharType="end"/>
      </w:r>
      <w:r w:rsidRPr="00F74141">
        <w:rPr>
          <w:rFonts w:ascii="Verdana" w:hAnsi="Verdana"/>
          <w:szCs w:val="20"/>
        </w:rPr>
        <w:t>.</w:t>
      </w:r>
    </w:p>
    <w:p w:rsidR="00204B37" w:rsidRPr="00F74141" w:rsidRDefault="00706572">
      <w:pPr>
        <w:pStyle w:val="Level3"/>
        <w:spacing w:before="240" w:after="240" w:line="320" w:lineRule="exact"/>
        <w:ind w:left="1360" w:hanging="680"/>
        <w:rPr>
          <w:rFonts w:ascii="Verdana" w:hAnsi="Verdana"/>
          <w:szCs w:val="20"/>
        </w:rPr>
      </w:pPr>
      <w:r w:rsidRPr="00F74141">
        <w:rPr>
          <w:rFonts w:ascii="Verdana" w:hAnsi="Verdana"/>
          <w:szCs w:val="20"/>
        </w:rPr>
        <w:t>Os Contratos de Garantias (conforme abaixo definidos), assim como quaisquer aditamentos subsequentes aos referidos instrumentos, serão celebrados, contratados e levados a registro nos competentes Cartórios de Registro de Títulos e Documentos, conforme aplicável e indicado nos respectivos instrumentos, sendo certo que os registros de que trata este item serão realizados no prazo determinado nos respectivos instrumentos, devendo ser fornecida ao Agente Fiduciário 1 (uma) via original dos respectivos instrumentos, devidamente registrados nos cartórios competentes, no prazo de até 5 (cinco) dias contados da data do último registro.</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Dispensa de Registro na CVM e Registro na Associação Brasileira das Entidades dos Mercados Financeiro e de Capitais</w:t>
      </w:r>
    </w:p>
    <w:p w:rsidR="00204B37" w:rsidRPr="00F74141" w:rsidRDefault="00706572">
      <w:pPr>
        <w:pStyle w:val="Level3"/>
        <w:spacing w:before="240" w:after="240" w:line="320" w:lineRule="exact"/>
        <w:ind w:left="1360" w:hanging="680"/>
        <w:rPr>
          <w:rFonts w:ascii="Verdana" w:hAnsi="Verdana"/>
          <w:szCs w:val="20"/>
        </w:rPr>
      </w:pPr>
      <w:bookmarkStart w:id="2" w:name="_DV_M27"/>
      <w:bookmarkStart w:id="3" w:name="_DV_M28"/>
      <w:bookmarkStart w:id="4" w:name="_DV_M29"/>
      <w:bookmarkEnd w:id="2"/>
      <w:bookmarkEnd w:id="3"/>
      <w:bookmarkEnd w:id="4"/>
      <w:r w:rsidRPr="00F74141">
        <w:rPr>
          <w:rFonts w:ascii="Verdana" w:hAnsi="Verdana"/>
          <w:szCs w:val="20"/>
        </w:rPr>
        <w:t>A Oferta será realizada nos termos da Instrução CVM 476 e das demais disposições legais e regulamentares aplicáveis, estando, portanto, nos termos do artigo 6º da Instrução CVM 476, automaticamente dispensada do registro de distribuição de que trata o artigo 19 da Lei nº 6.385, de 7 de dezembro de 1976, conforme alterada.</w:t>
      </w:r>
    </w:p>
    <w:p w:rsidR="00204B37" w:rsidRPr="00F74141" w:rsidRDefault="00706572">
      <w:pPr>
        <w:pStyle w:val="Level3"/>
        <w:spacing w:before="240" w:after="240" w:line="320" w:lineRule="exact"/>
        <w:ind w:left="1360" w:hanging="680"/>
        <w:rPr>
          <w:rFonts w:ascii="Verdana" w:hAnsi="Verdana"/>
          <w:szCs w:val="20"/>
        </w:rPr>
      </w:pPr>
      <w:r w:rsidRPr="00F74141">
        <w:rPr>
          <w:rFonts w:ascii="Verdana" w:hAnsi="Verdana"/>
          <w:szCs w:val="20"/>
        </w:rPr>
        <w:t>Nos termos do artigo 16 e seguintes do “</w:t>
      </w:r>
      <w:r w:rsidRPr="00F74141">
        <w:rPr>
          <w:rFonts w:ascii="Verdana" w:hAnsi="Verdana"/>
          <w:i/>
          <w:iCs/>
          <w:szCs w:val="20"/>
        </w:rPr>
        <w:t>Código ANBIMA de Regulação e Melhores Práticas para Estruturação, Coordenação e Distribuição de Ofertas Públicas de Valores Mobiliários e Ofertas Públicas de Aquisição de Valores Mobiliários</w:t>
      </w:r>
      <w:r w:rsidRPr="00F74141">
        <w:rPr>
          <w:rFonts w:ascii="Verdana" w:hAnsi="Verdana"/>
          <w:szCs w:val="20"/>
        </w:rPr>
        <w:t>”, em vigor desde 3 de junho de 2019 (“</w:t>
      </w:r>
      <w:r w:rsidRPr="00F74141">
        <w:rPr>
          <w:rFonts w:ascii="Verdana" w:hAnsi="Verdana"/>
          <w:b/>
          <w:szCs w:val="20"/>
        </w:rPr>
        <w:t>Código ANBIMA</w:t>
      </w:r>
      <w:r w:rsidRPr="00F74141">
        <w:rPr>
          <w:rFonts w:ascii="Verdana" w:hAnsi="Verdana"/>
          <w:szCs w:val="20"/>
        </w:rPr>
        <w:t>”), por se tratar de oferta pública de debêntures, com esforços restritos de distribuição, esta Oferta está sujeita ao registro na ANBIMA – Associação Brasileira das Entidades dos Mercados Financeiro e de Capitais (“</w:t>
      </w:r>
      <w:r w:rsidRPr="00F74141">
        <w:rPr>
          <w:rFonts w:ascii="Verdana" w:hAnsi="Verdana"/>
          <w:b/>
          <w:szCs w:val="20"/>
        </w:rPr>
        <w:t>ANBIMA</w:t>
      </w:r>
      <w:r w:rsidRPr="00F74141">
        <w:rPr>
          <w:rFonts w:ascii="Verdana" w:hAnsi="Verdana"/>
          <w:szCs w:val="20"/>
        </w:rPr>
        <w:t>”).</w:t>
      </w:r>
    </w:p>
    <w:p w:rsidR="00204B37" w:rsidRPr="00F74141" w:rsidRDefault="00706572">
      <w:pPr>
        <w:pStyle w:val="Level2"/>
        <w:spacing w:before="240" w:after="240" w:line="320" w:lineRule="exact"/>
        <w:rPr>
          <w:rFonts w:ascii="Verdana" w:hAnsi="Verdana"/>
          <w:b/>
          <w:szCs w:val="20"/>
        </w:rPr>
      </w:pPr>
      <w:proofErr w:type="gramStart"/>
      <w:r w:rsidRPr="00F74141">
        <w:rPr>
          <w:rFonts w:ascii="Verdana" w:hAnsi="Verdana"/>
          <w:b/>
          <w:szCs w:val="20"/>
        </w:rPr>
        <w:t>Distribuição, Negociação e Custódia Eletrônica</w:t>
      </w:r>
      <w:proofErr w:type="gramEnd"/>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As Debêntures serão depositadas para:</w:t>
      </w:r>
    </w:p>
    <w:p w:rsidR="00204B37" w:rsidRPr="00F74141" w:rsidRDefault="00706572">
      <w:pPr>
        <w:pStyle w:val="Level4"/>
        <w:numPr>
          <w:ilvl w:val="3"/>
          <w:numId w:val="10"/>
        </w:numPr>
        <w:tabs>
          <w:tab w:val="clear" w:pos="3941"/>
          <w:tab w:val="num" w:pos="3261"/>
        </w:tabs>
        <w:spacing w:before="240" w:after="240" w:line="320" w:lineRule="exact"/>
        <w:ind w:left="1418" w:hanging="709"/>
        <w:rPr>
          <w:rFonts w:ascii="Verdana" w:hAnsi="Verdana"/>
          <w:szCs w:val="20"/>
        </w:rPr>
      </w:pPr>
      <w:r w:rsidRPr="00F74141">
        <w:rPr>
          <w:rFonts w:ascii="Verdana" w:hAnsi="Verdana"/>
          <w:szCs w:val="20"/>
        </w:rPr>
        <w:t>distribuição no mercado primário por meio do MDA – Módulo de Distribuição de Ativos (“</w:t>
      </w:r>
      <w:r w:rsidRPr="00F74141">
        <w:rPr>
          <w:rFonts w:ascii="Verdana" w:hAnsi="Verdana"/>
          <w:b/>
          <w:szCs w:val="20"/>
        </w:rPr>
        <w:t>MDA</w:t>
      </w:r>
      <w:r w:rsidRPr="00F74141">
        <w:rPr>
          <w:rFonts w:ascii="Verdana" w:hAnsi="Verdana"/>
          <w:szCs w:val="20"/>
        </w:rPr>
        <w:t>”), administrado e operacionalizado pela B3 S.A. – Brasil, Bolsa, Balcão – Segmento CETIP UTVM (“</w:t>
      </w:r>
      <w:r w:rsidRPr="00F74141">
        <w:rPr>
          <w:rFonts w:ascii="Verdana" w:hAnsi="Verdana"/>
          <w:b/>
          <w:szCs w:val="20"/>
        </w:rPr>
        <w:t>B3</w:t>
      </w:r>
      <w:r w:rsidRPr="00F74141">
        <w:rPr>
          <w:rFonts w:ascii="Verdana" w:hAnsi="Verdana"/>
          <w:szCs w:val="20"/>
        </w:rPr>
        <w:t>”), sendo a distribuição liquidada financeiramente por meio da B3; e</w:t>
      </w:r>
    </w:p>
    <w:p w:rsidR="00204B37" w:rsidRPr="00F74141" w:rsidRDefault="00706572">
      <w:pPr>
        <w:pStyle w:val="Level4"/>
        <w:numPr>
          <w:ilvl w:val="3"/>
          <w:numId w:val="10"/>
        </w:numPr>
        <w:tabs>
          <w:tab w:val="clear" w:pos="3941"/>
          <w:tab w:val="num" w:pos="3261"/>
        </w:tabs>
        <w:spacing w:before="240" w:after="240" w:line="320" w:lineRule="exact"/>
        <w:ind w:left="1418" w:hanging="709"/>
        <w:rPr>
          <w:rFonts w:ascii="Verdana" w:hAnsi="Verdana"/>
          <w:szCs w:val="20"/>
        </w:rPr>
      </w:pPr>
      <w:r w:rsidRPr="00F74141">
        <w:rPr>
          <w:rFonts w:ascii="Verdana" w:hAnsi="Verdana"/>
          <w:szCs w:val="20"/>
        </w:rPr>
        <w:t>negociação no mercado secundário por meio do CETIP21 – Títulos e Valores Mobiliários (“</w:t>
      </w:r>
      <w:r w:rsidRPr="00F74141">
        <w:rPr>
          <w:rFonts w:ascii="Verdana" w:hAnsi="Verdana"/>
          <w:b/>
          <w:szCs w:val="20"/>
        </w:rPr>
        <w:t>CETIP21</w:t>
      </w:r>
      <w:r w:rsidRPr="00F74141">
        <w:rPr>
          <w:rFonts w:ascii="Verdana" w:hAnsi="Verdana"/>
          <w:szCs w:val="20"/>
        </w:rPr>
        <w:t>”), administrado e operacionalizado pela B3, sendo as negociações liquidadas financeiramente e as Debêntures custodiadas eletronicamente na B3.</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Não obstante o acima exposto, as Debêntures somente poderão ser negociadas no mercado secundário entre Investidores Qualificados (conforme abaixo definidos) depois de decorridos 90 (noventa) dias contados de cada subscrição ou aquisição pelos Investidores Profissionais (conforme abaixo definidos), exceto no lote objeto de eventual exercício da garantia firme pelo Coordenador Líder (conforme abaixo definido), nos termos dos artigos 13 e 15 da Instrução CVM 476 e observado o cumprimento pela Emissora das obrigações previstas no artigo 17 da Instrução CVM 476.</w:t>
      </w:r>
    </w:p>
    <w:p w:rsidR="00204B37" w:rsidRPr="00F74141" w:rsidRDefault="00706572">
      <w:pPr>
        <w:pStyle w:val="Level1"/>
        <w:spacing w:before="240" w:after="240" w:line="320" w:lineRule="exact"/>
        <w:rPr>
          <w:rFonts w:ascii="Verdana" w:hAnsi="Verdana"/>
          <w:sz w:val="20"/>
          <w:szCs w:val="20"/>
        </w:rPr>
      </w:pPr>
      <w:r w:rsidRPr="00F74141">
        <w:rPr>
          <w:rFonts w:ascii="Verdana" w:hAnsi="Verdana"/>
          <w:sz w:val="20"/>
          <w:szCs w:val="20"/>
        </w:rPr>
        <w:t>DAS CARACTERÍSTICAS DA OFERTA</w:t>
      </w:r>
    </w:p>
    <w:p w:rsidR="00204B37" w:rsidRPr="00F74141" w:rsidRDefault="00706572">
      <w:pPr>
        <w:pStyle w:val="Level2"/>
        <w:keepNext/>
        <w:spacing w:before="240" w:after="240" w:line="320" w:lineRule="exact"/>
        <w:rPr>
          <w:rFonts w:ascii="Verdana" w:hAnsi="Verdana"/>
          <w:b/>
          <w:szCs w:val="20"/>
        </w:rPr>
      </w:pPr>
      <w:r w:rsidRPr="00F74141">
        <w:rPr>
          <w:rFonts w:ascii="Verdana" w:hAnsi="Verdana"/>
          <w:b/>
          <w:szCs w:val="20"/>
        </w:rPr>
        <w:t>Objeto Social da Emissora</w:t>
      </w:r>
    </w:p>
    <w:p w:rsidR="00204B37" w:rsidRPr="00F74141" w:rsidRDefault="00706572">
      <w:pPr>
        <w:pStyle w:val="Level3"/>
        <w:spacing w:before="240" w:after="240" w:line="320" w:lineRule="exact"/>
        <w:ind w:left="1360" w:hanging="680"/>
        <w:rPr>
          <w:rFonts w:ascii="Verdana" w:hAnsi="Verdana"/>
          <w:szCs w:val="20"/>
        </w:rPr>
      </w:pPr>
      <w:r w:rsidRPr="00F74141">
        <w:rPr>
          <w:rFonts w:ascii="Verdana" w:hAnsi="Verdana"/>
          <w:szCs w:val="20"/>
        </w:rPr>
        <w:t>A Emissora tem por objeto social a geração, transmissão e distribuição de energia elétrica proveniente de fonte eólica para fins de comércio em caráter permanente, como produtor independente de energia, sem constituir-se em empresa concessionária de serviço público, energia essa que será gerada através dos parques eólicos situados nos municípios de Osório (“</w:t>
      </w:r>
      <w:r w:rsidRPr="00F74141">
        <w:rPr>
          <w:rFonts w:ascii="Verdana" w:hAnsi="Verdana"/>
          <w:b/>
          <w:szCs w:val="20"/>
        </w:rPr>
        <w:t>Projetos</w:t>
      </w:r>
      <w:r w:rsidRPr="00F74141">
        <w:rPr>
          <w:rFonts w:ascii="Verdana" w:hAnsi="Verdana"/>
          <w:szCs w:val="20"/>
        </w:rPr>
        <w:t xml:space="preserve">”) e Palmares do Sul, RS, inclusive no âmbito do Programa de Incentivo às Fontes Alternativas de Energia Elétrica - </w:t>
      </w:r>
      <w:proofErr w:type="spellStart"/>
      <w:r w:rsidRPr="00F74141">
        <w:rPr>
          <w:rFonts w:ascii="Verdana" w:hAnsi="Verdana"/>
          <w:szCs w:val="20"/>
        </w:rPr>
        <w:t>Proinfa</w:t>
      </w:r>
      <w:proofErr w:type="spellEnd"/>
      <w:r w:rsidRPr="00F74141">
        <w:rPr>
          <w:rFonts w:ascii="Verdana" w:hAnsi="Verdana"/>
          <w:szCs w:val="20"/>
        </w:rPr>
        <w:t xml:space="preserve"> ou de outros programas que venham a ser criados para incentivar a implantação de empreendimento no setor de energia elétrica de fonte eólica.</w:t>
      </w:r>
    </w:p>
    <w:p w:rsidR="00204B37" w:rsidRPr="00F74141" w:rsidRDefault="00706572">
      <w:pPr>
        <w:pStyle w:val="Level2"/>
        <w:spacing w:before="240" w:after="240" w:line="320" w:lineRule="exact"/>
        <w:rPr>
          <w:rFonts w:ascii="Verdana" w:hAnsi="Verdana"/>
          <w:b/>
          <w:szCs w:val="20"/>
        </w:rPr>
      </w:pPr>
      <w:bookmarkStart w:id="5" w:name="_Ref420335525"/>
      <w:r w:rsidRPr="00F74141">
        <w:rPr>
          <w:rFonts w:ascii="Verdana" w:hAnsi="Verdana"/>
          <w:b/>
          <w:szCs w:val="20"/>
        </w:rPr>
        <w:t>Destinação dos Recursos</w:t>
      </w:r>
      <w:bookmarkEnd w:id="5"/>
    </w:p>
    <w:p w:rsidR="00204B37" w:rsidRPr="00F74141" w:rsidRDefault="00706572">
      <w:pPr>
        <w:pStyle w:val="Level3"/>
        <w:spacing w:before="240" w:after="240" w:line="320" w:lineRule="exact"/>
        <w:ind w:left="1360" w:hanging="680"/>
        <w:rPr>
          <w:rFonts w:ascii="Verdana" w:hAnsi="Verdana"/>
          <w:szCs w:val="20"/>
        </w:rPr>
      </w:pPr>
      <w:bookmarkStart w:id="6" w:name="_Ref10107327"/>
      <w:r w:rsidRPr="00F74141">
        <w:rPr>
          <w:rFonts w:ascii="Verdana" w:hAnsi="Verdana"/>
          <w:szCs w:val="20"/>
        </w:rPr>
        <w:t>Os recursos captados com a Oferta serão totalmente destinados à liquidação integral de todo e qualquer passivo financeiro da Emissora, sendo a diferença positiva destinada à recomposição do caixa da Emissora para condução das atividades da Emissora.</w:t>
      </w:r>
      <w:bookmarkEnd w:id="6"/>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Colocação das Debêntures</w:t>
      </w:r>
    </w:p>
    <w:p w:rsidR="00204B37" w:rsidRPr="00F74141" w:rsidRDefault="00706572">
      <w:pPr>
        <w:pStyle w:val="Level3"/>
        <w:spacing w:before="240" w:after="240" w:line="320" w:lineRule="exact"/>
        <w:ind w:left="1360" w:hanging="680"/>
        <w:rPr>
          <w:rFonts w:ascii="Verdana" w:hAnsi="Verdana"/>
          <w:szCs w:val="20"/>
        </w:rPr>
      </w:pPr>
      <w:bookmarkStart w:id="7" w:name="_Ref490410923"/>
      <w:r w:rsidRPr="00F74141">
        <w:rPr>
          <w:rFonts w:ascii="Verdana" w:hAnsi="Verdana"/>
          <w:szCs w:val="20"/>
        </w:rPr>
        <w:t>As Debêntures serão objeto de distribuição pública, com esforços restritos de distribuição, nos termos da Instrução CVM 476, sob o regime de garantia firme de colocação, para o Valor Total da Emissão (conforme abaixo definido), com a intermediação de instituição financeira autorizada a operar no sistema de distribuição de valores mobiliários que atuará na qualidade de coordenador líder (“</w:t>
      </w:r>
      <w:r w:rsidRPr="00F74141">
        <w:rPr>
          <w:rFonts w:ascii="Verdana" w:hAnsi="Verdana"/>
          <w:b/>
          <w:szCs w:val="20"/>
        </w:rPr>
        <w:t>Coordenador Líder</w:t>
      </w:r>
      <w:r w:rsidRPr="00F74141">
        <w:rPr>
          <w:rFonts w:ascii="Verdana" w:hAnsi="Verdana"/>
          <w:szCs w:val="20"/>
        </w:rPr>
        <w:t>”), nos termos do “</w:t>
      </w:r>
      <w:r w:rsidRPr="00F74141">
        <w:rPr>
          <w:rFonts w:ascii="Verdana" w:hAnsi="Verdana"/>
          <w:i/>
          <w:szCs w:val="20"/>
        </w:rPr>
        <w:t>Contrato de Coordenação, Estruturação e Distribuição Pública, com Esforços Restritos, sob o Regime de Garantia Firme de Colocação, de Debêntures Simples, Não Conversíveis em Ações, em até 2 (duas) Séries, da Espécie com Garantia Real, da 1ª (Primeira) Emissão da Ventos do Sul Energia S.A.</w:t>
      </w:r>
      <w:r w:rsidRPr="00F74141">
        <w:rPr>
          <w:rFonts w:ascii="Verdana" w:hAnsi="Verdana"/>
          <w:szCs w:val="20"/>
        </w:rPr>
        <w:t>”, a ser celebrado entre a Emissora e o Coordenador Líder (“</w:t>
      </w:r>
      <w:r w:rsidRPr="00F74141">
        <w:rPr>
          <w:rFonts w:ascii="Verdana" w:hAnsi="Verdana"/>
          <w:b/>
          <w:szCs w:val="20"/>
        </w:rPr>
        <w:t>Contrato de Distribuição</w:t>
      </w:r>
      <w:r w:rsidRPr="00F74141">
        <w:rPr>
          <w:rFonts w:ascii="Verdana" w:hAnsi="Verdana"/>
          <w:szCs w:val="20"/>
        </w:rPr>
        <w:t>”).</w:t>
      </w:r>
    </w:p>
    <w:p w:rsidR="00204B37" w:rsidRPr="00F74141" w:rsidRDefault="00706572">
      <w:pPr>
        <w:pStyle w:val="Level3"/>
        <w:spacing w:before="240" w:after="240" w:line="320" w:lineRule="exact"/>
        <w:ind w:left="1360" w:hanging="680"/>
        <w:rPr>
          <w:rFonts w:ascii="Verdana" w:hAnsi="Verdana"/>
          <w:szCs w:val="20"/>
        </w:rPr>
      </w:pPr>
      <w:bookmarkStart w:id="8" w:name="_Ref521949198"/>
      <w:r w:rsidRPr="00F74141">
        <w:rPr>
          <w:rFonts w:ascii="Verdana" w:hAnsi="Verdana"/>
          <w:szCs w:val="20"/>
        </w:rPr>
        <w:t>Observado o disposto no artigo 3º da Instrução CVM 476, será adotado o procedimento de coleta de intenções de investimento, organizado pelo Coordenador Líder, nos termos do artigo 23 e do artigo 44, ambos da Instrução CVM 400, sem lotes mínimos ou máximos, para definição, em conjunto com a Emissora (i) da quantidade de séries a ser emitida e a quantidade de Debêntures em cada série; e (</w:t>
      </w:r>
      <w:proofErr w:type="spellStart"/>
      <w:r w:rsidRPr="00F74141">
        <w:rPr>
          <w:rFonts w:ascii="Verdana" w:hAnsi="Verdana"/>
          <w:szCs w:val="20"/>
        </w:rPr>
        <w:t>ii</w:t>
      </w:r>
      <w:proofErr w:type="spellEnd"/>
      <w:r w:rsidRPr="00F74141">
        <w:rPr>
          <w:rFonts w:ascii="Verdana" w:hAnsi="Verdana"/>
          <w:szCs w:val="20"/>
        </w:rPr>
        <w:t>) da demanda das Debêntures em diferentes níveis de taxas de juros, de forma a definir os Juros Remuneratórios (conforme definido abaixo), observado o limite indicado na Cláusula 4.23 abaixo (“</w:t>
      </w:r>
      <w:r w:rsidRPr="00F74141">
        <w:rPr>
          <w:rFonts w:ascii="Verdana" w:hAnsi="Verdana"/>
          <w:b/>
          <w:szCs w:val="20"/>
        </w:rPr>
        <w:t xml:space="preserve">Procedimento de </w:t>
      </w:r>
      <w:proofErr w:type="spellStart"/>
      <w:r w:rsidRPr="00F74141">
        <w:rPr>
          <w:rFonts w:ascii="Verdana" w:hAnsi="Verdana"/>
          <w:b/>
          <w:i/>
          <w:szCs w:val="20"/>
        </w:rPr>
        <w:t>Bookbuilding</w:t>
      </w:r>
      <w:proofErr w:type="spellEnd"/>
      <w:r w:rsidRPr="00F74141">
        <w:rPr>
          <w:rFonts w:ascii="Verdana" w:hAnsi="Verdana"/>
          <w:szCs w:val="20"/>
        </w:rPr>
        <w:t>”).</w:t>
      </w:r>
      <w:bookmarkEnd w:id="8"/>
    </w:p>
    <w:p w:rsidR="00204B37" w:rsidRPr="00F74141" w:rsidRDefault="00706572">
      <w:pPr>
        <w:pStyle w:val="Level3"/>
        <w:spacing w:before="240" w:after="240" w:line="320" w:lineRule="exact"/>
        <w:ind w:left="1360" w:hanging="680"/>
        <w:rPr>
          <w:rFonts w:ascii="Verdana" w:hAnsi="Verdana"/>
          <w:szCs w:val="20"/>
        </w:rPr>
      </w:pPr>
      <w:r w:rsidRPr="00F74141">
        <w:rPr>
          <w:rFonts w:ascii="Verdana" w:hAnsi="Verdana"/>
          <w:szCs w:val="20"/>
        </w:rPr>
        <w:t xml:space="preserve">Após a realização do Procedimento de </w:t>
      </w:r>
      <w:proofErr w:type="spellStart"/>
      <w:r w:rsidRPr="00F74141">
        <w:rPr>
          <w:rFonts w:ascii="Verdana" w:hAnsi="Verdana"/>
          <w:i/>
          <w:szCs w:val="20"/>
        </w:rPr>
        <w:t>Bookbuilding</w:t>
      </w:r>
      <w:proofErr w:type="spellEnd"/>
      <w:r w:rsidRPr="00F74141">
        <w:rPr>
          <w:rFonts w:ascii="Verdana" w:hAnsi="Verdana"/>
          <w:szCs w:val="20"/>
        </w:rPr>
        <w:t>, a Escritura de Emissão será aditada para definir a quantidade de séries emitida, a quantidade de Debêntures em cada série, bem como os Juros Remuneratórios aplicáveis. Não será necessária a prévia aprovação societária da Emissora, bem como a realização de Assembleia Geral de Debenturistas (conforme definido abaixo) para aprovação do referido aditamento, estando desde já a Emissora e o Agente Fiduciário autorizados e obrigados a celebrar tal aditamento.</w:t>
      </w:r>
    </w:p>
    <w:bookmarkEnd w:id="7"/>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O plano de distribuição será organizado pelo Coordenador Líder e seguirá os procedimentos descritos na Instrução CVM 476 e no Contrato de Distribuição, tendo como público alvo exclusivamente Investidores Profissionais (conforme abaixo definidos). Para tanto, o Coordenador Líder poderá acessar, no máximo, 75 (setenta e cinco) Investidores Profissionais, sendo possível a subscrição ou aquisição de Debêntures por, no máximo, 50 (cinquenta) Investidores Profissionais, nos termos do artigo 3º, incisos I e II, da Instrução CVM 476, sendo certo que fundos de investimento e carteiras administradas de valores mobiliários cujas decisões de investimento sejam tomadas pelo mesmo gestor serão considerados como um único investidor para os fins dos limites acima.</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Para os fins desta Escritura de Emissão e nos termos da Instrução CVM 476, entende-se por “</w:t>
      </w:r>
      <w:r w:rsidRPr="00F74141">
        <w:rPr>
          <w:rFonts w:ascii="Verdana" w:hAnsi="Verdana"/>
          <w:b/>
          <w:szCs w:val="20"/>
        </w:rPr>
        <w:t>Investidores Profissionais</w:t>
      </w:r>
      <w:r w:rsidRPr="00F74141">
        <w:rPr>
          <w:rFonts w:ascii="Verdana" w:hAnsi="Verdana"/>
          <w:szCs w:val="20"/>
        </w:rPr>
        <w:t>” aqueles investidores referidos no artigo 9º-A da Instrução da CVM nº 539, de 13 de novembro de 2013, conforme alterada (“</w:t>
      </w:r>
      <w:r w:rsidRPr="00F74141">
        <w:rPr>
          <w:rFonts w:ascii="Verdana" w:hAnsi="Verdana"/>
          <w:b/>
          <w:szCs w:val="20"/>
        </w:rPr>
        <w:t>Instrução CVM 539</w:t>
      </w:r>
      <w:r w:rsidRPr="00F74141">
        <w:rPr>
          <w:rFonts w:ascii="Verdana" w:hAnsi="Verdana"/>
          <w:szCs w:val="20"/>
        </w:rPr>
        <w:t>”) e “</w:t>
      </w:r>
      <w:r w:rsidRPr="00F74141">
        <w:rPr>
          <w:rFonts w:ascii="Verdana" w:hAnsi="Verdana"/>
          <w:b/>
          <w:szCs w:val="20"/>
        </w:rPr>
        <w:t>Investidores Qualificados</w:t>
      </w:r>
      <w:r w:rsidRPr="00F74141">
        <w:rPr>
          <w:rFonts w:ascii="Verdana" w:hAnsi="Verdana"/>
          <w:szCs w:val="20"/>
        </w:rPr>
        <w:t>” aqueles investidores referidos no artigo 9º-B da Instrução CVM 539.</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As Partes comprometem-se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A Emissora obriga-se a: (i) não contatar ou fornecer informações acerca da Oferta a qualquer investidor, exceto se previamente acordado com o Coordenador Líder; e (</w:t>
      </w:r>
      <w:proofErr w:type="spellStart"/>
      <w:r w:rsidRPr="00F74141">
        <w:rPr>
          <w:rFonts w:ascii="Verdana" w:hAnsi="Verdana"/>
          <w:szCs w:val="20"/>
        </w:rPr>
        <w:t>ii</w:t>
      </w:r>
      <w:proofErr w:type="spellEnd"/>
      <w:r w:rsidRPr="00F74141">
        <w:rPr>
          <w:rFonts w:ascii="Verdana" w:hAnsi="Verdana"/>
          <w:szCs w:val="20"/>
        </w:rPr>
        <w:t>) informar ao Coordenador Líder, até o Dia Útil imediatamente subsequente, a ocorrência de contato que receba de potenciais investidores que venham a manifestar seu interesse na Oferta, comprometendo-se desde já a não tomar qualquer providência em relação aos referidos potenciais investidores neste período.</w:t>
      </w:r>
    </w:p>
    <w:p w:rsidR="00204B37" w:rsidRPr="00F74141" w:rsidRDefault="00706572">
      <w:pPr>
        <w:pStyle w:val="Level2"/>
        <w:keepNext/>
        <w:spacing w:before="240" w:after="240" w:line="320" w:lineRule="exact"/>
        <w:rPr>
          <w:rFonts w:ascii="Verdana" w:hAnsi="Verdana"/>
          <w:b/>
          <w:szCs w:val="20"/>
        </w:rPr>
      </w:pPr>
      <w:r w:rsidRPr="00F74141">
        <w:rPr>
          <w:rFonts w:ascii="Verdana" w:hAnsi="Verdana"/>
          <w:b/>
          <w:szCs w:val="20"/>
        </w:rPr>
        <w:t>Prazo de Subscrição</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 xml:space="preserve">Respeitado o atendimento dos requisitos a que se refere a Cláusula </w:t>
      </w:r>
      <w:r w:rsidRPr="00F74141">
        <w:rPr>
          <w:rFonts w:ascii="Verdana" w:hAnsi="Verdana"/>
          <w:szCs w:val="20"/>
        </w:rPr>
        <w:fldChar w:fldCharType="begin"/>
      </w:r>
      <w:r w:rsidRPr="00F74141">
        <w:rPr>
          <w:rFonts w:ascii="Verdana" w:hAnsi="Verdana"/>
          <w:szCs w:val="20"/>
        </w:rPr>
        <w:instrText xml:space="preserve"> REF _Ref420334656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2 acima</w:t>
      </w:r>
      <w:r w:rsidRPr="00F74141">
        <w:rPr>
          <w:rFonts w:ascii="Verdana" w:hAnsi="Verdana"/>
          <w:szCs w:val="20"/>
        </w:rPr>
        <w:fldChar w:fldCharType="end"/>
      </w:r>
      <w:r w:rsidRPr="00F74141">
        <w:rPr>
          <w:rFonts w:ascii="Verdana" w:hAnsi="Verdana"/>
          <w:szCs w:val="20"/>
        </w:rPr>
        <w:t xml:space="preserve"> e as disposições do Contrato de Distribuição, as Debêntures serão subscritas a qualquer tempo, a partir da data de início de distribuição da Oferta, observado o disposto nos artigos 7º-A, 8º, parágrafo 2º, e 8º-A, da Instrução CVM 476.</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Forma de Subscrição e de Integralização e Preço de Integralização</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As Debêntures serão subscritas e integralizadas por meio do MDA, à vista, no ato da subscrição (“</w:t>
      </w:r>
      <w:r w:rsidRPr="00F74141">
        <w:rPr>
          <w:rFonts w:ascii="Verdana" w:hAnsi="Verdana"/>
          <w:b/>
          <w:szCs w:val="20"/>
        </w:rPr>
        <w:t>Data de Integralização</w:t>
      </w:r>
      <w:r w:rsidRPr="00F74141">
        <w:rPr>
          <w:rFonts w:ascii="Verdana" w:hAnsi="Verdana"/>
          <w:szCs w:val="20"/>
        </w:rPr>
        <w:t xml:space="preserve">”), e em moeda corrente nacional, pelo Valor Nominal Unitário das Debêntures da Primeira Série ou pelo Valor Nominal Unitário Atualizado das Debêntures da Segunda Série (conforme definido abaixo), conforme o caso, acrescidos dos respectivos Juros Remuneratórios (conforme definido abaixo), calculados </w:t>
      </w:r>
      <w:r w:rsidRPr="00F74141">
        <w:rPr>
          <w:rFonts w:ascii="Verdana" w:hAnsi="Verdana"/>
          <w:i/>
          <w:szCs w:val="20"/>
        </w:rPr>
        <w:t xml:space="preserve">pro rata </w:t>
      </w:r>
      <w:proofErr w:type="spellStart"/>
      <w:r w:rsidRPr="00F74141">
        <w:rPr>
          <w:rFonts w:ascii="Verdana" w:hAnsi="Verdana"/>
          <w:i/>
          <w:szCs w:val="20"/>
        </w:rPr>
        <w:t>temporis</w:t>
      </w:r>
      <w:proofErr w:type="spellEnd"/>
      <w:r w:rsidRPr="00F74141">
        <w:rPr>
          <w:rFonts w:ascii="Verdana" w:hAnsi="Verdana"/>
          <w:szCs w:val="20"/>
        </w:rPr>
        <w:t xml:space="preserve"> desde a primeira Data de Integralização das Debêntures (“</w:t>
      </w:r>
      <w:r w:rsidRPr="00F74141">
        <w:rPr>
          <w:rFonts w:ascii="Verdana" w:hAnsi="Verdana"/>
          <w:b/>
          <w:szCs w:val="20"/>
        </w:rPr>
        <w:t>Data da Primeira Integralização</w:t>
      </w:r>
      <w:r w:rsidRPr="00F74141">
        <w:rPr>
          <w:rFonts w:ascii="Verdana" w:hAnsi="Verdana"/>
          <w:szCs w:val="20"/>
        </w:rPr>
        <w:t>”), de acordo com as normas de liquidação aplicáveis à B3, observada a possibilidade de ágio ou deságio, desde que aplicados de forma igualitária para todas as Debêntures em cada Data de Integralização.</w:t>
      </w:r>
    </w:p>
    <w:p w:rsidR="00204B37" w:rsidRPr="00F74141" w:rsidRDefault="00706572">
      <w:pPr>
        <w:pStyle w:val="Level2"/>
        <w:spacing w:before="240" w:after="240" w:line="320" w:lineRule="exact"/>
        <w:rPr>
          <w:rFonts w:ascii="Verdana" w:hAnsi="Verdana"/>
          <w:b/>
        </w:rPr>
      </w:pPr>
      <w:bookmarkStart w:id="9" w:name="_Ref513389888"/>
      <w:r w:rsidRPr="00F74141">
        <w:rPr>
          <w:rFonts w:ascii="Verdana" w:hAnsi="Verdana"/>
          <w:b/>
          <w:szCs w:val="20"/>
        </w:rPr>
        <w:t>Condições</w:t>
      </w:r>
      <w:r w:rsidRPr="00F74141">
        <w:rPr>
          <w:rFonts w:ascii="Verdana" w:hAnsi="Verdana"/>
          <w:b/>
        </w:rPr>
        <w:t xml:space="preserve"> para Subscrição e Integralização das Debêntures</w:t>
      </w:r>
    </w:p>
    <w:p w:rsidR="00204B37" w:rsidRPr="00F74141" w:rsidRDefault="00706572">
      <w:pPr>
        <w:pStyle w:val="Level3"/>
        <w:spacing w:before="240" w:after="240" w:line="320" w:lineRule="exact"/>
        <w:rPr>
          <w:rFonts w:ascii="Verdana" w:hAnsi="Verdana"/>
        </w:rPr>
      </w:pPr>
      <w:r w:rsidRPr="00F74141">
        <w:rPr>
          <w:rFonts w:ascii="Verdana" w:hAnsi="Verdana"/>
        </w:rPr>
        <w:t>A Emissora obriga-se a providenciar e enviar ao Agente Fiduciário, previamente à Data da Primeira Integralização, como condição para a subscrição e integralização das Debêntures</w:t>
      </w:r>
      <w:bookmarkEnd w:id="9"/>
      <w:r w:rsidRPr="00F74141">
        <w:rPr>
          <w:rFonts w:ascii="Verdana" w:hAnsi="Verdana"/>
        </w:rPr>
        <w:t xml:space="preserve">, (i) </w:t>
      </w:r>
      <w:r w:rsidRPr="00F74141">
        <w:rPr>
          <w:rFonts w:ascii="Verdana" w:hAnsi="Verdana"/>
          <w:szCs w:val="20"/>
        </w:rPr>
        <w:t>cópia eletrônica (PDF) do instrumento por meio do qual o BNDES (conforme definido abaixo) venha a formalizar sua concordância com a alienação fiduciária das Ações (conforme definido abaixo) detidas pela CEEE-GT, comprovando a implementação da Condição Suspensiva</w:t>
      </w:r>
      <w:r w:rsidR="004219BA" w:rsidRPr="00F74141">
        <w:rPr>
          <w:rFonts w:ascii="Verdana" w:hAnsi="Verdana"/>
          <w:szCs w:val="20"/>
        </w:rPr>
        <w:t xml:space="preserve"> – </w:t>
      </w:r>
      <w:r w:rsidRPr="00F74141">
        <w:rPr>
          <w:rFonts w:ascii="Verdana" w:hAnsi="Verdana"/>
          <w:szCs w:val="20"/>
        </w:rPr>
        <w:t>BNDES (conforme definido abaixo) nos termos do Cláusulas 5.1.1.1 e 5.1.1.3 abaixo, e (</w:t>
      </w:r>
      <w:proofErr w:type="spellStart"/>
      <w:r w:rsidRPr="00F74141">
        <w:rPr>
          <w:rFonts w:ascii="Verdana" w:hAnsi="Verdana"/>
          <w:szCs w:val="20"/>
        </w:rPr>
        <w:t>ii</w:t>
      </w:r>
      <w:proofErr w:type="spellEnd"/>
      <w:r w:rsidRPr="00F74141">
        <w:rPr>
          <w:rFonts w:ascii="Verdana" w:hAnsi="Verdana"/>
          <w:szCs w:val="20"/>
        </w:rPr>
        <w:t xml:space="preserve">) cópia eletrônica (PDF) do instrumento por meio do qual a Eletrobrás (conforme definido abaixo) venha a formalizar sua concordância com a </w:t>
      </w:r>
      <w:r w:rsidRPr="00F74141">
        <w:rPr>
          <w:rFonts w:ascii="Verdana" w:hAnsi="Verdana"/>
        </w:rPr>
        <w:t xml:space="preserve">cessão e oneração dos direitos creditórios decorrentes dos </w:t>
      </w:r>
      <w:proofErr w:type="spellStart"/>
      <w:r w:rsidRPr="00F74141">
        <w:rPr>
          <w:rFonts w:ascii="Verdana" w:hAnsi="Verdana"/>
        </w:rPr>
        <w:t>CCVEs</w:t>
      </w:r>
      <w:proofErr w:type="spellEnd"/>
      <w:r w:rsidRPr="00F74141">
        <w:rPr>
          <w:rFonts w:ascii="Verdana" w:hAnsi="Verdana"/>
        </w:rPr>
        <w:t xml:space="preserve"> (conforme definido abaixo)</w:t>
      </w:r>
      <w:r w:rsidRPr="00F74141">
        <w:rPr>
          <w:rFonts w:ascii="Verdana" w:hAnsi="Verdana"/>
          <w:szCs w:val="20"/>
        </w:rPr>
        <w:t>, comprovando a implementação da Condição Suspensiva</w:t>
      </w:r>
      <w:r w:rsidR="004219BA" w:rsidRPr="00F74141">
        <w:rPr>
          <w:rFonts w:ascii="Verdana" w:hAnsi="Verdana"/>
          <w:szCs w:val="20"/>
        </w:rPr>
        <w:t xml:space="preserve"> – </w:t>
      </w:r>
      <w:r w:rsidRPr="00F74141">
        <w:rPr>
          <w:rFonts w:ascii="Verdana" w:hAnsi="Verdana"/>
          <w:szCs w:val="20"/>
        </w:rPr>
        <w:t>Eletrobrás (conforme definido abaixo) nos termos do Cláusulas 5.1.1.2 e 5.1.1.3 abaixo</w:t>
      </w:r>
      <w:r w:rsidRPr="00F74141">
        <w:rPr>
          <w:rFonts w:ascii="Verdana" w:hAnsi="Verdana"/>
        </w:rPr>
        <w:t>.</w:t>
      </w:r>
    </w:p>
    <w:p w:rsidR="00204B37" w:rsidRPr="00F74141" w:rsidRDefault="00706572">
      <w:pPr>
        <w:pStyle w:val="Level1"/>
        <w:spacing w:before="240" w:after="240" w:line="320" w:lineRule="exact"/>
        <w:rPr>
          <w:rFonts w:ascii="Verdana" w:hAnsi="Verdana"/>
          <w:sz w:val="20"/>
          <w:szCs w:val="20"/>
        </w:rPr>
      </w:pPr>
      <w:r w:rsidRPr="00F74141">
        <w:rPr>
          <w:rFonts w:ascii="Verdana" w:hAnsi="Verdana"/>
          <w:sz w:val="20"/>
          <w:szCs w:val="20"/>
        </w:rPr>
        <w:t>DAS CARACTERÍSTICAS DAS DEBÊNTURES</w:t>
      </w:r>
    </w:p>
    <w:p w:rsidR="00204B37" w:rsidRPr="00F74141" w:rsidRDefault="00706572">
      <w:pPr>
        <w:pStyle w:val="Level2"/>
        <w:keepNext/>
        <w:spacing w:before="240" w:after="240" w:line="320" w:lineRule="exact"/>
        <w:rPr>
          <w:rFonts w:ascii="Verdana" w:hAnsi="Verdana"/>
          <w:b/>
          <w:szCs w:val="20"/>
        </w:rPr>
      </w:pPr>
      <w:r w:rsidRPr="00F74141">
        <w:rPr>
          <w:rFonts w:ascii="Verdana" w:hAnsi="Verdana"/>
          <w:b/>
          <w:szCs w:val="20"/>
        </w:rPr>
        <w:t>Valor Nominal Unitário</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O valor nominal unitário das Debêntures será de R$1.000,00 (um mil reais) na Data de Emissão (“</w:t>
      </w:r>
      <w:r w:rsidRPr="00F74141">
        <w:rPr>
          <w:rFonts w:ascii="Verdana" w:hAnsi="Verdana"/>
          <w:b/>
          <w:szCs w:val="20"/>
        </w:rPr>
        <w:t>Valor Nominal Unitário</w:t>
      </w:r>
      <w:r w:rsidRPr="00F74141">
        <w:rPr>
          <w:rFonts w:ascii="Verdana" w:hAnsi="Verdana"/>
          <w:szCs w:val="20"/>
        </w:rPr>
        <w:t>”).</w:t>
      </w:r>
    </w:p>
    <w:p w:rsidR="00204B37" w:rsidRPr="00F74141" w:rsidRDefault="00706572">
      <w:pPr>
        <w:pStyle w:val="Level2"/>
        <w:keepNext/>
        <w:spacing w:before="240" w:after="240" w:line="320" w:lineRule="exact"/>
        <w:rPr>
          <w:rFonts w:ascii="Verdana" w:hAnsi="Verdana"/>
          <w:b/>
          <w:szCs w:val="20"/>
        </w:rPr>
      </w:pPr>
      <w:bookmarkStart w:id="10" w:name="_Ref420335418"/>
      <w:r w:rsidRPr="00F74141">
        <w:rPr>
          <w:rFonts w:ascii="Verdana" w:hAnsi="Verdana"/>
          <w:b/>
          <w:szCs w:val="20"/>
        </w:rPr>
        <w:t>Data de Emissão</w:t>
      </w:r>
      <w:bookmarkEnd w:id="10"/>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Para todos os fins e efeitos legais, a data de emissão das Debêntures será 15 de setembro de 2019 (“</w:t>
      </w:r>
      <w:r w:rsidRPr="00F74141">
        <w:rPr>
          <w:rFonts w:ascii="Verdana" w:hAnsi="Verdana"/>
          <w:b/>
          <w:szCs w:val="20"/>
        </w:rPr>
        <w:t>Data de Emissão</w:t>
      </w:r>
      <w:r w:rsidRPr="00F74141">
        <w:rPr>
          <w:rFonts w:ascii="Verdana" w:hAnsi="Verdana"/>
          <w:szCs w:val="20"/>
        </w:rPr>
        <w:t>”).</w:t>
      </w:r>
    </w:p>
    <w:p w:rsidR="00204B37" w:rsidRPr="00F74141" w:rsidRDefault="00706572">
      <w:pPr>
        <w:pStyle w:val="Level2"/>
        <w:keepNext/>
        <w:spacing w:before="240" w:after="240" w:line="320" w:lineRule="exact"/>
        <w:rPr>
          <w:rFonts w:ascii="Verdana" w:hAnsi="Verdana"/>
          <w:b/>
          <w:szCs w:val="20"/>
        </w:rPr>
      </w:pPr>
      <w:r w:rsidRPr="00F74141">
        <w:rPr>
          <w:rFonts w:ascii="Verdana" w:hAnsi="Verdana"/>
          <w:b/>
          <w:szCs w:val="20"/>
        </w:rPr>
        <w:t>Número da Emissão</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Esta é a 1ª (primeira) emissão de debêntures da Emissora.</w:t>
      </w:r>
    </w:p>
    <w:p w:rsidR="00204B37" w:rsidRPr="00F74141" w:rsidRDefault="00706572">
      <w:pPr>
        <w:pStyle w:val="Level2"/>
        <w:spacing w:before="240" w:after="240" w:line="320" w:lineRule="exact"/>
        <w:rPr>
          <w:rFonts w:ascii="Verdana" w:hAnsi="Verdana"/>
          <w:b/>
          <w:szCs w:val="20"/>
        </w:rPr>
      </w:pPr>
      <w:bookmarkStart w:id="11" w:name="_Ref420334827"/>
      <w:r w:rsidRPr="00F74141">
        <w:rPr>
          <w:rFonts w:ascii="Verdana" w:hAnsi="Verdana"/>
          <w:b/>
          <w:szCs w:val="20"/>
        </w:rPr>
        <w:t>Número de Séries</w:t>
      </w:r>
      <w:bookmarkEnd w:id="11"/>
    </w:p>
    <w:p w:rsidR="00204B37" w:rsidRPr="00F74141" w:rsidRDefault="00706572">
      <w:pPr>
        <w:pStyle w:val="Level3"/>
        <w:spacing w:before="240" w:after="240" w:line="320" w:lineRule="exact"/>
        <w:rPr>
          <w:rFonts w:ascii="Verdana" w:hAnsi="Verdana"/>
          <w:szCs w:val="20"/>
        </w:rPr>
      </w:pPr>
      <w:bookmarkStart w:id="12" w:name="_Ref420334801"/>
      <w:r w:rsidRPr="00F74141">
        <w:rPr>
          <w:rFonts w:ascii="Verdana" w:hAnsi="Verdana"/>
          <w:szCs w:val="20"/>
        </w:rPr>
        <w:t xml:space="preserve">A Emissão será realizada </w:t>
      </w:r>
      <w:bookmarkEnd w:id="12"/>
      <w:r w:rsidRPr="00F74141">
        <w:rPr>
          <w:rFonts w:ascii="Verdana" w:eastAsia="Arial Unicode MS" w:hAnsi="Verdana"/>
          <w:szCs w:val="20"/>
        </w:rPr>
        <w:t>em até 2 (duas) séries (“</w:t>
      </w:r>
      <w:r w:rsidRPr="00F74141">
        <w:rPr>
          <w:rFonts w:ascii="Verdana" w:eastAsia="Arial Unicode MS" w:hAnsi="Verdana"/>
          <w:b/>
          <w:szCs w:val="20"/>
        </w:rPr>
        <w:t>Primeira Série</w:t>
      </w:r>
      <w:r w:rsidRPr="00F74141">
        <w:rPr>
          <w:rFonts w:ascii="Verdana" w:eastAsia="Arial Unicode MS" w:hAnsi="Verdana"/>
          <w:szCs w:val="20"/>
        </w:rPr>
        <w:t>” e “</w:t>
      </w:r>
      <w:r w:rsidRPr="00F74141">
        <w:rPr>
          <w:rFonts w:ascii="Verdana" w:eastAsia="Arial Unicode MS" w:hAnsi="Verdana"/>
          <w:b/>
          <w:szCs w:val="20"/>
        </w:rPr>
        <w:t>Segunda Série</w:t>
      </w:r>
      <w:r w:rsidRPr="00F74141">
        <w:rPr>
          <w:rFonts w:ascii="Verdana" w:eastAsia="Arial Unicode MS" w:hAnsi="Verdana"/>
          <w:szCs w:val="20"/>
        </w:rPr>
        <w:t>”, sendo a Primeira Série e a Segunda Série denominadas individual e indistintamente como “</w:t>
      </w:r>
      <w:r w:rsidRPr="00F74141">
        <w:rPr>
          <w:rFonts w:ascii="Verdana" w:eastAsia="Arial Unicode MS" w:hAnsi="Verdana"/>
          <w:b/>
          <w:szCs w:val="20"/>
        </w:rPr>
        <w:t>Série</w:t>
      </w:r>
      <w:r w:rsidRPr="00F74141">
        <w:rPr>
          <w:rFonts w:ascii="Verdana" w:eastAsia="Arial Unicode MS" w:hAnsi="Verdana"/>
          <w:szCs w:val="20"/>
        </w:rPr>
        <w:t>” e, em conjunto, como “</w:t>
      </w:r>
      <w:r w:rsidRPr="00F74141">
        <w:rPr>
          <w:rFonts w:ascii="Verdana" w:eastAsia="Arial Unicode MS" w:hAnsi="Verdana"/>
          <w:b/>
          <w:szCs w:val="20"/>
        </w:rPr>
        <w:t>Séries</w:t>
      </w:r>
      <w:r w:rsidRPr="00F74141">
        <w:rPr>
          <w:rFonts w:ascii="Verdana" w:eastAsia="Arial Unicode MS" w:hAnsi="Verdana"/>
          <w:szCs w:val="20"/>
        </w:rPr>
        <w:t xml:space="preserve">”), sendo que a quantidade de Debêntures em cada Série será definida no sistema de vasos comunicantes, conforme apurado no resultado do Procedimento de </w:t>
      </w:r>
      <w:proofErr w:type="spellStart"/>
      <w:r w:rsidRPr="00F74141">
        <w:rPr>
          <w:rFonts w:ascii="Verdana" w:eastAsia="Arial Unicode MS" w:hAnsi="Verdana"/>
          <w:i/>
          <w:szCs w:val="20"/>
        </w:rPr>
        <w:t>Bookbuilding</w:t>
      </w:r>
      <w:proofErr w:type="spellEnd"/>
      <w:r w:rsidRPr="00F74141">
        <w:rPr>
          <w:rFonts w:ascii="Verdana" w:eastAsia="Arial Unicode MS" w:hAnsi="Verdana"/>
          <w:szCs w:val="20"/>
        </w:rPr>
        <w:t>.</w:t>
      </w:r>
    </w:p>
    <w:p w:rsidR="00204B37" w:rsidRPr="00F74141" w:rsidRDefault="00706572">
      <w:pPr>
        <w:pStyle w:val="Level3"/>
        <w:spacing w:before="240" w:after="240" w:line="320" w:lineRule="exact"/>
        <w:rPr>
          <w:rFonts w:ascii="Verdana" w:hAnsi="Verdana"/>
          <w:szCs w:val="20"/>
        </w:rPr>
      </w:pPr>
      <w:r w:rsidRPr="00F74141">
        <w:rPr>
          <w:rFonts w:ascii="Verdana" w:eastAsia="Arial Unicode MS" w:hAnsi="Verdana"/>
          <w:szCs w:val="20"/>
        </w:rPr>
        <w:t>Ressalvadas as referências expressas às Debêntures da Primeira Série e às Debêntures da Segunda Série, todas as referências às Debêntures (sem especificação) devem ser entendidas como referências às Debêntures da Primeira Série e às Debêntures da Segunda Série, consideradas em conjunto.</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Montante da Emissão</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O montante total da Emissão será de R$ 325.000.000,00 (trezentos e vinte e cinco milhões de reais), na Data de Emissão (“</w:t>
      </w:r>
      <w:r w:rsidRPr="00F74141">
        <w:rPr>
          <w:rFonts w:ascii="Verdana" w:hAnsi="Verdana"/>
          <w:b/>
          <w:szCs w:val="20"/>
        </w:rPr>
        <w:t>Valor Total da Emissão</w:t>
      </w:r>
      <w:r w:rsidRPr="00F74141">
        <w:rPr>
          <w:rFonts w:ascii="Verdana" w:hAnsi="Verdana"/>
          <w:szCs w:val="20"/>
        </w:rPr>
        <w:t>”).</w:t>
      </w:r>
    </w:p>
    <w:p w:rsidR="00204B37" w:rsidRPr="00F74141" w:rsidRDefault="00706572">
      <w:pPr>
        <w:pStyle w:val="Level2"/>
        <w:spacing w:before="240" w:after="240" w:line="320" w:lineRule="exact"/>
        <w:rPr>
          <w:rFonts w:ascii="Verdana" w:hAnsi="Verdana"/>
          <w:b/>
          <w:szCs w:val="20"/>
        </w:rPr>
      </w:pPr>
      <w:bookmarkStart w:id="13" w:name="_Ref468392827"/>
      <w:bookmarkStart w:id="14" w:name="_Ref420335400"/>
      <w:r w:rsidRPr="00F74141">
        <w:rPr>
          <w:rFonts w:ascii="Verdana" w:hAnsi="Verdana"/>
          <w:b/>
          <w:szCs w:val="20"/>
        </w:rPr>
        <w:t>Quantidade de Debêntures</w:t>
      </w:r>
      <w:bookmarkEnd w:id="13"/>
      <w:bookmarkEnd w:id="14"/>
    </w:p>
    <w:p w:rsidR="00204B37" w:rsidRPr="00F74141" w:rsidRDefault="00706572">
      <w:pPr>
        <w:pStyle w:val="Level3"/>
        <w:spacing w:before="240" w:after="240" w:line="320" w:lineRule="exact"/>
        <w:rPr>
          <w:rFonts w:ascii="Verdana" w:hAnsi="Verdana"/>
          <w:szCs w:val="20"/>
        </w:rPr>
      </w:pPr>
      <w:bookmarkStart w:id="15" w:name="_Ref521926772"/>
      <w:r w:rsidRPr="00F74141">
        <w:rPr>
          <w:rFonts w:ascii="Verdana" w:hAnsi="Verdana"/>
          <w:szCs w:val="20"/>
        </w:rPr>
        <w:t>Serão emitidas 325.000 (trezentas e vinte e cinco mil)</w:t>
      </w:r>
      <w:bookmarkEnd w:id="15"/>
      <w:r w:rsidRPr="00F74141">
        <w:rPr>
          <w:rFonts w:ascii="Verdana" w:hAnsi="Verdana"/>
          <w:szCs w:val="20"/>
        </w:rPr>
        <w:t xml:space="preserve"> Debêntures.</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 xml:space="preserve">Agente de Liquidação e </w:t>
      </w:r>
      <w:proofErr w:type="spellStart"/>
      <w:r w:rsidRPr="00F74141">
        <w:rPr>
          <w:rFonts w:ascii="Verdana" w:hAnsi="Verdana"/>
          <w:b/>
          <w:szCs w:val="20"/>
        </w:rPr>
        <w:t>Escriturador</w:t>
      </w:r>
      <w:proofErr w:type="spellEnd"/>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 xml:space="preserve">A </w:t>
      </w:r>
      <w:r w:rsidRPr="00F74141">
        <w:rPr>
          <w:rFonts w:ascii="Verdana" w:hAnsi="Verdana"/>
          <w:b/>
          <w:szCs w:val="20"/>
        </w:rPr>
        <w:t xml:space="preserve">Oliveira </w:t>
      </w:r>
      <w:proofErr w:type="spellStart"/>
      <w:r w:rsidRPr="00F74141">
        <w:rPr>
          <w:rFonts w:ascii="Verdana" w:hAnsi="Verdana"/>
          <w:b/>
          <w:szCs w:val="20"/>
        </w:rPr>
        <w:t>Trust</w:t>
      </w:r>
      <w:proofErr w:type="spellEnd"/>
      <w:r w:rsidRPr="00F74141">
        <w:rPr>
          <w:rFonts w:ascii="Verdana" w:hAnsi="Verdana"/>
          <w:b/>
          <w:szCs w:val="20"/>
        </w:rPr>
        <w:t xml:space="preserve"> Distribuidora de Títulos e Valores Mobiliários S.A.</w:t>
      </w:r>
      <w:r w:rsidRPr="00F74141">
        <w:rPr>
          <w:rFonts w:ascii="Verdana" w:hAnsi="Verdana"/>
          <w:szCs w:val="20"/>
        </w:rPr>
        <w:t xml:space="preserve">, sociedade por ações, com </w:t>
      </w:r>
      <w:r w:rsidRPr="00F74141">
        <w:rPr>
          <w:rFonts w:ascii="Verdana" w:hAnsi="Verdana"/>
        </w:rPr>
        <w:t xml:space="preserve">sede na </w:t>
      </w:r>
      <w:r w:rsidRPr="00F74141">
        <w:rPr>
          <w:rFonts w:ascii="Verdana" w:hAnsi="Verdana"/>
          <w:szCs w:val="20"/>
        </w:rPr>
        <w:t xml:space="preserve">Cidade do Rio de Janeiro, Estado do Rio de Janeiro, na Av. das Américas, nº 3434, bloco 07, Sala 201, inscrita no CNPJ sob o nº 36.113.876/0001-91, atuará como agente de liquidação e </w:t>
      </w:r>
      <w:proofErr w:type="spellStart"/>
      <w:r w:rsidRPr="00F74141">
        <w:rPr>
          <w:rFonts w:ascii="Verdana" w:hAnsi="Verdana"/>
          <w:szCs w:val="20"/>
        </w:rPr>
        <w:t>escriturador</w:t>
      </w:r>
      <w:proofErr w:type="spellEnd"/>
      <w:r w:rsidRPr="00F74141">
        <w:rPr>
          <w:rFonts w:ascii="Verdana" w:hAnsi="Verdana"/>
          <w:szCs w:val="20"/>
        </w:rPr>
        <w:t xml:space="preserve"> das Debêntures (“</w:t>
      </w:r>
      <w:r w:rsidRPr="00F74141">
        <w:rPr>
          <w:rFonts w:ascii="Verdana" w:hAnsi="Verdana"/>
          <w:b/>
          <w:szCs w:val="20"/>
        </w:rPr>
        <w:t>Agente de Liquidação</w:t>
      </w:r>
      <w:r w:rsidRPr="00F74141">
        <w:rPr>
          <w:rFonts w:ascii="Verdana" w:hAnsi="Verdana"/>
          <w:szCs w:val="20"/>
        </w:rPr>
        <w:t>” e “</w:t>
      </w:r>
      <w:proofErr w:type="spellStart"/>
      <w:r w:rsidRPr="00F74141">
        <w:rPr>
          <w:rFonts w:ascii="Verdana" w:hAnsi="Verdana"/>
          <w:b/>
          <w:szCs w:val="20"/>
        </w:rPr>
        <w:t>Escriturador</w:t>
      </w:r>
      <w:proofErr w:type="spellEnd"/>
      <w:r w:rsidRPr="00F74141">
        <w:rPr>
          <w:rFonts w:ascii="Verdana" w:hAnsi="Verdana"/>
          <w:szCs w:val="20"/>
        </w:rPr>
        <w:t>”).</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 xml:space="preserve">O </w:t>
      </w:r>
      <w:proofErr w:type="spellStart"/>
      <w:r w:rsidRPr="00F74141">
        <w:rPr>
          <w:rFonts w:ascii="Verdana" w:hAnsi="Verdana"/>
          <w:szCs w:val="20"/>
        </w:rPr>
        <w:t>Escriturador</w:t>
      </w:r>
      <w:proofErr w:type="spellEnd"/>
      <w:r w:rsidRPr="00F74141">
        <w:rPr>
          <w:rFonts w:ascii="Verdana" w:hAnsi="Verdana"/>
          <w:szCs w:val="20"/>
        </w:rPr>
        <w:t xml:space="preserve"> será responsável por efetuar a escrituração das Debêntures, entre outras questões listadas em normas operacionais da B3, conforme o caso.</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Forma e Emissão de Certificados</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As Debêntures serão emitidas na forma nominativa e escritural, sem a emissão de cautelas ou certificados.</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Comprovação de Titularidade das Debêntures</w:t>
      </w:r>
    </w:p>
    <w:p w:rsidR="00204B37" w:rsidRPr="00F74141" w:rsidRDefault="00706572">
      <w:pPr>
        <w:pStyle w:val="Level3"/>
        <w:tabs>
          <w:tab w:val="left" w:pos="2127"/>
        </w:tabs>
        <w:spacing w:before="240" w:after="240" w:line="320" w:lineRule="exact"/>
        <w:rPr>
          <w:rFonts w:ascii="Verdana" w:hAnsi="Verdana"/>
          <w:szCs w:val="20"/>
        </w:rPr>
      </w:pPr>
      <w:r w:rsidRPr="00F74141">
        <w:rPr>
          <w:rFonts w:ascii="Verdana" w:hAnsi="Verdana"/>
          <w:szCs w:val="20"/>
        </w:rPr>
        <w:t xml:space="preserve">A Emissora não emitirá cautelas ou certificados de Debêntures. Para todos os fins de direito, a titularidade das Debêntures será comprovada pelo extrato emitido pelo </w:t>
      </w:r>
      <w:proofErr w:type="spellStart"/>
      <w:r w:rsidRPr="00F74141">
        <w:rPr>
          <w:rFonts w:ascii="Verdana" w:hAnsi="Verdana"/>
          <w:szCs w:val="20"/>
        </w:rPr>
        <w:t>Escriturador</w:t>
      </w:r>
      <w:proofErr w:type="spellEnd"/>
      <w:r w:rsidRPr="00F74141">
        <w:rPr>
          <w:rFonts w:ascii="Verdana" w:hAnsi="Verdana"/>
          <w:szCs w:val="20"/>
        </w:rPr>
        <w:t>. Adicionalmente, será reconhecido como comprovante de titularidade das Debêntures o extrato expedido pela B3 em nome dos Debenturistas para as Debêntures custodiadas eletronicamente na B3.</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Conversibilidade</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As Debêntures serão simples, ou seja, não conversíveis em ações de emissão da Emissora, e nem permutáveis em ações de emissão de outra sociedade.</w:t>
      </w:r>
    </w:p>
    <w:p w:rsidR="00204B37" w:rsidRPr="00F74141" w:rsidRDefault="00706572">
      <w:pPr>
        <w:pStyle w:val="Level2"/>
        <w:keepNext/>
        <w:spacing w:before="240" w:after="240" w:line="320" w:lineRule="exact"/>
        <w:rPr>
          <w:rFonts w:ascii="Verdana" w:hAnsi="Verdana"/>
          <w:b/>
          <w:szCs w:val="20"/>
        </w:rPr>
      </w:pPr>
      <w:r w:rsidRPr="00F74141">
        <w:rPr>
          <w:rFonts w:ascii="Verdana" w:hAnsi="Verdana"/>
          <w:b/>
          <w:szCs w:val="20"/>
        </w:rPr>
        <w:t>Espécie</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 xml:space="preserve">As Debêntures serão da espécie com garantia real, nos termos do artigo 58, </w:t>
      </w:r>
      <w:r w:rsidRPr="00F74141">
        <w:rPr>
          <w:rFonts w:ascii="Verdana" w:hAnsi="Verdana"/>
          <w:i/>
          <w:iCs/>
          <w:szCs w:val="20"/>
        </w:rPr>
        <w:t>caput</w:t>
      </w:r>
      <w:r w:rsidRPr="00F74141">
        <w:rPr>
          <w:rFonts w:ascii="Verdana" w:hAnsi="Verdana"/>
          <w:szCs w:val="20"/>
        </w:rPr>
        <w:t>, da Lei das Sociedades por Ações.</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Direito de Preferência</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Não haverá direito de preferência na subscrição das Debêntures.</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Repactuação</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Não haverá repactuação programada das Debêntures.</w:t>
      </w:r>
    </w:p>
    <w:p w:rsidR="00204B37" w:rsidRPr="00F74141" w:rsidRDefault="00706572">
      <w:pPr>
        <w:pStyle w:val="Level2"/>
        <w:spacing w:before="240" w:after="240" w:line="320" w:lineRule="exact"/>
        <w:rPr>
          <w:rFonts w:ascii="Verdana" w:hAnsi="Verdana"/>
          <w:b/>
          <w:szCs w:val="20"/>
        </w:rPr>
      </w:pPr>
      <w:bookmarkStart w:id="16" w:name="_Ref474503450"/>
      <w:bookmarkStart w:id="17" w:name="_Ref492288963"/>
      <w:r w:rsidRPr="00F74141">
        <w:rPr>
          <w:rFonts w:ascii="Verdana" w:hAnsi="Verdana"/>
          <w:b/>
          <w:szCs w:val="20"/>
        </w:rPr>
        <w:t>Local de Pagamento</w:t>
      </w:r>
      <w:bookmarkEnd w:id="16"/>
      <w:bookmarkEnd w:id="17"/>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Os pagamentos referentes às Debêntures e a quaisquer outros valores eventualmente devidos pela Emissora nos termos desta Escritura de Emissão serão realizados pela Emissora, no que se refere a pagamentos relativos ao Valor Nominal Unitário das Debêntures da Primeira Série ou Valor Nominal Unitário Atualizado das Debêntures da Segunda Série, conforme o caso, aos respectivos Juros Remuneratórios e aos Encargos Moratórios (conforme abaixo definidos), (i) com relação às Debêntures que estejam custodiadas eletronicamente na B3, por meio da B3; e (</w:t>
      </w:r>
      <w:proofErr w:type="spellStart"/>
      <w:r w:rsidRPr="00F74141">
        <w:rPr>
          <w:rFonts w:ascii="Verdana" w:hAnsi="Verdana"/>
          <w:szCs w:val="20"/>
        </w:rPr>
        <w:t>ii</w:t>
      </w:r>
      <w:proofErr w:type="spellEnd"/>
      <w:r w:rsidRPr="00F74141">
        <w:rPr>
          <w:rFonts w:ascii="Verdana" w:hAnsi="Verdana"/>
          <w:szCs w:val="20"/>
        </w:rPr>
        <w:t xml:space="preserve">) com relação às Debêntures que não estejam custodiadas eletronicamente na B3, por meio do </w:t>
      </w:r>
      <w:proofErr w:type="spellStart"/>
      <w:r w:rsidRPr="00F74141">
        <w:rPr>
          <w:rFonts w:ascii="Verdana" w:hAnsi="Verdana"/>
          <w:szCs w:val="20"/>
        </w:rPr>
        <w:t>Escriturador</w:t>
      </w:r>
      <w:proofErr w:type="spellEnd"/>
      <w:r w:rsidRPr="00F74141">
        <w:rPr>
          <w:rFonts w:ascii="Verdana" w:hAnsi="Verdana"/>
          <w:szCs w:val="20"/>
        </w:rPr>
        <w:t xml:space="preserve"> ou, com relação aos pagamentos que não possam ser realizados por meio do </w:t>
      </w:r>
      <w:proofErr w:type="spellStart"/>
      <w:r w:rsidRPr="00F74141">
        <w:rPr>
          <w:rFonts w:ascii="Verdana" w:hAnsi="Verdana"/>
          <w:szCs w:val="20"/>
        </w:rPr>
        <w:t>Escriturador</w:t>
      </w:r>
      <w:proofErr w:type="spellEnd"/>
      <w:r w:rsidRPr="00F74141">
        <w:rPr>
          <w:rFonts w:ascii="Verdana" w:hAnsi="Verdana"/>
          <w:szCs w:val="20"/>
        </w:rPr>
        <w:t>, na sede da Emissora, conforme o caso.</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Farão jus ao recebimento dos pagamentos previstos nesta Escritura de Emissão aqueles que forem titulares de Debêntures ao final do Dia Útil imediatamente anterior à respectiva data de pagamento.</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Prorrogação dos Prazos</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Considerar-se-ão automaticamente prorrogados os prazos referentes ao pagamento de qualquer obrigação prevista nesta Escritura de Emissão até o 1° (primeiro) Dia Útil (conforme definido abaixo) subsequente, se o seu vencimento coincidir com dia que não seja Dia Útil, não sendo devido qualquer acréscimo aos valores a serem pagos.</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Exceto quando previsto expressamente de modo diverso na presente Escritura de Emissão, entende-se por “</w:t>
      </w:r>
      <w:r w:rsidRPr="00F74141">
        <w:rPr>
          <w:rFonts w:ascii="Verdana" w:hAnsi="Verdana"/>
          <w:b/>
          <w:szCs w:val="20"/>
        </w:rPr>
        <w:t>Dia(s) Útil(eis)</w:t>
      </w:r>
      <w:r w:rsidRPr="00F74141">
        <w:rPr>
          <w:rFonts w:ascii="Verdana" w:hAnsi="Verdana"/>
          <w:szCs w:val="20"/>
        </w:rPr>
        <w:t>” qualquer dia que não seja sábado, domingo ou feriado declarado nacional.</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Encargos Moratórios</w:t>
      </w:r>
    </w:p>
    <w:p w:rsidR="00204B37" w:rsidRPr="00F74141" w:rsidRDefault="00706572">
      <w:pPr>
        <w:pStyle w:val="Level3"/>
        <w:spacing w:before="240" w:after="240" w:line="320" w:lineRule="exact"/>
        <w:rPr>
          <w:rFonts w:ascii="Verdana" w:hAnsi="Verdana"/>
          <w:b/>
          <w:szCs w:val="20"/>
        </w:rPr>
      </w:pPr>
      <w:r w:rsidRPr="00F74141">
        <w:rPr>
          <w:rFonts w:ascii="Verdana" w:hAnsi="Verdana"/>
          <w:szCs w:val="20"/>
        </w:rPr>
        <w:t xml:space="preserve">Ocorrendo impontualidade no pagamento pela Emissora de qualquer valor devido aos Debenturistas nos termos desta Escritura de Emissão, adicionalmente ao pagamento dos Juros Remuneratórios aplicáveis, calculados </w:t>
      </w:r>
      <w:r w:rsidRPr="00F74141">
        <w:rPr>
          <w:rFonts w:ascii="Verdana" w:hAnsi="Verdana"/>
          <w:i/>
          <w:szCs w:val="20"/>
        </w:rPr>
        <w:t xml:space="preserve">pro rata </w:t>
      </w:r>
      <w:proofErr w:type="spellStart"/>
      <w:r w:rsidRPr="00F74141">
        <w:rPr>
          <w:rFonts w:ascii="Verdana" w:hAnsi="Verdana"/>
          <w:i/>
          <w:szCs w:val="20"/>
        </w:rPr>
        <w:t>temporis</w:t>
      </w:r>
      <w:proofErr w:type="spellEnd"/>
      <w:r w:rsidRPr="00F74141">
        <w:rPr>
          <w:rFonts w:ascii="Verdana" w:hAnsi="Verdana"/>
          <w:szCs w:val="20"/>
        </w:rPr>
        <w:t xml:space="preserve"> desde a data de inadimplemento, até a data do efetivo pagamento, incidirão, sobre todos e quaisquer valores em atraso, independentemente de aviso, notificação ou interpelação judicial ou extrajudicial, (i) juros de mora de 1% (um por cento) ao mês, calculados </w:t>
      </w:r>
      <w:r w:rsidRPr="00F74141">
        <w:rPr>
          <w:rFonts w:ascii="Verdana" w:hAnsi="Verdana"/>
          <w:i/>
          <w:iCs/>
          <w:szCs w:val="20"/>
        </w:rPr>
        <w:t xml:space="preserve">pro rata </w:t>
      </w:r>
      <w:proofErr w:type="spellStart"/>
      <w:r w:rsidRPr="00F74141">
        <w:rPr>
          <w:rFonts w:ascii="Verdana" w:hAnsi="Verdana"/>
          <w:i/>
          <w:iCs/>
          <w:szCs w:val="20"/>
        </w:rPr>
        <w:t>temporis</w:t>
      </w:r>
      <w:proofErr w:type="spellEnd"/>
      <w:r w:rsidRPr="00F74141">
        <w:rPr>
          <w:rFonts w:ascii="Verdana" w:hAnsi="Verdana"/>
          <w:szCs w:val="20"/>
        </w:rPr>
        <w:t>, desde a data de inadimplemento até a data do efetivo pagamento; e (</w:t>
      </w:r>
      <w:proofErr w:type="spellStart"/>
      <w:r w:rsidRPr="00F74141">
        <w:rPr>
          <w:rFonts w:ascii="Verdana" w:hAnsi="Verdana"/>
          <w:szCs w:val="20"/>
        </w:rPr>
        <w:t>ii</w:t>
      </w:r>
      <w:proofErr w:type="spellEnd"/>
      <w:r w:rsidRPr="00F74141">
        <w:rPr>
          <w:rFonts w:ascii="Verdana" w:hAnsi="Verdana"/>
          <w:szCs w:val="20"/>
        </w:rPr>
        <w:t>) multa convencional, irredutível e não compensatória, de 2% (dois por cento) (“</w:t>
      </w:r>
      <w:r w:rsidRPr="00F74141">
        <w:rPr>
          <w:rFonts w:ascii="Verdana" w:hAnsi="Verdana"/>
          <w:b/>
          <w:szCs w:val="20"/>
        </w:rPr>
        <w:t>Encargos Moratórios</w:t>
      </w:r>
      <w:r w:rsidRPr="00F74141">
        <w:rPr>
          <w:rFonts w:ascii="Verdana" w:hAnsi="Verdana"/>
          <w:szCs w:val="20"/>
        </w:rPr>
        <w:t>”).</w:t>
      </w:r>
    </w:p>
    <w:p w:rsidR="00204B37" w:rsidRPr="00F74141" w:rsidRDefault="00706572">
      <w:pPr>
        <w:pStyle w:val="Level2"/>
        <w:spacing w:before="240" w:after="240" w:line="320" w:lineRule="exact"/>
        <w:rPr>
          <w:rFonts w:ascii="Verdana" w:hAnsi="Verdana"/>
          <w:b/>
          <w:szCs w:val="20"/>
        </w:rPr>
      </w:pPr>
      <w:r w:rsidRPr="00F74141">
        <w:rPr>
          <w:rFonts w:ascii="Verdana" w:hAnsi="Verdana"/>
          <w:b/>
          <w:szCs w:val="20"/>
        </w:rPr>
        <w:t>Decadência dos Direitos aos Acréscimos</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O não comparecimento do Debenturista para receber o valor correspondente a quaisquer das obrigações pecuniárias da Emissora nas datas previstas nesta Escritura de Emissão, ou em comunicado publicado pela Emissora, não lhe dará direito ao recebimento de Juros Remuneratórios e/ou Encargos Moratórios no período relativo ao atraso no recebimento, sendo-lhe, todavia, assegurados os direitos adquiridos até a data do respectivo vencimento.</w:t>
      </w:r>
    </w:p>
    <w:p w:rsidR="00204B37" w:rsidRPr="00F74141" w:rsidRDefault="00706572">
      <w:pPr>
        <w:pStyle w:val="Level2"/>
        <w:keepNext/>
        <w:spacing w:before="240" w:after="240" w:line="320" w:lineRule="exact"/>
        <w:rPr>
          <w:rFonts w:ascii="Verdana" w:hAnsi="Verdana"/>
          <w:b/>
          <w:szCs w:val="20"/>
        </w:rPr>
      </w:pPr>
      <w:bookmarkStart w:id="18" w:name="_Ref420336525"/>
      <w:r w:rsidRPr="00F74141">
        <w:rPr>
          <w:rFonts w:ascii="Verdana" w:hAnsi="Verdana"/>
          <w:b/>
          <w:szCs w:val="20"/>
        </w:rPr>
        <w:t>Publicidade</w:t>
      </w:r>
      <w:bookmarkEnd w:id="18"/>
    </w:p>
    <w:p w:rsidR="00204B37" w:rsidRPr="00F74141" w:rsidRDefault="00706572">
      <w:pPr>
        <w:pStyle w:val="Level3"/>
        <w:spacing w:before="240" w:after="240" w:line="320" w:lineRule="exact"/>
        <w:rPr>
          <w:rFonts w:ascii="Verdana" w:hAnsi="Verdana"/>
          <w:szCs w:val="20"/>
        </w:rPr>
      </w:pPr>
      <w:bookmarkStart w:id="19" w:name="_Ref517886512"/>
      <w:r w:rsidRPr="00F74141">
        <w:rPr>
          <w:rFonts w:ascii="Verdana" w:hAnsi="Verdana"/>
          <w:szCs w:val="20"/>
        </w:rPr>
        <w:t>Todos os anúncios, atos e decisões relativos às Debêntures deverão ser obrigatoriamente comunicados na forma de avisos nos Jornais de Publicação, bem como na página da Emissora na rede mundial de computadores – Internet (www.ventosdosulenergia.com.br) (“</w:t>
      </w:r>
      <w:r w:rsidRPr="00F74141">
        <w:rPr>
          <w:rFonts w:ascii="Verdana" w:hAnsi="Verdana"/>
          <w:b/>
          <w:szCs w:val="20"/>
        </w:rPr>
        <w:t>Avisos aos Debenturistas</w:t>
      </w:r>
      <w:r w:rsidRPr="00F74141">
        <w:rPr>
          <w:rFonts w:ascii="Verdana" w:hAnsi="Verdana"/>
          <w:szCs w:val="20"/>
        </w:rPr>
        <w:t>”), imediatamente após a realização ou ocorrência do ato a ser divulgado, observado o estabelecido no artigo 289 da Lei das Sociedades por Ações e as limitações impostas pela Instrução CVM 476 em relação à publicidade da Oferta e os prazos legais, devendo a Emissora comunicar o Agente Fiduciário e à B3 a respeito de qualquer publicação na data da sua realização, bem como informá-los, tempestivamente, acerca de qualquer alteração dos jornais de publicação após a Data de Emissão.</w:t>
      </w:r>
      <w:bookmarkEnd w:id="19"/>
      <w:r w:rsidRPr="00F74141">
        <w:rPr>
          <w:rFonts w:ascii="Verdana" w:hAnsi="Verdana"/>
          <w:szCs w:val="20"/>
        </w:rPr>
        <w:t xml:space="preserve"> Adicionalmente, em caso de alteração dos Jornais de Publicação, a Emissora deverá publicar aviso aos Debenturistas neste sentido nos jornais a serem substituídos, informando o(s) novo(s) veículo(s) de comunicação.</w:t>
      </w:r>
    </w:p>
    <w:p w:rsidR="00204B37" w:rsidRPr="00F74141" w:rsidRDefault="00706572">
      <w:pPr>
        <w:pStyle w:val="Level2"/>
        <w:keepNext/>
        <w:spacing w:before="240" w:after="240" w:line="320" w:lineRule="exact"/>
        <w:rPr>
          <w:rFonts w:ascii="Verdana" w:hAnsi="Verdana"/>
          <w:b/>
          <w:szCs w:val="20"/>
        </w:rPr>
      </w:pPr>
      <w:bookmarkStart w:id="20" w:name="_DV_M219"/>
      <w:bookmarkStart w:id="21" w:name="_DV_M220"/>
      <w:bookmarkStart w:id="22" w:name="_DV_M221"/>
      <w:bookmarkEnd w:id="20"/>
      <w:bookmarkEnd w:id="21"/>
      <w:bookmarkEnd w:id="22"/>
      <w:r w:rsidRPr="00F74141">
        <w:rPr>
          <w:rFonts w:ascii="Verdana" w:hAnsi="Verdana"/>
          <w:b/>
          <w:szCs w:val="20"/>
        </w:rPr>
        <w:t>Imunidade de Debenturistas</w:t>
      </w:r>
    </w:p>
    <w:p w:rsidR="00204B37" w:rsidRPr="00F74141" w:rsidRDefault="00706572">
      <w:pPr>
        <w:pStyle w:val="Level3"/>
        <w:spacing w:before="240" w:after="240" w:line="320" w:lineRule="exact"/>
        <w:rPr>
          <w:rFonts w:ascii="Verdana" w:hAnsi="Verdana"/>
          <w:szCs w:val="20"/>
        </w:rPr>
      </w:pPr>
      <w:bookmarkStart w:id="23" w:name="_Ref435690063"/>
      <w:r w:rsidRPr="00F74141">
        <w:rPr>
          <w:rFonts w:ascii="Verdana" w:hAnsi="Verdana"/>
          <w:szCs w:val="20"/>
        </w:rPr>
        <w:t>Caso qualquer Debenturista goze de algum tipo de imunidade ou isenção tributária, este deverá encaminhar ao Agente de Liquidação e à Emissora, no prazo mínimo de 10 (dez) Dias Úteis de antecedência em relação à data prevista para recebimento de quaisquer valores relativos às Debêntures, documentação comprobatória dessa imunidade ou isenção tributária, sendo certo que, caso o Debenturista não envie referida documentação, a Emissora fará as retenções dos tributos previstos na</w:t>
      </w:r>
      <w:r w:rsidRPr="00F74141">
        <w:rPr>
          <w:rFonts w:ascii="Verdana" w:hAnsi="Verdana"/>
          <w:bCs/>
          <w:szCs w:val="20"/>
        </w:rPr>
        <w:t xml:space="preserve"> legislação tributária em vigor</w:t>
      </w:r>
      <w:r w:rsidRPr="00F74141">
        <w:rPr>
          <w:rFonts w:ascii="Verdana" w:hAnsi="Verdana"/>
          <w:szCs w:val="20"/>
        </w:rPr>
        <w:t xml:space="preserve"> nos rendimentos de tal Debenturista.</w:t>
      </w:r>
      <w:bookmarkEnd w:id="23"/>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O Debenturista que tenha apresentado documentação comprobatória de sua condição de imunidade ou isenção tributária, nos termos da Cláusula 4.19.1 acima, e que tiver essa condição alterada por disposição normativa, ou por deixar de atender às condições e requisitos porventura prescritos no dispositivo legal aplicável, ou ainda, tiver essa condição questionada por autoridade judicial, fiscal ou regulamentar competente, deverá comunicar esse fato, de forma detalhada e por escrito, ao Agente de Liquidação, com cópia para a Emissora, bem como prestar qualquer informação adicional em relação ao tema que lhe seja solicitada pelo Agente de Liquidação ou pela Emissora.</w:t>
      </w:r>
    </w:p>
    <w:p w:rsidR="00204B37" w:rsidRPr="00F74141" w:rsidRDefault="00706572">
      <w:pPr>
        <w:pStyle w:val="Level2"/>
        <w:keepNext/>
        <w:spacing w:before="240" w:after="240" w:line="320" w:lineRule="exact"/>
        <w:rPr>
          <w:rFonts w:ascii="Verdana" w:hAnsi="Verdana"/>
          <w:b/>
          <w:szCs w:val="20"/>
        </w:rPr>
      </w:pPr>
      <w:r w:rsidRPr="00F74141">
        <w:rPr>
          <w:rFonts w:ascii="Verdana" w:hAnsi="Verdana"/>
          <w:b/>
          <w:szCs w:val="20"/>
        </w:rPr>
        <w:t>Prazo e Data de Vencimento</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Ressalvadas as hipóteses de resgate antecipado, nos termos desta Escritura de Emissão, e/ou de vencimento antecipado das obrigações decorrentes das Debêntures, nos termos previstos nesta Escritura de Emissão, as Debêntures vencerão em 15 de dezembro de 2025 (“</w:t>
      </w:r>
      <w:r w:rsidRPr="00F74141">
        <w:rPr>
          <w:rFonts w:ascii="Verdana" w:hAnsi="Verdana"/>
          <w:b/>
          <w:szCs w:val="20"/>
        </w:rPr>
        <w:t>Data de Vencimento</w:t>
      </w:r>
      <w:r w:rsidRPr="00F74141">
        <w:rPr>
          <w:rFonts w:ascii="Verdana" w:hAnsi="Verdana"/>
          <w:szCs w:val="20"/>
        </w:rPr>
        <w:t>”).</w:t>
      </w:r>
    </w:p>
    <w:p w:rsidR="00204B37" w:rsidRPr="00F74141" w:rsidRDefault="00706572">
      <w:pPr>
        <w:pStyle w:val="Level3"/>
        <w:spacing w:before="240" w:after="240" w:line="320" w:lineRule="exact"/>
        <w:rPr>
          <w:rFonts w:ascii="Verdana" w:hAnsi="Verdana"/>
          <w:szCs w:val="20"/>
        </w:rPr>
      </w:pPr>
      <w:r w:rsidRPr="00F74141">
        <w:rPr>
          <w:rFonts w:ascii="Verdana" w:hAnsi="Verdana"/>
          <w:szCs w:val="20"/>
        </w:rPr>
        <w:t>Ressalvadas as hipóteses de resgate antecipado e/ou de vencimento antecipado das obrigações decorrentes das Debêntures, nos termos desta Escritura de Emissão, a Emissora obriga-se a, na Data de Vencimento, realizar o pagamento das Debêntures pelo saldo do Valor Nominal Unitário das Debêntures da Primeira Série e pelo Valor Nominal Unitário Atualizado das Debêntures da Segunda Série, conforme o caso, acrescidos dos respectivos Juros Remuneratórios e de eventuais valores devidos e não pagos, calculados na forma prevista nesta Escritura de Emissão, incluindo, sem limitação, os Encargos Moratórios.</w:t>
      </w:r>
    </w:p>
    <w:p w:rsidR="00204B37" w:rsidRPr="00F74141" w:rsidRDefault="00706572">
      <w:pPr>
        <w:pStyle w:val="Level2"/>
        <w:spacing w:before="240" w:after="240" w:line="320" w:lineRule="exact"/>
        <w:rPr>
          <w:rFonts w:ascii="Verdana" w:hAnsi="Verdana"/>
          <w:szCs w:val="20"/>
        </w:rPr>
      </w:pPr>
      <w:r w:rsidRPr="00F74141">
        <w:rPr>
          <w:rFonts w:ascii="Verdana" w:hAnsi="Verdana"/>
          <w:b/>
          <w:szCs w:val="20"/>
        </w:rPr>
        <w:t>Atualização Monetária do Valor Nominal Unitário</w:t>
      </w:r>
    </w:p>
    <w:p w:rsidR="00204B37" w:rsidRPr="00F74141" w:rsidRDefault="00706572">
      <w:pPr>
        <w:pStyle w:val="Level3"/>
        <w:spacing w:before="240" w:after="240" w:line="320" w:lineRule="exact"/>
        <w:rPr>
          <w:rFonts w:ascii="Verdana" w:hAnsi="Verdana"/>
          <w:b/>
          <w:szCs w:val="20"/>
        </w:rPr>
      </w:pPr>
      <w:r w:rsidRPr="00F74141">
        <w:rPr>
          <w:rFonts w:ascii="Verdana" w:hAnsi="Verdana"/>
          <w:i/>
          <w:szCs w:val="20"/>
        </w:rPr>
        <w:t>Atualização Monetária das Debêntures da Primeira Série</w:t>
      </w:r>
      <w:r w:rsidRPr="00F74141">
        <w:rPr>
          <w:rFonts w:ascii="Verdana" w:hAnsi="Verdana"/>
          <w:szCs w:val="20"/>
        </w:rPr>
        <w:t>. As Debêntures da Primeira Série não estão sujeitas a qualquer atualização monetária.</w:t>
      </w:r>
    </w:p>
    <w:p w:rsidR="00204B37" w:rsidRPr="00F74141" w:rsidRDefault="00706572">
      <w:pPr>
        <w:pStyle w:val="Level3"/>
        <w:spacing w:before="240" w:after="240" w:line="320" w:lineRule="exact"/>
        <w:rPr>
          <w:rFonts w:ascii="Verdana" w:hAnsi="Verdana"/>
          <w:szCs w:val="20"/>
        </w:rPr>
      </w:pPr>
      <w:r w:rsidRPr="00F74141">
        <w:rPr>
          <w:rFonts w:ascii="Verdana" w:hAnsi="Verdana"/>
          <w:i/>
          <w:szCs w:val="20"/>
        </w:rPr>
        <w:t>Atualização Monetária das Debêntures da Segunda Série</w:t>
      </w:r>
      <w:r w:rsidRPr="00F74141">
        <w:rPr>
          <w:rFonts w:ascii="Verdana" w:hAnsi="Verdana"/>
          <w:szCs w:val="20"/>
        </w:rPr>
        <w:t>. As Debêntures da Segunda Série serão atualizadas pela variação do Índice Nacional de Preços ao Consumidor Amplo (“</w:t>
      </w:r>
      <w:r w:rsidRPr="00F74141">
        <w:rPr>
          <w:rFonts w:ascii="Verdana" w:hAnsi="Verdana"/>
          <w:b/>
          <w:szCs w:val="20"/>
        </w:rPr>
        <w:t>IPCA</w:t>
      </w:r>
      <w:r w:rsidRPr="00F74141">
        <w:rPr>
          <w:rFonts w:ascii="Verdana" w:hAnsi="Verdana"/>
          <w:szCs w:val="20"/>
        </w:rPr>
        <w:t>”), divulgado pelo Instituto Brasileiro de Geografia e Estatística (“</w:t>
      </w:r>
      <w:r w:rsidRPr="00F74141">
        <w:rPr>
          <w:rFonts w:ascii="Verdana" w:hAnsi="Verdana"/>
          <w:b/>
          <w:szCs w:val="20"/>
        </w:rPr>
        <w:t>IBGE</w:t>
      </w:r>
      <w:r w:rsidRPr="00F74141">
        <w:rPr>
          <w:rFonts w:ascii="Verdana" w:hAnsi="Verdana"/>
          <w:szCs w:val="20"/>
        </w:rPr>
        <w:t xml:space="preserve">”), calculado de forma exponencial e cumulativa </w:t>
      </w:r>
      <w:r w:rsidRPr="00F74141">
        <w:rPr>
          <w:rFonts w:ascii="Verdana" w:hAnsi="Verdana"/>
          <w:i/>
          <w:szCs w:val="20"/>
        </w:rPr>
        <w:t xml:space="preserve">pro rata </w:t>
      </w:r>
      <w:proofErr w:type="spellStart"/>
      <w:r w:rsidRPr="00F74141">
        <w:rPr>
          <w:rFonts w:ascii="Verdana" w:hAnsi="Verdana"/>
          <w:i/>
          <w:szCs w:val="20"/>
        </w:rPr>
        <w:t>temporis</w:t>
      </w:r>
      <w:proofErr w:type="spellEnd"/>
      <w:r w:rsidRPr="00F74141">
        <w:rPr>
          <w:rFonts w:ascii="Verdana" w:hAnsi="Verdana"/>
          <w:szCs w:val="20"/>
        </w:rPr>
        <w:t>, desde a Data da Primeira Integralização até a Data de Vencimento, sendo o produto da atualização incorporado automaticamente ao Valor Nominal Unitário das Debêntures da Segunda Série ou saldo do Valor Nominal Unitário das Debêntures da Segunda Série, conforme o caso (“</w:t>
      </w:r>
      <w:r w:rsidRPr="00F74141">
        <w:rPr>
          <w:rFonts w:ascii="Verdana" w:hAnsi="Verdana"/>
          <w:b/>
          <w:szCs w:val="20"/>
        </w:rPr>
        <w:t>Atualização Monetária das Debêntures da Segunda Série</w:t>
      </w:r>
      <w:r w:rsidRPr="00F74141">
        <w:rPr>
          <w:rFonts w:ascii="Verdana" w:hAnsi="Verdana"/>
          <w:szCs w:val="20"/>
        </w:rPr>
        <w:t>” e “</w:t>
      </w:r>
      <w:r w:rsidRPr="00F74141">
        <w:rPr>
          <w:rFonts w:ascii="Verdana" w:hAnsi="Verdana"/>
          <w:b/>
          <w:szCs w:val="20"/>
        </w:rPr>
        <w:t>Valor Nominal Unitário Atualizado das Debêntures da Segunda Série</w:t>
      </w:r>
      <w:r w:rsidRPr="00F74141">
        <w:rPr>
          <w:rFonts w:ascii="Verdana" w:hAnsi="Verdana"/>
          <w:szCs w:val="20"/>
        </w:rPr>
        <w:t>”, respectivamente), e calculado de acordo com a seguinte fórmula:</w:t>
      </w:r>
    </w:p>
    <w:p w:rsidR="00204B37" w:rsidRPr="00F74141" w:rsidRDefault="00706572">
      <w:pPr>
        <w:autoSpaceDE w:val="0"/>
        <w:autoSpaceDN w:val="0"/>
        <w:adjustRightInd w:val="0"/>
        <w:spacing w:before="240" w:after="240" w:line="320" w:lineRule="exact"/>
        <w:ind w:left="709"/>
        <w:jc w:val="center"/>
        <w:rPr>
          <w:rFonts w:ascii="Verdana" w:hAnsi="Verdana"/>
          <w:b/>
          <w:i/>
          <w:iCs/>
          <w:sz w:val="20"/>
          <w:szCs w:val="20"/>
        </w:rPr>
      </w:pPr>
      <w:proofErr w:type="spellStart"/>
      <w:r w:rsidRPr="00F74141">
        <w:rPr>
          <w:rFonts w:ascii="Verdana" w:hAnsi="Verdana"/>
          <w:b/>
          <w:i/>
          <w:iCs/>
          <w:sz w:val="20"/>
          <w:szCs w:val="20"/>
        </w:rPr>
        <w:t>VNa</w:t>
      </w:r>
      <w:proofErr w:type="spellEnd"/>
      <w:r w:rsidRPr="00F74141">
        <w:rPr>
          <w:rFonts w:ascii="Verdana" w:hAnsi="Verdana"/>
          <w:b/>
          <w:i/>
          <w:iCs/>
          <w:sz w:val="20"/>
          <w:szCs w:val="20"/>
        </w:rPr>
        <w:t>=</w:t>
      </w:r>
      <w:proofErr w:type="spellStart"/>
      <w:r w:rsidRPr="00F74141">
        <w:rPr>
          <w:rFonts w:ascii="Verdana" w:hAnsi="Verdana"/>
          <w:b/>
          <w:i/>
          <w:iCs/>
          <w:sz w:val="20"/>
          <w:szCs w:val="20"/>
        </w:rPr>
        <w:t>VNe</w:t>
      </w:r>
      <w:proofErr w:type="spellEnd"/>
      <w:r w:rsidRPr="00F74141">
        <w:rPr>
          <w:rFonts w:ascii="Verdana" w:hAnsi="Verdana"/>
          <w:b/>
          <w:i/>
          <w:iCs/>
          <w:sz w:val="20"/>
          <w:szCs w:val="20"/>
        </w:rPr>
        <w:t xml:space="preserve"> x C</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onde:</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VNa</w:t>
      </w:r>
      <w:proofErr w:type="spellEnd"/>
      <w:r w:rsidRPr="00F74141">
        <w:rPr>
          <w:rFonts w:ascii="Verdana" w:hAnsi="Verdana"/>
          <w:sz w:val="20"/>
          <w:szCs w:val="20"/>
        </w:rPr>
        <w:t>”</w:t>
      </w:r>
      <w:r w:rsidRPr="00F74141">
        <w:rPr>
          <w:rFonts w:ascii="Verdana" w:hAnsi="Verdana"/>
          <w:sz w:val="20"/>
          <w:szCs w:val="20"/>
        </w:rPr>
        <w:tab/>
        <w:t>Valor Nominal Unitário Atualizado das Debêntures da Segunda Série, calculado com 8 (oito) casas decimais, sem arredondamento;</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VNe</w:t>
      </w:r>
      <w:proofErr w:type="spellEnd"/>
      <w:r w:rsidRPr="00F74141">
        <w:rPr>
          <w:rFonts w:ascii="Verdana" w:hAnsi="Verdana"/>
          <w:sz w:val="20"/>
          <w:szCs w:val="20"/>
        </w:rPr>
        <w:t>”</w:t>
      </w:r>
      <w:r w:rsidRPr="00F74141">
        <w:rPr>
          <w:rFonts w:ascii="Verdana" w:hAnsi="Verdana"/>
          <w:sz w:val="20"/>
          <w:szCs w:val="20"/>
        </w:rPr>
        <w:tab/>
        <w:t>Valor Nominal Unitário das Debêntures da Segunda Série ou saldo do Valor Nominal Unitário das Debêntures da Segunda Série, conforme o caso, informado/calculado com 8 (oito) casas decimais, sem arredondamento;</w:t>
      </w:r>
    </w:p>
    <w:p w:rsidR="00204B37" w:rsidRPr="00F74141" w:rsidRDefault="00706572">
      <w:pPr>
        <w:pStyle w:val="sub"/>
        <w:widowControl/>
        <w:tabs>
          <w:tab w:val="clear" w:pos="0"/>
          <w:tab w:val="clear" w:pos="1440"/>
          <w:tab w:val="clear" w:pos="2880"/>
          <w:tab w:val="clear" w:pos="4320"/>
        </w:tabs>
        <w:spacing w:before="240" w:after="240" w:line="320" w:lineRule="exact"/>
        <w:ind w:left="1418"/>
        <w:rPr>
          <w:rFonts w:ascii="Verdana" w:hAnsi="Verdana"/>
          <w:sz w:val="20"/>
          <w:szCs w:val="20"/>
        </w:rPr>
      </w:pPr>
      <w:r w:rsidRPr="00F74141">
        <w:rPr>
          <w:rFonts w:ascii="Verdana" w:hAnsi="Verdana"/>
          <w:sz w:val="20"/>
          <w:szCs w:val="20"/>
        </w:rPr>
        <w:t>“C”</w:t>
      </w:r>
      <w:r w:rsidRPr="00F74141">
        <w:rPr>
          <w:rFonts w:ascii="Verdana" w:hAnsi="Verdana"/>
          <w:sz w:val="20"/>
          <w:szCs w:val="20"/>
        </w:rPr>
        <w:tab/>
      </w:r>
      <w:r w:rsidRPr="00F74141">
        <w:rPr>
          <w:rFonts w:ascii="Verdana" w:hAnsi="Verdana"/>
          <w:sz w:val="20"/>
          <w:szCs w:val="20"/>
        </w:rPr>
        <w:tab/>
        <w:t>Fator acumulado das variações mensais do IPCA, calculado com 8 (oito) casas decimais, sem arredondamento, apurado da seguinte forma:</w:t>
      </w:r>
    </w:p>
    <w:p w:rsidR="00204B37" w:rsidRPr="00F74141" w:rsidRDefault="00706572">
      <w:pPr>
        <w:pStyle w:val="sub"/>
        <w:widowControl/>
        <w:tabs>
          <w:tab w:val="clear" w:pos="0"/>
          <w:tab w:val="clear" w:pos="1440"/>
          <w:tab w:val="clear" w:pos="2880"/>
          <w:tab w:val="clear" w:pos="4320"/>
        </w:tabs>
        <w:spacing w:before="240" w:after="240" w:line="320" w:lineRule="exact"/>
        <w:ind w:left="1418"/>
        <w:rPr>
          <w:rFonts w:ascii="Verdana" w:hAnsi="Verdana"/>
          <w:sz w:val="20"/>
          <w:szCs w:val="20"/>
        </w:rPr>
      </w:pPr>
      <w:r w:rsidRPr="00F74141">
        <w:rPr>
          <w:rFonts w:ascii="Verdana" w:hAnsi="Verdana"/>
          <w:noProof/>
          <w:sz w:val="20"/>
          <w:szCs w:val="20"/>
        </w:rPr>
        <w:drawing>
          <wp:anchor distT="0" distB="0" distL="114300" distR="114300" simplePos="0" relativeHeight="251661312" behindDoc="0" locked="0" layoutInCell="1" allowOverlap="1">
            <wp:simplePos x="0" y="0"/>
            <wp:positionH relativeFrom="column">
              <wp:posOffset>2408349</wp:posOffset>
            </wp:positionH>
            <wp:positionV relativeFrom="paragraph">
              <wp:posOffset>5080</wp:posOffset>
            </wp:positionV>
            <wp:extent cx="1411200" cy="752400"/>
            <wp:effectExtent l="0" t="0" r="0" b="0"/>
            <wp:wrapNone/>
            <wp:docPr id="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1200" cy="75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4B37" w:rsidRPr="00F74141" w:rsidRDefault="00204B37">
      <w:pPr>
        <w:pStyle w:val="sub"/>
        <w:widowControl/>
        <w:tabs>
          <w:tab w:val="clear" w:pos="0"/>
          <w:tab w:val="clear" w:pos="1440"/>
          <w:tab w:val="clear" w:pos="2880"/>
          <w:tab w:val="clear" w:pos="4320"/>
        </w:tabs>
        <w:spacing w:before="240" w:after="240" w:line="320" w:lineRule="exact"/>
        <w:ind w:left="1418"/>
        <w:rPr>
          <w:rFonts w:ascii="Verdana" w:hAnsi="Verdana"/>
          <w:sz w:val="20"/>
          <w:szCs w:val="20"/>
        </w:rPr>
      </w:pP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onde:</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“n”</w:t>
      </w:r>
      <w:r w:rsidRPr="00F74141">
        <w:rPr>
          <w:rFonts w:ascii="Verdana" w:hAnsi="Verdana"/>
          <w:sz w:val="20"/>
          <w:szCs w:val="20"/>
        </w:rPr>
        <w:tab/>
        <w:t>Número total de índices considerados na atualização monetária, sendo “n” um número inteiro;</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NIk</w:t>
      </w:r>
      <w:proofErr w:type="spellEnd"/>
      <w:r w:rsidRPr="00F74141">
        <w:rPr>
          <w:rFonts w:ascii="Verdana" w:hAnsi="Verdana"/>
          <w:sz w:val="20"/>
          <w:szCs w:val="20"/>
        </w:rPr>
        <w:t>”</w:t>
      </w:r>
      <w:r w:rsidRPr="00F74141">
        <w:rPr>
          <w:rFonts w:ascii="Verdana" w:hAnsi="Verdana"/>
          <w:sz w:val="20"/>
          <w:szCs w:val="20"/>
        </w:rPr>
        <w:tab/>
        <w:t>Valor do número-índice do IPCA do mês anterior ao mês de atualização, caso a atualização seja em data anterior ou na própria Data de Aniversário das Debêntures da Segunda Série (conforme abaixo definido), sendo que, após a respectiva Data de Aniversário das Debêntures da Segunda Série, o “</w:t>
      </w:r>
      <w:proofErr w:type="spellStart"/>
      <w:r w:rsidRPr="00F74141">
        <w:rPr>
          <w:rFonts w:ascii="Verdana" w:hAnsi="Verdana"/>
          <w:sz w:val="20"/>
          <w:szCs w:val="20"/>
        </w:rPr>
        <w:t>NIk</w:t>
      </w:r>
      <w:proofErr w:type="spellEnd"/>
      <w:r w:rsidRPr="00F74141">
        <w:rPr>
          <w:rFonts w:ascii="Verdana" w:hAnsi="Verdana"/>
          <w:sz w:val="20"/>
          <w:szCs w:val="20"/>
        </w:rPr>
        <w:t>” corresponderá ao valor do número índice do IPCA do mês de atualização;</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“NIk-1”</w:t>
      </w:r>
      <w:r w:rsidRPr="00F74141">
        <w:rPr>
          <w:rFonts w:ascii="Verdana" w:hAnsi="Verdana"/>
          <w:sz w:val="20"/>
          <w:szCs w:val="20"/>
        </w:rPr>
        <w:tab/>
        <w:t>Valor do número-índice do IPCA do mês anterior ao mês “k”;</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dup</w:t>
      </w:r>
      <w:proofErr w:type="spellEnd"/>
      <w:r w:rsidRPr="00F74141">
        <w:rPr>
          <w:rFonts w:ascii="Verdana" w:hAnsi="Verdana"/>
          <w:sz w:val="20"/>
          <w:szCs w:val="20"/>
        </w:rPr>
        <w:t>”</w:t>
      </w:r>
      <w:r w:rsidRPr="00F74141">
        <w:rPr>
          <w:rFonts w:ascii="Verdana" w:hAnsi="Verdana"/>
          <w:sz w:val="20"/>
          <w:szCs w:val="20"/>
        </w:rPr>
        <w:tab/>
        <w:t>Número de Dias Úteis entre a Data da Primeira Integralização (ou a última Data de Aniversário das Debêntures da Segunda Série, conforme o caso) e a data de cálculo, limitado ao número total de Dias Úteis de vigência do número-índice do IPCA, sendo “</w:t>
      </w:r>
      <w:proofErr w:type="spellStart"/>
      <w:r w:rsidRPr="00F74141">
        <w:rPr>
          <w:rFonts w:ascii="Verdana" w:hAnsi="Verdana"/>
          <w:sz w:val="20"/>
          <w:szCs w:val="20"/>
        </w:rPr>
        <w:t>dup</w:t>
      </w:r>
      <w:proofErr w:type="spellEnd"/>
      <w:r w:rsidRPr="00F74141">
        <w:rPr>
          <w:rFonts w:ascii="Verdana" w:hAnsi="Verdana"/>
          <w:sz w:val="20"/>
          <w:szCs w:val="20"/>
        </w:rPr>
        <w:t>” um número inteiro; e</w:t>
      </w:r>
    </w:p>
    <w:p w:rsidR="00204B37" w:rsidRPr="00F74141" w:rsidRDefault="00706572">
      <w:pPr>
        <w:pStyle w:val="sub"/>
        <w:widowControl/>
        <w:tabs>
          <w:tab w:val="clear" w:pos="0"/>
          <w:tab w:val="clear" w:pos="1440"/>
          <w:tab w:val="clear" w:pos="2880"/>
          <w:tab w:val="clear" w:pos="4320"/>
        </w:tabs>
        <w:spacing w:before="240" w:after="240" w:line="320" w:lineRule="exact"/>
        <w:ind w:left="1418"/>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dut</w:t>
      </w:r>
      <w:proofErr w:type="spellEnd"/>
      <w:r w:rsidRPr="00F74141">
        <w:rPr>
          <w:rFonts w:ascii="Verdana" w:hAnsi="Verdana"/>
          <w:sz w:val="20"/>
          <w:szCs w:val="20"/>
        </w:rPr>
        <w:t>”</w:t>
      </w:r>
      <w:r w:rsidRPr="00F74141">
        <w:rPr>
          <w:rFonts w:ascii="Verdana" w:hAnsi="Verdana"/>
          <w:sz w:val="20"/>
          <w:szCs w:val="20"/>
        </w:rPr>
        <w:tab/>
      </w:r>
      <w:r w:rsidRPr="00F74141">
        <w:rPr>
          <w:rFonts w:ascii="Verdana" w:hAnsi="Verdana"/>
          <w:sz w:val="20"/>
          <w:szCs w:val="20"/>
        </w:rPr>
        <w:tab/>
        <w:t>Número de Dias Úteis contidos entre a Data da Primeira Integralização (ou a última Data de Aniversário das Debêntures da Segunda Série) e a próxima Data de Aniversário das Debêntures da Segunda Série, sendo “</w:t>
      </w:r>
      <w:proofErr w:type="spellStart"/>
      <w:r w:rsidRPr="00F74141">
        <w:rPr>
          <w:rFonts w:ascii="Verdana" w:hAnsi="Verdana"/>
          <w:sz w:val="20"/>
          <w:szCs w:val="20"/>
        </w:rPr>
        <w:t>dut</w:t>
      </w:r>
      <w:proofErr w:type="spellEnd"/>
      <w:r w:rsidRPr="00F74141">
        <w:rPr>
          <w:rFonts w:ascii="Verdana" w:hAnsi="Verdana"/>
          <w:sz w:val="20"/>
          <w:szCs w:val="20"/>
        </w:rPr>
        <w:t>” um número inteiro.</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Observações:</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(i)</w:t>
      </w:r>
      <w:r w:rsidRPr="00F74141">
        <w:rPr>
          <w:rFonts w:ascii="Verdana" w:hAnsi="Verdana"/>
          <w:sz w:val="20"/>
          <w:szCs w:val="20"/>
        </w:rPr>
        <w:tab/>
        <w:t>O número-índice do IPCA deverá ser utilizado considerando-se idêntico número de casas decimais daquele divulgado pelo IBGE;</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ii</w:t>
      </w:r>
      <w:proofErr w:type="spellEnd"/>
      <w:r w:rsidRPr="00F74141">
        <w:rPr>
          <w:rFonts w:ascii="Verdana" w:hAnsi="Verdana"/>
          <w:sz w:val="20"/>
          <w:szCs w:val="20"/>
        </w:rPr>
        <w:t>)</w:t>
      </w:r>
      <w:r w:rsidRPr="00F74141">
        <w:rPr>
          <w:rFonts w:ascii="Verdana" w:hAnsi="Verdana"/>
          <w:sz w:val="20"/>
          <w:szCs w:val="20"/>
        </w:rPr>
        <w:tab/>
        <w:t>A aplicação do IPCA incidirá no menor período permitido pela legislação em vigor sem necessidade de ajuste à Escritura de Emissão ou qualquer outra formalidade;</w:t>
      </w: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noProof/>
          <w:sz w:val="20"/>
          <w:szCs w:val="20"/>
        </w:rPr>
        <w:drawing>
          <wp:anchor distT="0" distB="0" distL="114300" distR="114300" simplePos="0" relativeHeight="251662336" behindDoc="0" locked="0" layoutInCell="1" allowOverlap="0">
            <wp:simplePos x="0" y="0"/>
            <wp:positionH relativeFrom="column">
              <wp:posOffset>3068320</wp:posOffset>
            </wp:positionH>
            <wp:positionV relativeFrom="paragraph">
              <wp:posOffset>945677</wp:posOffset>
            </wp:positionV>
            <wp:extent cx="812800" cy="542925"/>
            <wp:effectExtent l="0" t="0" r="6350" b="9525"/>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2800"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4141">
        <w:rPr>
          <w:rFonts w:ascii="Verdana" w:hAnsi="Verdana"/>
          <w:sz w:val="20"/>
          <w:szCs w:val="20"/>
        </w:rPr>
        <w:t>(</w:t>
      </w:r>
      <w:proofErr w:type="spellStart"/>
      <w:r w:rsidRPr="00F74141">
        <w:rPr>
          <w:rFonts w:ascii="Verdana" w:hAnsi="Verdana"/>
          <w:sz w:val="20"/>
          <w:szCs w:val="20"/>
        </w:rPr>
        <w:t>iii</w:t>
      </w:r>
      <w:proofErr w:type="spellEnd"/>
      <w:r w:rsidRPr="00F74141">
        <w:rPr>
          <w:rFonts w:ascii="Verdana" w:hAnsi="Verdana"/>
          <w:sz w:val="20"/>
          <w:szCs w:val="20"/>
        </w:rPr>
        <w:t>)</w:t>
      </w:r>
      <w:r w:rsidRPr="00F74141">
        <w:rPr>
          <w:rFonts w:ascii="Verdana" w:hAnsi="Verdana"/>
          <w:sz w:val="20"/>
          <w:szCs w:val="20"/>
        </w:rPr>
        <w:tab/>
        <w:t>Considera-se como “</w:t>
      </w:r>
      <w:r w:rsidRPr="00F74141">
        <w:rPr>
          <w:rFonts w:ascii="Verdana" w:hAnsi="Verdana"/>
          <w:b/>
          <w:sz w:val="20"/>
          <w:szCs w:val="20"/>
        </w:rPr>
        <w:t>Data de Aniversário das Debêntures da Segunda Série</w:t>
      </w:r>
      <w:r w:rsidRPr="00F74141">
        <w:rPr>
          <w:rFonts w:ascii="Verdana" w:hAnsi="Verdana"/>
          <w:sz w:val="20"/>
          <w:szCs w:val="20"/>
        </w:rPr>
        <w:t>” todo dia 15 de cada mês, e caso referida data não seja Dia Útil, o primeiro Dia Útil subsequente. Considera-se como mês de atualização, o período mensal compreendido entre duas datas de aniversário consecutivas;</w:t>
      </w:r>
    </w:p>
    <w:p w:rsidR="00204B37" w:rsidRPr="00F74141" w:rsidRDefault="00204B37">
      <w:pPr>
        <w:pStyle w:val="sub"/>
        <w:widowControl/>
        <w:spacing w:before="240" w:after="240" w:line="320" w:lineRule="exact"/>
        <w:ind w:left="1418"/>
        <w:rPr>
          <w:rFonts w:ascii="Verdana" w:hAnsi="Verdana"/>
          <w:sz w:val="20"/>
          <w:szCs w:val="20"/>
        </w:rPr>
      </w:pPr>
    </w:p>
    <w:p w:rsidR="00204B37" w:rsidRPr="00F74141" w:rsidRDefault="00706572">
      <w:pPr>
        <w:pStyle w:val="sub"/>
        <w:widowControl/>
        <w:spacing w:before="240" w:after="240" w:line="320" w:lineRule="exact"/>
        <w:ind w:left="1418"/>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iv</w:t>
      </w:r>
      <w:proofErr w:type="spellEnd"/>
      <w:r w:rsidRPr="00F74141">
        <w:rPr>
          <w:rFonts w:ascii="Verdana" w:hAnsi="Verdana"/>
          <w:sz w:val="20"/>
          <w:szCs w:val="20"/>
        </w:rPr>
        <w:t>)</w:t>
      </w:r>
      <w:r w:rsidRPr="00F74141">
        <w:rPr>
          <w:rFonts w:ascii="Verdana" w:hAnsi="Verdana"/>
          <w:sz w:val="20"/>
          <w:szCs w:val="20"/>
        </w:rPr>
        <w:tab/>
        <w:t>O fator resultante da expressão é considerado com 8 (oito) casas decimais, sem arredondamento; e</w:t>
      </w:r>
    </w:p>
    <w:p w:rsidR="00204B37" w:rsidRPr="00F74141" w:rsidRDefault="00706572">
      <w:pPr>
        <w:pStyle w:val="sub"/>
        <w:widowControl/>
        <w:tabs>
          <w:tab w:val="clear" w:pos="0"/>
          <w:tab w:val="clear" w:pos="1440"/>
          <w:tab w:val="clear" w:pos="2880"/>
          <w:tab w:val="clear" w:pos="4320"/>
        </w:tabs>
        <w:spacing w:before="240" w:after="240" w:line="320" w:lineRule="exact"/>
        <w:ind w:left="1418"/>
        <w:rPr>
          <w:rFonts w:ascii="Verdana" w:hAnsi="Verdana"/>
          <w:sz w:val="20"/>
          <w:szCs w:val="20"/>
        </w:rPr>
      </w:pPr>
      <w:r w:rsidRPr="00F74141">
        <w:rPr>
          <w:rFonts w:ascii="Verdana" w:hAnsi="Verdana"/>
          <w:sz w:val="20"/>
          <w:szCs w:val="20"/>
        </w:rPr>
        <w:t>(v)</w:t>
      </w:r>
      <w:r w:rsidRPr="00F74141">
        <w:rPr>
          <w:rFonts w:ascii="Verdana" w:hAnsi="Verdana"/>
          <w:sz w:val="20"/>
          <w:szCs w:val="20"/>
        </w:rPr>
        <w:tab/>
      </w:r>
      <w:r w:rsidRPr="00F74141">
        <w:rPr>
          <w:rFonts w:ascii="Verdana" w:hAnsi="Verdana"/>
          <w:sz w:val="20"/>
          <w:szCs w:val="20"/>
        </w:rPr>
        <w:tab/>
        <w:t xml:space="preserve">O </w:t>
      </w:r>
      <w:proofErr w:type="spellStart"/>
      <w:r w:rsidRPr="00F74141">
        <w:rPr>
          <w:rFonts w:ascii="Verdana" w:hAnsi="Verdana"/>
          <w:sz w:val="20"/>
          <w:szCs w:val="20"/>
        </w:rPr>
        <w:t>produtório</w:t>
      </w:r>
      <w:proofErr w:type="spellEnd"/>
      <w:r w:rsidRPr="00F74141">
        <w:rPr>
          <w:rFonts w:ascii="Verdana" w:hAnsi="Verdana"/>
          <w:sz w:val="20"/>
          <w:szCs w:val="20"/>
        </w:rPr>
        <w:t xml:space="preserve"> é executado a partir do fator mais recente, acrescentando-se, em seguida, os mais remotos. Os resultados intermediários são calculados com 16 (dezesseis) casas decimais, sem arredondamento.</w:t>
      </w:r>
    </w:p>
    <w:p w:rsidR="00204B37" w:rsidRPr="00F74141" w:rsidRDefault="00706572">
      <w:pPr>
        <w:pStyle w:val="Level2"/>
        <w:numPr>
          <w:ilvl w:val="3"/>
          <w:numId w:val="24"/>
        </w:numPr>
        <w:spacing w:before="240" w:after="240" w:line="320" w:lineRule="exact"/>
        <w:rPr>
          <w:rFonts w:ascii="Verdana" w:hAnsi="Verdana"/>
        </w:rPr>
      </w:pPr>
      <w:r w:rsidRPr="00F74141">
        <w:rPr>
          <w:rFonts w:ascii="Verdana" w:hAnsi="Verdana"/>
        </w:rPr>
        <w:t>Caso o IPCA não esteja disponível, será utilizado, em sua substituição, a variação correspondente ao último IPCA divulgado oficialmente até a data do cálculo, não sendo devidas quaisquer compensações financeiras, multas ou penalidades entre a Emissora e os Debenturistas da Segunda Série, quando da posterior divulgação do IPCA que vier a se tornar disponível.</w:t>
      </w:r>
    </w:p>
    <w:p w:rsidR="00204B37" w:rsidRPr="00F74141" w:rsidRDefault="00706572">
      <w:pPr>
        <w:pStyle w:val="Level2"/>
        <w:numPr>
          <w:ilvl w:val="3"/>
          <w:numId w:val="24"/>
        </w:numPr>
        <w:spacing w:before="240" w:after="240" w:line="320" w:lineRule="exact"/>
        <w:rPr>
          <w:rFonts w:ascii="Verdana" w:hAnsi="Verdana"/>
        </w:rPr>
      </w:pPr>
      <w:r w:rsidRPr="00F74141">
        <w:rPr>
          <w:rFonts w:ascii="Verdana" w:hAnsi="Verdana"/>
          <w:szCs w:val="20"/>
        </w:rPr>
        <w:t>Na ausência de apuração e/ou divulgação do IPCA por prazo superior a 10 (dez) dias corridos e consecutivos da data esperada para sua divulgação, ou, ainda, imediatamente, no caso de sua extinção ou de impossibilidade de aplicação do IPCA por imposição legal ou determinação judicial, o Agente Fiduciário deverá convocar Assembleia Geral de Debenturistas  no prazo de até 2 (dois) dias contados da data de término do prazo de qualquer um dos eventos previstos no início desta Cláusula, para os Debenturistas definirem, de comum acordo com a Emissora, o novo parâmetro de atualização monetária das Debêntures da Segunda Série a ser aplicado. Até a deliberação desse parâmetro será utilizada, para o cálculo do valor de quaisquer obrigações previstas nesta Escritura, a última variação disponível do IPCA divulgada oficialmente até a data da deliberação da Assembleia Geral de Debenturistas.</w:t>
      </w:r>
    </w:p>
    <w:p w:rsidR="00204B37" w:rsidRPr="00F74141" w:rsidRDefault="00706572">
      <w:pPr>
        <w:pStyle w:val="Level2"/>
        <w:numPr>
          <w:ilvl w:val="3"/>
          <w:numId w:val="24"/>
        </w:numPr>
        <w:spacing w:before="240" w:after="240" w:line="320" w:lineRule="exact"/>
        <w:rPr>
          <w:rFonts w:ascii="Verdana" w:hAnsi="Verdana"/>
        </w:rPr>
      </w:pPr>
      <w:r w:rsidRPr="00F74141">
        <w:rPr>
          <w:rFonts w:ascii="Verdana" w:hAnsi="Verdana"/>
          <w:szCs w:val="20"/>
        </w:rPr>
        <w:t>Caso o IPCA venha a ser divulgado antes da realização da Assembleia Geral de Debenturistas, referida assembleia não será mais realizada, e o IPCA, a partir de sua divulgação, passará a ser utilizado para o cálculo da atualização monetária das Debêntures da Segunda Série, permanecendo o último IPCA conhecido anteriormente a ser utilizado até data da divulgação, não sendo devidas quaisquer compensações financeiras, multas ou penalidades, tanto por parte da Emissora, quanto pelos Debenturistas, quando da divulgação posterior do IPCA.</w:t>
      </w:r>
    </w:p>
    <w:p w:rsidR="00204B37" w:rsidRPr="00F74141" w:rsidRDefault="00706572">
      <w:pPr>
        <w:pStyle w:val="Level2"/>
        <w:numPr>
          <w:ilvl w:val="3"/>
          <w:numId w:val="24"/>
        </w:numPr>
        <w:spacing w:before="240" w:after="240" w:line="320" w:lineRule="exact"/>
        <w:rPr>
          <w:rFonts w:ascii="Verdana" w:hAnsi="Verdana"/>
        </w:rPr>
      </w:pPr>
      <w:r w:rsidRPr="00F74141">
        <w:rPr>
          <w:rFonts w:ascii="Verdana" w:hAnsi="Verdana"/>
          <w:szCs w:val="20"/>
        </w:rPr>
        <w:t xml:space="preserve">Caso não haja acordo sobre a taxa substitutiva entre a Emissora e os Debenturistas da Segunda Série representando, no mínimo, 75% (setenta e cinco por cento) das Debêntures em Circulação (conforme definido abaixo) da Segunda Série ou caso não haja quórum para instalação e/ou deliberação, a Emissora resgatará antecipadamente e, consequentemente, cancelará antecipadamente a totalidade das Debêntures da Segunda Série, no prazo de 30 (trinta) dias a contar da data da realização da respectiva Assembleia Geral de Debenturistas ou da data em que referida assembleia deveria ter ocorrido, ou na Data de Vencimento, o que ocorrer primeiro, pelo Valor Nominal Unitário Atualizado das Debêntures da Segunda Série, nos termos desta Escritura de Emissão, acrescido dos Juros Remuneratórios da Segunda Série devidos até a data do efetivo resgate, calculados </w:t>
      </w:r>
      <w:r w:rsidRPr="00F74141">
        <w:rPr>
          <w:rFonts w:ascii="Verdana" w:hAnsi="Verdana"/>
          <w:i/>
          <w:iCs/>
          <w:szCs w:val="20"/>
        </w:rPr>
        <w:t xml:space="preserve">pro rata </w:t>
      </w:r>
      <w:proofErr w:type="spellStart"/>
      <w:r w:rsidRPr="00F74141">
        <w:rPr>
          <w:rFonts w:ascii="Verdana" w:hAnsi="Verdana"/>
          <w:i/>
          <w:iCs/>
          <w:szCs w:val="20"/>
        </w:rPr>
        <w:t>temporis</w:t>
      </w:r>
      <w:proofErr w:type="spellEnd"/>
      <w:r w:rsidRPr="00F74141">
        <w:rPr>
          <w:rFonts w:ascii="Verdana" w:hAnsi="Verdana"/>
          <w:szCs w:val="20"/>
        </w:rPr>
        <w:t xml:space="preserve"> a partir da Data da Primeira Integralização ou da Data de Pagamento dos Juros Remuneratórios imediatamente anterior, conforme o caso, e dos Encargos Moratórios, se for o caso. Nesta hipótese, para cálculo da atualização monetária aplicável às Debêntures da Segunda Série a serem resgatadas e, consequentemente, canceladas, será utilizada a última variação do IPCA conhecida.</w:t>
      </w:r>
    </w:p>
    <w:p w:rsidR="00204B37" w:rsidRPr="00F74141" w:rsidRDefault="00706572">
      <w:pPr>
        <w:pStyle w:val="Level2"/>
        <w:keepNext/>
        <w:spacing w:before="240" w:after="240" w:line="320" w:lineRule="exact"/>
        <w:rPr>
          <w:rFonts w:ascii="Verdana" w:hAnsi="Verdana"/>
          <w:b/>
          <w:szCs w:val="20"/>
        </w:rPr>
      </w:pPr>
      <w:r w:rsidRPr="00F74141">
        <w:rPr>
          <w:rFonts w:ascii="Verdana" w:hAnsi="Verdana"/>
          <w:b/>
          <w:szCs w:val="20"/>
        </w:rPr>
        <w:t>Amortização do Valor Nominal Unitário</w:t>
      </w:r>
    </w:p>
    <w:p w:rsidR="00204B37" w:rsidRPr="00F74141" w:rsidRDefault="00706572">
      <w:pPr>
        <w:pStyle w:val="Level3"/>
        <w:keepNext/>
        <w:spacing w:before="240" w:after="240" w:line="320" w:lineRule="exact"/>
        <w:ind w:left="1360" w:hanging="680"/>
        <w:rPr>
          <w:rFonts w:ascii="Verdana" w:hAnsi="Verdana"/>
          <w:szCs w:val="20"/>
        </w:rPr>
      </w:pPr>
      <w:r w:rsidRPr="00F74141">
        <w:rPr>
          <w:rFonts w:ascii="Verdana" w:hAnsi="Verdana"/>
          <w:szCs w:val="20"/>
        </w:rPr>
        <w:t>Sem prejuízo da liquidação antecipada decorrente de resgate antecipado, da amortização antecipada e/ou do vencimento antecipado das obrigações decorrentes das Debêntures, nos termos previstos nesta Escritura de Emissão, o Valor Nominal Unitário das Debêntures da Primeira Série e o Valor Nominal Unitário Atualizado das Debêntures da Segunda Série serão amortizados em 13 parcelas semestrais e consecutivas, a partir do 3º (terceiro) mês (inclusive) contado da Data de Emissão, no dia 15 dos meses de dezembro e junho de cada ano, sendo o primeiro pagamento em 15 de dezembro de 2019 e o último na Data de Vencimento, conforme cronograma e percentuais abaixo (“</w:t>
      </w:r>
      <w:r w:rsidRPr="00F74141">
        <w:rPr>
          <w:rFonts w:ascii="Verdana" w:hAnsi="Verdana"/>
          <w:b/>
          <w:szCs w:val="20"/>
        </w:rPr>
        <w:t>Amortização das Debêntures</w:t>
      </w:r>
      <w:r w:rsidRPr="00F74141">
        <w:rPr>
          <w:rFonts w:ascii="Verdana" w:hAnsi="Verdana"/>
          <w:szCs w:val="20"/>
        </w:rPr>
        <w:t>”), sendo cada uma das datas definida como “</w:t>
      </w:r>
      <w:r w:rsidRPr="00F74141">
        <w:rPr>
          <w:rFonts w:ascii="Verdana" w:hAnsi="Verdana"/>
          <w:b/>
          <w:szCs w:val="20"/>
        </w:rPr>
        <w:t>Data de Amortização das Debêntures</w:t>
      </w:r>
      <w:r w:rsidRPr="00F74141">
        <w:rPr>
          <w:rFonts w:ascii="Verdana" w:hAnsi="Verdana"/>
          <w:szCs w:val="20"/>
        </w:rPr>
        <w:t>”:</w:t>
      </w:r>
    </w:p>
    <w:tbl>
      <w:tblPr>
        <w:tblW w:w="4249" w:type="pct"/>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80"/>
        <w:gridCol w:w="1986"/>
        <w:gridCol w:w="1897"/>
      </w:tblGrid>
      <w:tr w:rsidR="00204B37" w:rsidRPr="00F74141">
        <w:trPr>
          <w:tblHeader/>
        </w:trPr>
        <w:tc>
          <w:tcPr>
            <w:tcW w:w="709" w:type="pct"/>
            <w:shd w:val="clear" w:color="auto" w:fill="D9D9D9" w:themeFill="background1" w:themeFillShade="D9"/>
            <w:vAlign w:val="center"/>
          </w:tcPr>
          <w:p w:rsidR="00204B37" w:rsidRPr="00F74141" w:rsidRDefault="00706572">
            <w:pPr>
              <w:spacing w:before="240" w:after="240" w:line="320" w:lineRule="exact"/>
              <w:contextualSpacing/>
              <w:jc w:val="center"/>
              <w:rPr>
                <w:rFonts w:ascii="Verdana" w:hAnsi="Verdana" w:cs="Tahoma"/>
                <w:b/>
                <w:sz w:val="20"/>
                <w:szCs w:val="20"/>
              </w:rPr>
            </w:pPr>
            <w:r w:rsidRPr="00F74141">
              <w:rPr>
                <w:rFonts w:ascii="Verdana" w:hAnsi="Verdana" w:cs="Tahoma"/>
                <w:b/>
                <w:sz w:val="20"/>
                <w:szCs w:val="20"/>
              </w:rPr>
              <w:t>Parcela</w:t>
            </w:r>
          </w:p>
        </w:tc>
        <w:tc>
          <w:tcPr>
            <w:tcW w:w="1863" w:type="pct"/>
            <w:shd w:val="clear" w:color="auto" w:fill="D9D9D9" w:themeFill="background1" w:themeFillShade="D9"/>
            <w:vAlign w:val="center"/>
          </w:tcPr>
          <w:p w:rsidR="00204B37" w:rsidRPr="00F74141" w:rsidRDefault="00706572">
            <w:pPr>
              <w:spacing w:before="240" w:after="240" w:line="320" w:lineRule="exact"/>
              <w:contextualSpacing/>
              <w:jc w:val="center"/>
              <w:rPr>
                <w:rFonts w:ascii="Verdana" w:hAnsi="Verdana" w:cs="Tahoma"/>
                <w:b/>
                <w:sz w:val="20"/>
                <w:szCs w:val="20"/>
              </w:rPr>
            </w:pPr>
            <w:r w:rsidRPr="00F74141">
              <w:rPr>
                <w:rFonts w:ascii="Verdana" w:hAnsi="Verdana" w:cs="Tahoma"/>
                <w:b/>
                <w:sz w:val="20"/>
                <w:szCs w:val="20"/>
              </w:rPr>
              <w:t>Data de Amortização das Debêntures</w:t>
            </w:r>
          </w:p>
        </w:tc>
        <w:tc>
          <w:tcPr>
            <w:tcW w:w="1242" w:type="pct"/>
            <w:shd w:val="clear" w:color="auto" w:fill="D9D9D9" w:themeFill="background1" w:themeFillShade="D9"/>
            <w:vAlign w:val="center"/>
          </w:tcPr>
          <w:p w:rsidR="00204B37" w:rsidRPr="00F74141" w:rsidRDefault="00706572">
            <w:pPr>
              <w:spacing w:before="240" w:after="240" w:line="320" w:lineRule="exact"/>
              <w:contextualSpacing/>
              <w:jc w:val="center"/>
              <w:rPr>
                <w:rFonts w:ascii="Verdana" w:hAnsi="Verdana" w:cs="Tahoma"/>
                <w:b/>
                <w:sz w:val="20"/>
                <w:szCs w:val="20"/>
              </w:rPr>
            </w:pPr>
            <w:r w:rsidRPr="00F74141">
              <w:rPr>
                <w:rFonts w:ascii="Verdana" w:hAnsi="Verdana" w:cs="Tahoma"/>
                <w:b/>
                <w:sz w:val="20"/>
                <w:szCs w:val="20"/>
              </w:rPr>
              <w:t>Percentual Amortizado do Valor Nominal Unitário das Debêntures da Primeira Série</w:t>
            </w:r>
          </w:p>
        </w:tc>
        <w:tc>
          <w:tcPr>
            <w:tcW w:w="1186" w:type="pct"/>
            <w:shd w:val="clear" w:color="auto" w:fill="D9D9D9" w:themeFill="background1" w:themeFillShade="D9"/>
          </w:tcPr>
          <w:p w:rsidR="00204B37" w:rsidRPr="00F74141" w:rsidRDefault="00706572">
            <w:pPr>
              <w:spacing w:before="240" w:after="240" w:line="320" w:lineRule="exact"/>
              <w:contextualSpacing/>
              <w:jc w:val="center"/>
              <w:rPr>
                <w:rFonts w:ascii="Verdana" w:hAnsi="Verdana" w:cs="Tahoma"/>
                <w:b/>
                <w:sz w:val="20"/>
                <w:szCs w:val="20"/>
              </w:rPr>
            </w:pPr>
            <w:r w:rsidRPr="00F74141">
              <w:rPr>
                <w:rFonts w:ascii="Verdana" w:hAnsi="Verdana" w:cs="Tahoma"/>
                <w:b/>
                <w:sz w:val="20"/>
                <w:szCs w:val="20"/>
              </w:rPr>
              <w:t>Percentual Amortizado do Valor Nominal Unitário Atualizado das Debêntures da Segunda Série</w:t>
            </w:r>
          </w:p>
        </w:tc>
      </w:tr>
      <w:tr w:rsidR="00204B37" w:rsidRPr="00F74141">
        <w:tc>
          <w:tcPr>
            <w:tcW w:w="709"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2019</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8,0000%</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8,0000%</w:t>
            </w:r>
          </w:p>
        </w:tc>
      </w:tr>
      <w:tr w:rsidR="00204B37" w:rsidRPr="00F74141">
        <w:tc>
          <w:tcPr>
            <w:tcW w:w="709"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2ª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2020</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6,4575%</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7,8800%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3ª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2020</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6,4575%</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8,5500%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4ª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2021</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6,9272%</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9,6800%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5ª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2021</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6,9272%</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10,7100%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6ª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2022</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7,2324%</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12,2000%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7ª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2022</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7,2324%</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13,9000%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8ª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2023</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7,8665%</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16,4000%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9ª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2023</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7,8665%</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19,6200%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10ª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2024</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8,4065%</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24,8000%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11ª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2024</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8,4065%</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32,9800%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12ª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2025</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9,1099%</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50,0000%</w:t>
            </w:r>
          </w:p>
        </w:tc>
      </w:tr>
      <w:tr w:rsidR="00204B37" w:rsidRPr="00F74141">
        <w:tc>
          <w:tcPr>
            <w:tcW w:w="709"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13ª</w:t>
            </w:r>
          </w:p>
        </w:tc>
        <w:tc>
          <w:tcPr>
            <w:tcW w:w="186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sz w:val="20"/>
                <w:szCs w:val="20"/>
              </w:rPr>
              <w:t>Data de Vencimento</w:t>
            </w:r>
          </w:p>
        </w:tc>
        <w:tc>
          <w:tcPr>
            <w:tcW w:w="1242"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9,1099%</w:t>
            </w:r>
          </w:p>
        </w:tc>
        <w:tc>
          <w:tcPr>
            <w:tcW w:w="1186" w:type="pct"/>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100,0000%</w:t>
            </w:r>
          </w:p>
        </w:tc>
      </w:tr>
    </w:tbl>
    <w:p w:rsidR="00204B37" w:rsidRPr="00F74141" w:rsidRDefault="00706572">
      <w:pPr>
        <w:pStyle w:val="Level2"/>
        <w:spacing w:before="240" w:after="240" w:line="320" w:lineRule="exact"/>
        <w:rPr>
          <w:rFonts w:ascii="Verdana" w:hAnsi="Verdana"/>
          <w:b/>
          <w:szCs w:val="20"/>
        </w:rPr>
      </w:pPr>
      <w:bookmarkStart w:id="24" w:name="_Ref522000082"/>
      <w:bookmarkStart w:id="25" w:name="_Ref490410774"/>
      <w:bookmarkStart w:id="26" w:name="_Ref474777300"/>
      <w:bookmarkStart w:id="27" w:name="_Ref147892691"/>
      <w:bookmarkStart w:id="28" w:name="_DV_C96"/>
      <w:bookmarkStart w:id="29" w:name="_Ref435652978"/>
      <w:r w:rsidRPr="00F74141">
        <w:rPr>
          <w:rFonts w:ascii="Verdana" w:hAnsi="Verdana"/>
          <w:b/>
          <w:szCs w:val="20"/>
        </w:rPr>
        <w:t>Juros Remuneratórios</w:t>
      </w:r>
      <w:bookmarkStart w:id="30" w:name="_DV_M176"/>
      <w:bookmarkStart w:id="31" w:name="_DV_M182"/>
      <w:bookmarkStart w:id="32" w:name="_DV_M184"/>
      <w:bookmarkStart w:id="33" w:name="_Ref435688993"/>
      <w:bookmarkEnd w:id="24"/>
      <w:bookmarkEnd w:id="30"/>
      <w:bookmarkEnd w:id="31"/>
      <w:bookmarkEnd w:id="32"/>
    </w:p>
    <w:p w:rsidR="00204B37" w:rsidRPr="00F74141" w:rsidRDefault="00706572">
      <w:pPr>
        <w:pStyle w:val="Level3"/>
        <w:spacing w:before="240" w:after="240" w:line="320" w:lineRule="exact"/>
        <w:rPr>
          <w:rFonts w:ascii="Verdana" w:hAnsi="Verdana"/>
          <w:b/>
          <w:szCs w:val="20"/>
        </w:rPr>
      </w:pPr>
      <w:r w:rsidRPr="00F74141">
        <w:rPr>
          <w:rFonts w:ascii="Verdana" w:eastAsia="Arial Unicode MS" w:hAnsi="Verdana"/>
          <w:i/>
          <w:szCs w:val="20"/>
        </w:rPr>
        <w:t>Juros Remuneratórios das Debêntures da Primeira Série.</w:t>
      </w:r>
      <w:r w:rsidRPr="00F74141">
        <w:rPr>
          <w:rFonts w:ascii="Verdana" w:hAnsi="Verdana"/>
          <w:szCs w:val="20"/>
        </w:rPr>
        <w:t xml:space="preserve"> Sobre o Valor Nominal Unitário das Debêntures da Primeira Série ou saldo do Valor Nominal Unitário das Debêntures da Primeira Série, conforme o caso, incidirão juros remuneratórios correspondentes a 100% (cem por cento) da variação acumulada das taxas médias diárias dos DI – Depósitos Interfinanceiros de um dia, </w:t>
      </w:r>
      <w:r w:rsidRPr="00F74141">
        <w:rPr>
          <w:rFonts w:ascii="Verdana" w:hAnsi="Verdana"/>
          <w:i/>
          <w:szCs w:val="20"/>
        </w:rPr>
        <w:t>over extra grupo</w:t>
      </w:r>
      <w:r w:rsidRPr="00F74141">
        <w:rPr>
          <w:rFonts w:ascii="Verdana" w:hAnsi="Verdana"/>
          <w:szCs w:val="20"/>
        </w:rPr>
        <w:t>, base 252 (duzentos e cinquenta e dois) Dias Úteis, calculadas e divulgadas diariamente pela B3, no informativo diário disponível em sua página na Internet (http://www.b3.com.br) (“</w:t>
      </w:r>
      <w:r w:rsidRPr="00F74141">
        <w:rPr>
          <w:rFonts w:ascii="Verdana" w:hAnsi="Verdana"/>
          <w:b/>
          <w:szCs w:val="20"/>
        </w:rPr>
        <w:t>Taxa DI</w:t>
      </w:r>
      <w:r w:rsidRPr="00F74141">
        <w:rPr>
          <w:rFonts w:ascii="Verdana" w:hAnsi="Verdana"/>
          <w:szCs w:val="20"/>
        </w:rPr>
        <w:t>”), acrescida exponencialmente de sobretaxa (s</w:t>
      </w:r>
      <w:r w:rsidRPr="00F74141">
        <w:rPr>
          <w:rFonts w:ascii="Verdana" w:hAnsi="Verdana"/>
          <w:i/>
          <w:szCs w:val="20"/>
        </w:rPr>
        <w:t>pread)</w:t>
      </w:r>
      <w:r w:rsidRPr="00F74141">
        <w:rPr>
          <w:rFonts w:ascii="Verdana" w:hAnsi="Verdana"/>
          <w:szCs w:val="20"/>
        </w:rPr>
        <w:t xml:space="preserve"> a ser definida no Procedimento de </w:t>
      </w:r>
      <w:proofErr w:type="spellStart"/>
      <w:r w:rsidRPr="00F74141">
        <w:rPr>
          <w:rFonts w:ascii="Verdana" w:hAnsi="Verdana"/>
          <w:i/>
          <w:szCs w:val="20"/>
        </w:rPr>
        <w:t>Bookbuilding</w:t>
      </w:r>
      <w:proofErr w:type="spellEnd"/>
      <w:r w:rsidRPr="00F74141">
        <w:rPr>
          <w:rFonts w:ascii="Verdana" w:hAnsi="Verdana"/>
          <w:i/>
          <w:szCs w:val="20"/>
        </w:rPr>
        <w:t>,</w:t>
      </w:r>
      <w:r w:rsidRPr="00F74141">
        <w:rPr>
          <w:rFonts w:ascii="Verdana" w:hAnsi="Verdana"/>
          <w:szCs w:val="20"/>
        </w:rPr>
        <w:t xml:space="preserve"> observado o </w:t>
      </w:r>
      <w:r w:rsidRPr="00F74141">
        <w:rPr>
          <w:rFonts w:ascii="Verdana" w:hAnsi="Verdana"/>
          <w:i/>
          <w:szCs w:val="20"/>
        </w:rPr>
        <w:t>spread</w:t>
      </w:r>
      <w:r w:rsidRPr="00F74141">
        <w:rPr>
          <w:rFonts w:ascii="Verdana" w:hAnsi="Verdana"/>
          <w:szCs w:val="20"/>
        </w:rPr>
        <w:t xml:space="preserve"> máximo equivalente a 0,85% (oitenta e cinco centésimos por cento) ao ano, base 252 (duzentos e cinquenta e dois) Dias Úteis (“</w:t>
      </w:r>
      <w:r w:rsidRPr="00F74141">
        <w:rPr>
          <w:rFonts w:ascii="Verdana" w:hAnsi="Verdana"/>
          <w:b/>
          <w:szCs w:val="20"/>
        </w:rPr>
        <w:t>Sobretaxa</w:t>
      </w:r>
      <w:r w:rsidRPr="00F74141">
        <w:rPr>
          <w:rFonts w:ascii="Verdana" w:hAnsi="Verdana"/>
          <w:szCs w:val="20"/>
        </w:rPr>
        <w:t>” e “</w:t>
      </w:r>
      <w:r w:rsidRPr="00F74141">
        <w:rPr>
          <w:rFonts w:ascii="Verdana" w:hAnsi="Verdana"/>
          <w:b/>
          <w:szCs w:val="20"/>
        </w:rPr>
        <w:t>Juros Remuneratórios da Primeira Série</w:t>
      </w:r>
      <w:r w:rsidRPr="00F74141">
        <w:rPr>
          <w:rFonts w:ascii="Verdana" w:hAnsi="Verdana"/>
          <w:szCs w:val="20"/>
        </w:rPr>
        <w:t xml:space="preserve">”). Os Juros Remuneratórios da Primeira Série serão calculados de forma exponencial e cumulativa </w:t>
      </w:r>
      <w:r w:rsidRPr="00F74141">
        <w:rPr>
          <w:rFonts w:ascii="Verdana" w:hAnsi="Verdana"/>
          <w:i/>
          <w:szCs w:val="20"/>
        </w:rPr>
        <w:t xml:space="preserve">pro rata </w:t>
      </w:r>
      <w:proofErr w:type="spellStart"/>
      <w:r w:rsidRPr="00F74141">
        <w:rPr>
          <w:rFonts w:ascii="Verdana" w:hAnsi="Verdana"/>
          <w:i/>
          <w:szCs w:val="20"/>
        </w:rPr>
        <w:t>temporis</w:t>
      </w:r>
      <w:proofErr w:type="spellEnd"/>
      <w:r w:rsidRPr="00F74141">
        <w:rPr>
          <w:rFonts w:ascii="Verdana" w:hAnsi="Verdana"/>
          <w:szCs w:val="20"/>
        </w:rPr>
        <w:t xml:space="preserve"> por Dias Úteis decorridos, com base em um ano de 252 (duzentos e cinquenta e dois) Dias Úteis, desde a Data da Primeira Integralização (ou a Data de Pagamento dos Juros Remuneratórios (conforme abaixo definida) imediatamente anterior, conforme o caso) até a próxima Data de Pagamento dos Juros Remuneratórios.</w:t>
      </w:r>
    </w:p>
    <w:bookmarkEnd w:id="25"/>
    <w:bookmarkEnd w:id="26"/>
    <w:bookmarkEnd w:id="33"/>
    <w:p w:rsidR="00204B37" w:rsidRPr="00F74141" w:rsidRDefault="00706572">
      <w:pPr>
        <w:pStyle w:val="Level4"/>
        <w:numPr>
          <w:ilvl w:val="3"/>
          <w:numId w:val="21"/>
        </w:numPr>
        <w:tabs>
          <w:tab w:val="left" w:pos="1560"/>
        </w:tabs>
        <w:spacing w:before="240" w:after="240" w:line="320" w:lineRule="exact"/>
        <w:ind w:left="1360" w:hanging="680"/>
        <w:rPr>
          <w:rFonts w:ascii="Verdana" w:hAnsi="Verdana"/>
          <w:szCs w:val="20"/>
        </w:rPr>
      </w:pPr>
      <w:r w:rsidRPr="00F74141">
        <w:rPr>
          <w:rFonts w:ascii="Verdana" w:hAnsi="Verdana"/>
          <w:szCs w:val="20"/>
        </w:rPr>
        <w:t>Os Juros Remuneratórios da Primeira Série serão calculados pela seguinte fórmula:</w:t>
      </w:r>
    </w:p>
    <w:p w:rsidR="00204B37" w:rsidRPr="00F74141" w:rsidRDefault="00706572">
      <w:pPr>
        <w:spacing w:before="240" w:after="240" w:line="320" w:lineRule="exact"/>
        <w:ind w:left="993"/>
        <w:jc w:val="center"/>
        <w:rPr>
          <w:rFonts w:ascii="Verdana" w:hAnsi="Verdana" w:cs="Arial"/>
          <w:b/>
          <w:i/>
          <w:iCs/>
          <w:sz w:val="20"/>
          <w:szCs w:val="20"/>
        </w:rPr>
      </w:pPr>
      <w:r w:rsidRPr="00F74141">
        <w:rPr>
          <w:rFonts w:ascii="Verdana" w:hAnsi="Verdana" w:cs="Arial"/>
          <w:b/>
          <w:i/>
          <w:iCs/>
          <w:sz w:val="20"/>
          <w:szCs w:val="20"/>
        </w:rPr>
        <w:t xml:space="preserve">J = </w:t>
      </w:r>
      <w:proofErr w:type="spellStart"/>
      <w:r w:rsidRPr="00F74141">
        <w:rPr>
          <w:rFonts w:ascii="Verdana" w:hAnsi="Verdana" w:cs="Arial"/>
          <w:b/>
          <w:i/>
          <w:iCs/>
          <w:sz w:val="20"/>
          <w:szCs w:val="20"/>
        </w:rPr>
        <w:t>VNe</w:t>
      </w:r>
      <w:proofErr w:type="spellEnd"/>
      <w:r w:rsidRPr="00F74141">
        <w:rPr>
          <w:rFonts w:ascii="Verdana" w:hAnsi="Verdana" w:cs="Arial"/>
          <w:b/>
          <w:i/>
          <w:iCs/>
          <w:sz w:val="20"/>
          <w:szCs w:val="20"/>
        </w:rPr>
        <w:t xml:space="preserve"> x (</w:t>
      </w:r>
      <w:proofErr w:type="spellStart"/>
      <w:r w:rsidRPr="00F74141">
        <w:rPr>
          <w:rFonts w:ascii="Verdana" w:hAnsi="Verdana" w:cs="Arial"/>
          <w:b/>
          <w:i/>
          <w:iCs/>
          <w:sz w:val="20"/>
          <w:szCs w:val="20"/>
        </w:rPr>
        <w:t>FatorJuros</w:t>
      </w:r>
      <w:proofErr w:type="spellEnd"/>
      <w:r w:rsidRPr="00F74141">
        <w:rPr>
          <w:rFonts w:ascii="Verdana" w:hAnsi="Verdana" w:cs="Arial"/>
          <w:b/>
          <w:i/>
          <w:iCs/>
          <w:sz w:val="20"/>
          <w:szCs w:val="20"/>
        </w:rPr>
        <w:t xml:space="preserve"> – 1)</w:t>
      </w:r>
    </w:p>
    <w:p w:rsidR="00204B37" w:rsidRPr="00F74141" w:rsidRDefault="00706572">
      <w:pPr>
        <w:tabs>
          <w:tab w:val="left" w:pos="2366"/>
        </w:tabs>
        <w:spacing w:before="240" w:after="240" w:line="320" w:lineRule="exact"/>
        <w:ind w:left="1440"/>
        <w:jc w:val="both"/>
        <w:rPr>
          <w:rFonts w:ascii="Verdana" w:hAnsi="Verdana" w:cs="Arial"/>
          <w:sz w:val="20"/>
          <w:szCs w:val="20"/>
        </w:rPr>
      </w:pPr>
      <w:r w:rsidRPr="00F74141">
        <w:rPr>
          <w:rFonts w:ascii="Verdana" w:hAnsi="Verdana" w:cs="Arial"/>
          <w:sz w:val="20"/>
          <w:szCs w:val="20"/>
        </w:rPr>
        <w:t xml:space="preserve">“J” = valor unitário dos Juros Remuneratórios da Primeira Série devidos em cada Data de Pagamento dos Juros Remuneratórios, calculado com 8 (oito) casas decimais, sem arredondamento; </w:t>
      </w:r>
    </w:p>
    <w:p w:rsidR="00204B37" w:rsidRPr="00F74141" w:rsidRDefault="00706572">
      <w:pPr>
        <w:tabs>
          <w:tab w:val="left" w:pos="2366"/>
        </w:tabs>
        <w:spacing w:before="240" w:after="240" w:line="320" w:lineRule="exact"/>
        <w:ind w:left="1440"/>
        <w:jc w:val="both"/>
        <w:rPr>
          <w:rFonts w:ascii="Verdana" w:hAnsi="Verdana" w:cs="Arial"/>
          <w:sz w:val="20"/>
          <w:szCs w:val="20"/>
        </w:rPr>
      </w:pPr>
      <w:r w:rsidRPr="00F74141">
        <w:rPr>
          <w:rFonts w:ascii="Verdana" w:hAnsi="Verdana" w:cs="Arial"/>
          <w:sz w:val="20"/>
          <w:szCs w:val="20"/>
        </w:rPr>
        <w:t>“</w:t>
      </w:r>
      <w:proofErr w:type="spellStart"/>
      <w:r w:rsidRPr="00F74141">
        <w:rPr>
          <w:rFonts w:ascii="Verdana" w:hAnsi="Verdana" w:cs="Arial"/>
          <w:sz w:val="20"/>
          <w:szCs w:val="20"/>
        </w:rPr>
        <w:t>VNe</w:t>
      </w:r>
      <w:proofErr w:type="spellEnd"/>
      <w:r w:rsidRPr="00F74141">
        <w:rPr>
          <w:rFonts w:ascii="Verdana" w:hAnsi="Verdana" w:cs="Arial"/>
          <w:sz w:val="20"/>
          <w:szCs w:val="20"/>
        </w:rPr>
        <w:t xml:space="preserve">” = Valor Nominal Unitário das Debêntures da Primeira Série </w:t>
      </w:r>
      <w:r w:rsidRPr="00F74141">
        <w:rPr>
          <w:rFonts w:ascii="Verdana" w:hAnsi="Verdana"/>
          <w:sz w:val="20"/>
          <w:szCs w:val="20"/>
        </w:rPr>
        <w:t xml:space="preserve">ou saldo do Valor Nominal Unitário das Debêntures da Primeira Série, conforme o caso, </w:t>
      </w:r>
      <w:r w:rsidRPr="00F74141">
        <w:rPr>
          <w:rFonts w:ascii="Verdana" w:hAnsi="Verdana" w:cs="Arial"/>
          <w:sz w:val="20"/>
          <w:szCs w:val="20"/>
        </w:rPr>
        <w:t>informado/calculado com 8 (oito) casas decimais, sem arredondamento; e</w:t>
      </w:r>
    </w:p>
    <w:p w:rsidR="00204B37" w:rsidRPr="00F74141" w:rsidRDefault="00706572">
      <w:pPr>
        <w:tabs>
          <w:tab w:val="left" w:pos="2366"/>
        </w:tabs>
        <w:spacing w:before="240" w:after="240" w:line="320" w:lineRule="exact"/>
        <w:ind w:left="1440"/>
        <w:jc w:val="both"/>
        <w:rPr>
          <w:rFonts w:ascii="Verdana" w:hAnsi="Verdana" w:cs="Arial"/>
          <w:sz w:val="20"/>
          <w:szCs w:val="20"/>
        </w:rPr>
      </w:pPr>
      <w:r w:rsidRPr="00F74141">
        <w:rPr>
          <w:rFonts w:ascii="Verdana" w:hAnsi="Verdana" w:cs="Arial"/>
          <w:sz w:val="20"/>
          <w:szCs w:val="20"/>
        </w:rPr>
        <w:t>“</w:t>
      </w:r>
      <w:proofErr w:type="spellStart"/>
      <w:r w:rsidRPr="00F74141">
        <w:rPr>
          <w:rFonts w:ascii="Verdana" w:hAnsi="Verdana" w:cs="Arial"/>
          <w:sz w:val="20"/>
          <w:szCs w:val="20"/>
        </w:rPr>
        <w:t>Fator</w:t>
      </w:r>
      <w:r w:rsidRPr="00F74141">
        <w:rPr>
          <w:rFonts w:ascii="Verdana" w:hAnsi="Verdana" w:cs="Arial"/>
          <w:i/>
          <w:sz w:val="20"/>
          <w:szCs w:val="20"/>
        </w:rPr>
        <w:t>Juros</w:t>
      </w:r>
      <w:proofErr w:type="spellEnd"/>
      <w:r w:rsidRPr="00F74141">
        <w:rPr>
          <w:rFonts w:ascii="Verdana" w:hAnsi="Verdana" w:cs="Arial"/>
          <w:sz w:val="20"/>
          <w:szCs w:val="20"/>
        </w:rPr>
        <w:t xml:space="preserve">” = </w:t>
      </w:r>
      <w:r w:rsidRPr="00F74141">
        <w:rPr>
          <w:rFonts w:ascii="Verdana" w:hAnsi="Verdana"/>
          <w:sz w:val="20"/>
          <w:szCs w:val="20"/>
        </w:rPr>
        <w:t>fator de juros composto pelo parâmetro de flutuação acrescido de Sobretaxa (</w:t>
      </w:r>
      <w:r w:rsidRPr="00F74141">
        <w:rPr>
          <w:rFonts w:ascii="Verdana" w:hAnsi="Verdana"/>
          <w:i/>
          <w:sz w:val="20"/>
          <w:szCs w:val="20"/>
        </w:rPr>
        <w:t>spread</w:t>
      </w:r>
      <w:r w:rsidRPr="00F74141">
        <w:rPr>
          <w:rFonts w:ascii="Verdana" w:hAnsi="Verdana"/>
          <w:sz w:val="20"/>
          <w:szCs w:val="20"/>
        </w:rPr>
        <w:t>), calculado com 9 (nove) casas decimais, com arredondamento, apurado da seguinte forma:</w:t>
      </w:r>
    </w:p>
    <w:p w:rsidR="00204B37" w:rsidRPr="00F74141" w:rsidRDefault="00706572">
      <w:pPr>
        <w:tabs>
          <w:tab w:val="left" w:pos="2366"/>
        </w:tabs>
        <w:spacing w:before="240" w:after="240" w:line="320" w:lineRule="exact"/>
        <w:ind w:left="1440"/>
        <w:jc w:val="center"/>
        <w:rPr>
          <w:rFonts w:ascii="Verdana" w:hAnsi="Verdana" w:cs="Arial"/>
          <w:b/>
          <w:sz w:val="20"/>
          <w:szCs w:val="20"/>
        </w:rPr>
      </w:pPr>
      <w:proofErr w:type="spellStart"/>
      <w:r w:rsidRPr="00F74141">
        <w:rPr>
          <w:rFonts w:ascii="Verdana" w:hAnsi="Verdana" w:cs="Arial"/>
          <w:b/>
          <w:sz w:val="20"/>
          <w:szCs w:val="20"/>
        </w:rPr>
        <w:t>Fator</w:t>
      </w:r>
      <w:r w:rsidRPr="00F74141">
        <w:rPr>
          <w:rFonts w:ascii="Verdana" w:hAnsi="Verdana" w:cs="Arial"/>
          <w:b/>
          <w:i/>
          <w:sz w:val="20"/>
          <w:szCs w:val="20"/>
        </w:rPr>
        <w:t>Juros</w:t>
      </w:r>
      <w:proofErr w:type="spellEnd"/>
      <w:r w:rsidRPr="00F74141">
        <w:rPr>
          <w:rFonts w:ascii="Verdana" w:hAnsi="Verdana" w:cs="Arial"/>
          <w:b/>
          <w:i/>
          <w:sz w:val="20"/>
          <w:szCs w:val="20"/>
        </w:rPr>
        <w:t xml:space="preserve"> </w:t>
      </w:r>
      <w:r w:rsidRPr="00F74141">
        <w:rPr>
          <w:rFonts w:ascii="Verdana" w:hAnsi="Verdana" w:cs="Arial"/>
          <w:b/>
          <w:sz w:val="20"/>
          <w:szCs w:val="20"/>
        </w:rPr>
        <w:t>= (</w:t>
      </w:r>
      <w:proofErr w:type="spellStart"/>
      <w:r w:rsidRPr="00F74141">
        <w:rPr>
          <w:rFonts w:ascii="Verdana" w:hAnsi="Verdana" w:cs="Arial"/>
          <w:b/>
          <w:sz w:val="20"/>
          <w:szCs w:val="20"/>
        </w:rPr>
        <w:t>Fator</w:t>
      </w:r>
      <w:r w:rsidRPr="00F74141">
        <w:rPr>
          <w:rFonts w:ascii="Verdana" w:hAnsi="Verdana" w:cs="Arial"/>
          <w:b/>
          <w:i/>
          <w:sz w:val="20"/>
          <w:szCs w:val="20"/>
        </w:rPr>
        <w:t>DI</w:t>
      </w:r>
      <w:proofErr w:type="spellEnd"/>
      <w:r w:rsidRPr="00F74141">
        <w:rPr>
          <w:rFonts w:ascii="Verdana" w:hAnsi="Verdana" w:cs="Arial"/>
          <w:b/>
          <w:sz w:val="20"/>
          <w:szCs w:val="20"/>
        </w:rPr>
        <w:t xml:space="preserve"> x </w:t>
      </w:r>
      <w:proofErr w:type="spellStart"/>
      <w:r w:rsidRPr="00F74141">
        <w:rPr>
          <w:rFonts w:ascii="Verdana" w:hAnsi="Verdana" w:cs="Arial"/>
          <w:b/>
          <w:sz w:val="20"/>
          <w:szCs w:val="20"/>
        </w:rPr>
        <w:t>Fator</w:t>
      </w:r>
      <w:r w:rsidRPr="00F74141">
        <w:rPr>
          <w:rFonts w:ascii="Verdana" w:hAnsi="Verdana" w:cs="Arial"/>
          <w:b/>
          <w:i/>
          <w:sz w:val="20"/>
          <w:szCs w:val="20"/>
        </w:rPr>
        <w:t>Spread</w:t>
      </w:r>
      <w:proofErr w:type="spellEnd"/>
      <w:r w:rsidRPr="00F74141">
        <w:rPr>
          <w:rFonts w:ascii="Verdana" w:hAnsi="Verdana" w:cs="Arial"/>
          <w:b/>
          <w:sz w:val="20"/>
          <w:szCs w:val="20"/>
        </w:rPr>
        <w:t>)</w:t>
      </w:r>
    </w:p>
    <w:p w:rsidR="00204B37" w:rsidRPr="00F74141" w:rsidRDefault="00706572">
      <w:pPr>
        <w:tabs>
          <w:tab w:val="left" w:pos="142"/>
        </w:tabs>
        <w:spacing w:before="240" w:after="240" w:line="320" w:lineRule="exact"/>
        <w:ind w:left="1418"/>
        <w:rPr>
          <w:rFonts w:ascii="Verdana" w:hAnsi="Verdana"/>
          <w:i/>
          <w:sz w:val="20"/>
          <w:szCs w:val="20"/>
        </w:rPr>
      </w:pPr>
      <w:r w:rsidRPr="00F74141">
        <w:rPr>
          <w:rFonts w:ascii="Verdana" w:hAnsi="Verdana"/>
          <w:i/>
          <w:sz w:val="20"/>
          <w:szCs w:val="20"/>
        </w:rPr>
        <w:t>Sendo que:</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w:t>
      </w:r>
      <w:proofErr w:type="spellStart"/>
      <w:r w:rsidRPr="00F74141">
        <w:rPr>
          <w:rFonts w:ascii="Verdana" w:hAnsi="Verdana" w:cs="Arial"/>
          <w:sz w:val="20"/>
          <w:szCs w:val="20"/>
        </w:rPr>
        <w:t>Fator</w:t>
      </w:r>
      <w:r w:rsidRPr="00F74141">
        <w:rPr>
          <w:rFonts w:ascii="Verdana" w:hAnsi="Verdana" w:cs="Arial"/>
          <w:i/>
          <w:sz w:val="20"/>
          <w:szCs w:val="20"/>
        </w:rPr>
        <w:t>DI</w:t>
      </w:r>
      <w:proofErr w:type="spellEnd"/>
      <w:r w:rsidRPr="00F74141">
        <w:rPr>
          <w:rFonts w:ascii="Verdana" w:hAnsi="Verdana" w:cs="Arial"/>
          <w:i/>
          <w:sz w:val="20"/>
          <w:szCs w:val="20"/>
        </w:rPr>
        <w:t>”</w:t>
      </w:r>
      <w:r w:rsidRPr="00F74141">
        <w:rPr>
          <w:rFonts w:ascii="Verdana" w:hAnsi="Verdana" w:cs="Arial"/>
          <w:sz w:val="20"/>
          <w:szCs w:val="20"/>
        </w:rPr>
        <w:t xml:space="preserve"> = </w:t>
      </w:r>
      <w:proofErr w:type="spellStart"/>
      <w:r w:rsidRPr="00F74141">
        <w:rPr>
          <w:rFonts w:ascii="Verdana" w:hAnsi="Verdana"/>
          <w:sz w:val="20"/>
          <w:szCs w:val="20"/>
        </w:rPr>
        <w:t>produtório</w:t>
      </w:r>
      <w:proofErr w:type="spellEnd"/>
      <w:r w:rsidRPr="00F74141">
        <w:rPr>
          <w:rFonts w:ascii="Verdana" w:hAnsi="Verdana"/>
          <w:sz w:val="20"/>
          <w:szCs w:val="20"/>
        </w:rPr>
        <w:t xml:space="preserve"> das Taxas DI, desde a Data da Primeira Integralização ou a Data de Pagamento dos </w:t>
      </w:r>
      <w:r w:rsidRPr="00F74141">
        <w:rPr>
          <w:rFonts w:ascii="Verdana" w:hAnsi="Verdana" w:cs="Arial"/>
          <w:sz w:val="20"/>
          <w:szCs w:val="20"/>
        </w:rPr>
        <w:t xml:space="preserve">Juros Remuneratórios </w:t>
      </w:r>
      <w:r w:rsidRPr="00F74141">
        <w:rPr>
          <w:rFonts w:ascii="Verdana" w:hAnsi="Verdana"/>
          <w:sz w:val="20"/>
          <w:szCs w:val="20"/>
        </w:rPr>
        <w:t>imediatamente anterior, conforme o caso, inclusive, até a data de cálculo, exclusive, calculado com 8 (oito) casas decimais, com arredondamento, apurado da seguinte forma:</w:t>
      </w:r>
    </w:p>
    <w:p w:rsidR="00204B37" w:rsidRPr="00F74141" w:rsidRDefault="00706572">
      <w:pPr>
        <w:spacing w:before="240" w:after="240" w:line="320" w:lineRule="exact"/>
        <w:ind w:left="1440"/>
        <w:jc w:val="center"/>
        <w:rPr>
          <w:rFonts w:ascii="Verdana" w:hAnsi="Verdana" w:cs="Arial"/>
          <w:sz w:val="20"/>
          <w:szCs w:val="20"/>
        </w:rPr>
      </w:pPr>
      <w:r w:rsidRPr="00F74141">
        <w:rPr>
          <w:rFonts w:ascii="Verdana" w:hAnsi="Verdana"/>
          <w:noProof/>
          <w:sz w:val="20"/>
          <w:szCs w:val="20"/>
        </w:rPr>
        <w:drawing>
          <wp:anchor distT="0" distB="0" distL="114300" distR="114300" simplePos="0" relativeHeight="251659264" behindDoc="0" locked="0" layoutInCell="1" allowOverlap="1">
            <wp:simplePos x="0" y="0"/>
            <wp:positionH relativeFrom="column">
              <wp:posOffset>2272665</wp:posOffset>
            </wp:positionH>
            <wp:positionV relativeFrom="paragraph">
              <wp:posOffset>36830</wp:posOffset>
            </wp:positionV>
            <wp:extent cx="2171700" cy="5238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1700"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4B37" w:rsidRPr="00F74141" w:rsidRDefault="00204B37">
      <w:pPr>
        <w:spacing w:before="240" w:after="240" w:line="320" w:lineRule="exact"/>
        <w:ind w:left="1440"/>
        <w:jc w:val="both"/>
        <w:rPr>
          <w:rFonts w:ascii="Verdana" w:hAnsi="Verdana" w:cs="Arial"/>
          <w:sz w:val="20"/>
          <w:szCs w:val="20"/>
        </w:rPr>
      </w:pP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onde:</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 xml:space="preserve">“n” = </w:t>
      </w:r>
      <w:r w:rsidRPr="00F74141">
        <w:rPr>
          <w:rFonts w:ascii="Verdana" w:hAnsi="Verdana"/>
          <w:sz w:val="20"/>
          <w:szCs w:val="20"/>
        </w:rPr>
        <w:t>número total de Taxas DI consideradas em cada Período de Capitalização da Primeira Série (conforme abaixo definido), sendo “n” um número inteiro;</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“k” = número de ordem das Taxas DI, variando de “1” até “n”;</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w:t>
      </w:r>
      <w:proofErr w:type="spellStart"/>
      <w:r w:rsidRPr="00F74141">
        <w:rPr>
          <w:rFonts w:ascii="Verdana" w:hAnsi="Verdana" w:cs="Arial"/>
          <w:sz w:val="20"/>
          <w:szCs w:val="20"/>
        </w:rPr>
        <w:t>TDIk</w:t>
      </w:r>
      <w:proofErr w:type="spellEnd"/>
      <w:r w:rsidRPr="00F74141">
        <w:rPr>
          <w:rFonts w:ascii="Verdana" w:hAnsi="Verdana" w:cs="Arial"/>
          <w:sz w:val="20"/>
          <w:szCs w:val="20"/>
        </w:rPr>
        <w:t>” = Taxa DI, de ordem k, expressa ao dia, calculada com 8 (oito) casas decimais, com arredondamento, apurada da seguinte forma:</w:t>
      </w:r>
    </w:p>
    <w:p w:rsidR="00204B37" w:rsidRPr="00F74141" w:rsidRDefault="00204B37">
      <w:pPr>
        <w:spacing w:before="240" w:after="240" w:line="320" w:lineRule="exact"/>
        <w:ind w:left="1440"/>
        <w:jc w:val="both"/>
        <w:rPr>
          <w:rFonts w:ascii="Verdana" w:hAnsi="Verdana" w:cs="Arial"/>
          <w:sz w:val="20"/>
          <w:szCs w:val="20"/>
        </w:rPr>
      </w:pPr>
    </w:p>
    <w:p w:rsidR="00204B37" w:rsidRPr="00F74141" w:rsidRDefault="00706572">
      <w:pPr>
        <w:tabs>
          <w:tab w:val="left" w:pos="2366"/>
        </w:tabs>
        <w:spacing w:before="240" w:after="240" w:line="320" w:lineRule="exact"/>
        <w:ind w:left="1985"/>
        <w:jc w:val="center"/>
        <w:rPr>
          <w:rFonts w:ascii="Verdana" w:hAnsi="Verdana" w:cs="Arial"/>
          <w:sz w:val="20"/>
          <w:szCs w:val="20"/>
        </w:rPr>
      </w:pPr>
      <w:r w:rsidRPr="00F74141">
        <w:rPr>
          <w:rFonts w:ascii="Verdana" w:hAnsi="Verdana" w:cs="Arial"/>
          <w:noProof/>
          <w:sz w:val="20"/>
          <w:szCs w:val="20"/>
        </w:rPr>
        <w:drawing>
          <wp:anchor distT="0" distB="0" distL="114300" distR="114300" simplePos="0" relativeHeight="251663360" behindDoc="0" locked="0" layoutInCell="1" allowOverlap="1">
            <wp:simplePos x="0" y="0"/>
            <wp:positionH relativeFrom="column">
              <wp:posOffset>2984899</wp:posOffset>
            </wp:positionH>
            <wp:positionV relativeFrom="paragraph">
              <wp:posOffset>-269609</wp:posOffset>
            </wp:positionV>
            <wp:extent cx="1264723" cy="437995"/>
            <wp:effectExtent l="0" t="0" r="0" b="635"/>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4723" cy="4379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Sendo que:</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w:t>
      </w:r>
      <w:proofErr w:type="spellStart"/>
      <w:r w:rsidRPr="00F74141">
        <w:rPr>
          <w:rFonts w:ascii="Verdana" w:hAnsi="Verdana" w:cs="Arial"/>
          <w:sz w:val="20"/>
          <w:szCs w:val="20"/>
        </w:rPr>
        <w:t>DIk</w:t>
      </w:r>
      <w:proofErr w:type="spellEnd"/>
      <w:r w:rsidRPr="00F74141">
        <w:rPr>
          <w:rFonts w:ascii="Verdana" w:hAnsi="Verdana" w:cs="Arial"/>
          <w:sz w:val="20"/>
          <w:szCs w:val="20"/>
        </w:rPr>
        <w:t>” = Taxa DI, de ordem k, divulgada pela B3</w:t>
      </w:r>
      <w:r w:rsidRPr="00F74141">
        <w:rPr>
          <w:rFonts w:ascii="Verdana" w:hAnsi="Verdana"/>
          <w:sz w:val="20"/>
          <w:szCs w:val="20"/>
        </w:rPr>
        <w:t>, utilizada com 2 (duas) casas decimais;</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w:t>
      </w:r>
      <w:proofErr w:type="spellStart"/>
      <w:r w:rsidRPr="00F74141">
        <w:rPr>
          <w:rFonts w:ascii="Verdana" w:hAnsi="Verdana" w:cs="Arial"/>
          <w:sz w:val="20"/>
          <w:szCs w:val="20"/>
        </w:rPr>
        <w:t>FatorSpread</w:t>
      </w:r>
      <w:proofErr w:type="spellEnd"/>
      <w:r w:rsidRPr="00F74141">
        <w:rPr>
          <w:rFonts w:ascii="Verdana" w:hAnsi="Verdana" w:cs="Arial"/>
          <w:sz w:val="20"/>
          <w:szCs w:val="20"/>
        </w:rPr>
        <w:t>” = Sobretaxa, calculada com 9 (nove) casas decimais, com arredondamento, apurado da seguinte forma:</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noProof/>
          <w:sz w:val="20"/>
          <w:szCs w:val="20"/>
        </w:rPr>
        <w:drawing>
          <wp:anchor distT="0" distB="0" distL="114300" distR="114300" simplePos="0" relativeHeight="251664384" behindDoc="0" locked="0" layoutInCell="1" allowOverlap="1">
            <wp:simplePos x="0" y="0"/>
            <wp:positionH relativeFrom="column">
              <wp:posOffset>2335987</wp:posOffset>
            </wp:positionH>
            <wp:positionV relativeFrom="paragraph">
              <wp:posOffset>33315</wp:posOffset>
            </wp:positionV>
            <wp:extent cx="2305050" cy="64770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5050" cy="647700"/>
                    </a:xfrm>
                    <a:prstGeom prst="rect">
                      <a:avLst/>
                    </a:prstGeom>
                    <a:noFill/>
                  </pic:spPr>
                </pic:pic>
              </a:graphicData>
            </a:graphic>
            <wp14:sizeRelH relativeFrom="page">
              <wp14:pctWidth>0</wp14:pctWidth>
            </wp14:sizeRelH>
            <wp14:sizeRelV relativeFrom="page">
              <wp14:pctHeight>0</wp14:pctHeight>
            </wp14:sizeRelV>
          </wp:anchor>
        </w:drawing>
      </w:r>
    </w:p>
    <w:p w:rsidR="00204B37" w:rsidRPr="00F74141" w:rsidRDefault="00204B37">
      <w:pPr>
        <w:spacing w:before="240" w:after="240" w:line="320" w:lineRule="exact"/>
        <w:ind w:left="1440"/>
        <w:jc w:val="both"/>
        <w:rPr>
          <w:rFonts w:ascii="Verdana" w:hAnsi="Verdana" w:cs="Arial"/>
          <w:sz w:val="20"/>
          <w:szCs w:val="20"/>
        </w:rPr>
      </w:pP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Sendo que:</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i/>
          <w:sz w:val="20"/>
          <w:szCs w:val="20"/>
        </w:rPr>
        <w:t xml:space="preserve">“spread” </w:t>
      </w:r>
      <w:r w:rsidRPr="00F74141">
        <w:rPr>
          <w:rFonts w:ascii="Verdana" w:hAnsi="Verdana" w:cs="Arial"/>
          <w:sz w:val="20"/>
          <w:szCs w:val="20"/>
        </w:rPr>
        <w:t xml:space="preserve">= </w:t>
      </w:r>
      <w:r w:rsidRPr="00F74141">
        <w:rPr>
          <w:rFonts w:ascii="Verdana" w:hAnsi="Verdana" w:cs="Arial"/>
          <w:i/>
          <w:sz w:val="20"/>
          <w:szCs w:val="20"/>
        </w:rPr>
        <w:t>spread</w:t>
      </w:r>
      <w:r w:rsidRPr="00F74141">
        <w:rPr>
          <w:rFonts w:ascii="Verdana" w:hAnsi="Verdana" w:cs="Arial"/>
          <w:sz w:val="20"/>
          <w:szCs w:val="20"/>
        </w:rPr>
        <w:t xml:space="preserve"> ou sobretaxa, na forma percentual ao ano, informado com 4 (quatro) casas decimais, a ser definida em Procedimento de </w:t>
      </w:r>
      <w:proofErr w:type="spellStart"/>
      <w:r w:rsidRPr="00F74141">
        <w:rPr>
          <w:rFonts w:ascii="Verdana" w:hAnsi="Verdana"/>
          <w:i/>
          <w:sz w:val="20"/>
          <w:szCs w:val="20"/>
        </w:rPr>
        <w:t>Bookbuilding</w:t>
      </w:r>
      <w:proofErr w:type="spellEnd"/>
      <w:r w:rsidRPr="00F74141">
        <w:rPr>
          <w:rFonts w:ascii="Verdana" w:hAnsi="Verdana" w:cs="Arial"/>
          <w:i/>
          <w:sz w:val="20"/>
          <w:szCs w:val="20"/>
        </w:rPr>
        <w:t xml:space="preserve"> </w:t>
      </w:r>
      <w:r w:rsidRPr="00F74141">
        <w:rPr>
          <w:rFonts w:ascii="Verdana" w:hAnsi="Verdana" w:cs="Arial"/>
          <w:bCs/>
          <w:sz w:val="20"/>
          <w:szCs w:val="20"/>
        </w:rPr>
        <w:t>e definida por meio de aditamento à presente Escritura de Emissão</w:t>
      </w:r>
      <w:r w:rsidRPr="00F74141">
        <w:rPr>
          <w:rFonts w:ascii="Verdana" w:hAnsi="Verdana" w:cs="Arial"/>
          <w:sz w:val="20"/>
          <w:szCs w:val="20"/>
        </w:rPr>
        <w:t>;</w:t>
      </w:r>
    </w:p>
    <w:p w:rsidR="00204B37" w:rsidRPr="00F74141" w:rsidRDefault="00706572">
      <w:pPr>
        <w:spacing w:before="240" w:after="240" w:line="320" w:lineRule="exact"/>
        <w:ind w:left="1440"/>
        <w:jc w:val="both"/>
        <w:rPr>
          <w:rFonts w:ascii="Verdana" w:hAnsi="Verdana" w:cs="Arial"/>
          <w:sz w:val="20"/>
          <w:szCs w:val="20"/>
        </w:rPr>
      </w:pPr>
      <w:r w:rsidRPr="00F74141">
        <w:rPr>
          <w:rFonts w:ascii="Verdana" w:hAnsi="Verdana" w:cs="Arial"/>
          <w:sz w:val="20"/>
          <w:szCs w:val="20"/>
        </w:rPr>
        <w:t>“n” = número de Dias Úteis entre a Data da Primeira Integralização ou a Data de Pagamento dos Juros Remuneratórios imediatamente anterior,</w:t>
      </w:r>
      <w:r w:rsidRPr="00F74141">
        <w:rPr>
          <w:rFonts w:ascii="Verdana" w:hAnsi="Verdana"/>
          <w:sz w:val="20"/>
          <w:szCs w:val="20"/>
        </w:rPr>
        <w:t xml:space="preserve"> conforme o caso, e a data de cálculo, sendo “n” um número inteiro.</w:t>
      </w:r>
    </w:p>
    <w:p w:rsidR="00204B37" w:rsidRPr="00F74141" w:rsidRDefault="00706572">
      <w:pPr>
        <w:tabs>
          <w:tab w:val="left" w:pos="142"/>
        </w:tabs>
        <w:spacing w:before="240" w:after="240" w:line="320" w:lineRule="exact"/>
        <w:ind w:left="1418"/>
        <w:rPr>
          <w:rFonts w:ascii="Verdana" w:hAnsi="Verdana"/>
          <w:sz w:val="20"/>
          <w:szCs w:val="20"/>
        </w:rPr>
      </w:pPr>
      <w:r w:rsidRPr="00F74141">
        <w:rPr>
          <w:rFonts w:ascii="Verdana" w:hAnsi="Verdana"/>
          <w:sz w:val="20"/>
          <w:szCs w:val="20"/>
        </w:rPr>
        <w:t>Observações:</w:t>
      </w:r>
    </w:p>
    <w:p w:rsidR="00204B37" w:rsidRPr="00F74141" w:rsidRDefault="00706572">
      <w:pPr>
        <w:pStyle w:val="PargrafodaLista"/>
        <w:numPr>
          <w:ilvl w:val="0"/>
          <w:numId w:val="8"/>
        </w:numPr>
        <w:tabs>
          <w:tab w:val="left" w:pos="142"/>
        </w:tabs>
        <w:autoSpaceDE w:val="0"/>
        <w:autoSpaceDN w:val="0"/>
        <w:adjustRightInd w:val="0"/>
        <w:spacing w:before="240" w:after="240" w:line="320" w:lineRule="exact"/>
        <w:ind w:left="1985" w:hanging="567"/>
        <w:jc w:val="both"/>
        <w:rPr>
          <w:rFonts w:ascii="Verdana" w:hAnsi="Verdana"/>
          <w:sz w:val="20"/>
          <w:szCs w:val="20"/>
        </w:rPr>
      </w:pPr>
      <w:r w:rsidRPr="00F74141">
        <w:rPr>
          <w:rFonts w:ascii="Verdana" w:hAnsi="Verdana"/>
          <w:sz w:val="20"/>
          <w:szCs w:val="20"/>
        </w:rPr>
        <w:t xml:space="preserve">O fator resultante da expressão (1 + </w:t>
      </w:r>
      <w:proofErr w:type="spellStart"/>
      <w:r w:rsidRPr="00F74141">
        <w:rPr>
          <w:rFonts w:ascii="Verdana" w:hAnsi="Verdana"/>
          <w:sz w:val="20"/>
          <w:szCs w:val="20"/>
        </w:rPr>
        <w:t>TDI</w:t>
      </w:r>
      <w:r w:rsidRPr="00F74141">
        <w:rPr>
          <w:rFonts w:ascii="Verdana" w:hAnsi="Verdana"/>
          <w:sz w:val="20"/>
          <w:szCs w:val="20"/>
          <w:vertAlign w:val="subscript"/>
        </w:rPr>
        <w:t>k</w:t>
      </w:r>
      <w:proofErr w:type="spellEnd"/>
      <w:r w:rsidRPr="00F74141">
        <w:rPr>
          <w:rFonts w:ascii="Verdana" w:hAnsi="Verdana"/>
          <w:sz w:val="20"/>
          <w:szCs w:val="20"/>
        </w:rPr>
        <w:t>) é considerado com 16 (dezesseis) casas decimais sem arredondamento.</w:t>
      </w:r>
    </w:p>
    <w:p w:rsidR="00204B37" w:rsidRPr="00F74141" w:rsidRDefault="00706572">
      <w:pPr>
        <w:pStyle w:val="PargrafodaLista"/>
        <w:numPr>
          <w:ilvl w:val="0"/>
          <w:numId w:val="8"/>
        </w:numPr>
        <w:tabs>
          <w:tab w:val="left" w:pos="142"/>
        </w:tabs>
        <w:spacing w:before="240" w:after="240" w:line="320" w:lineRule="exact"/>
        <w:ind w:left="1985" w:hanging="567"/>
        <w:jc w:val="both"/>
        <w:rPr>
          <w:rFonts w:ascii="Verdana" w:hAnsi="Verdana"/>
          <w:sz w:val="20"/>
          <w:szCs w:val="20"/>
        </w:rPr>
      </w:pPr>
      <w:r w:rsidRPr="00F74141">
        <w:rPr>
          <w:rFonts w:ascii="Verdana" w:hAnsi="Verdana"/>
          <w:sz w:val="20"/>
          <w:szCs w:val="20"/>
        </w:rPr>
        <w:t xml:space="preserve">Efetua-se o </w:t>
      </w:r>
      <w:proofErr w:type="spellStart"/>
      <w:r w:rsidRPr="00F74141">
        <w:rPr>
          <w:rFonts w:ascii="Verdana" w:hAnsi="Verdana"/>
          <w:sz w:val="20"/>
          <w:szCs w:val="20"/>
        </w:rPr>
        <w:t>produtório</w:t>
      </w:r>
      <w:proofErr w:type="spellEnd"/>
      <w:r w:rsidRPr="00F74141">
        <w:rPr>
          <w:rFonts w:ascii="Verdana" w:hAnsi="Verdana"/>
          <w:sz w:val="20"/>
          <w:szCs w:val="20"/>
        </w:rPr>
        <w:t xml:space="preserve"> dos fatores diários (1 + </w:t>
      </w:r>
      <w:proofErr w:type="spellStart"/>
      <w:r w:rsidRPr="00F74141">
        <w:rPr>
          <w:rFonts w:ascii="Verdana" w:hAnsi="Verdana"/>
          <w:sz w:val="20"/>
          <w:szCs w:val="20"/>
        </w:rPr>
        <w:t>TDI</w:t>
      </w:r>
      <w:r w:rsidRPr="00F74141">
        <w:rPr>
          <w:rFonts w:ascii="Verdana" w:hAnsi="Verdana"/>
          <w:sz w:val="20"/>
          <w:szCs w:val="20"/>
          <w:vertAlign w:val="subscript"/>
        </w:rPr>
        <w:t>k</w:t>
      </w:r>
      <w:proofErr w:type="spellEnd"/>
      <w:r w:rsidRPr="00F74141">
        <w:rPr>
          <w:rFonts w:ascii="Verdana" w:hAnsi="Verdana"/>
          <w:sz w:val="20"/>
          <w:szCs w:val="20"/>
        </w:rPr>
        <w:t>), sendo que, a cada fator diário acumulado, trunca-se o resultado com 16 (dezesseis) casas decimais, aplicando-se o próximo fator diário, e assim por diante até o último considerado.</w:t>
      </w:r>
    </w:p>
    <w:p w:rsidR="00204B37" w:rsidRPr="00F74141" w:rsidRDefault="00706572">
      <w:pPr>
        <w:pStyle w:val="PargrafodaLista"/>
        <w:numPr>
          <w:ilvl w:val="0"/>
          <w:numId w:val="8"/>
        </w:numPr>
        <w:tabs>
          <w:tab w:val="left" w:pos="142"/>
        </w:tabs>
        <w:spacing w:before="240" w:after="240" w:line="320" w:lineRule="exact"/>
        <w:ind w:left="1985" w:hanging="567"/>
        <w:jc w:val="both"/>
        <w:rPr>
          <w:rFonts w:ascii="Verdana" w:hAnsi="Verdana"/>
          <w:sz w:val="20"/>
          <w:szCs w:val="20"/>
        </w:rPr>
      </w:pPr>
      <w:r w:rsidRPr="00F74141">
        <w:rPr>
          <w:rFonts w:ascii="Verdana" w:hAnsi="Verdana"/>
          <w:sz w:val="20"/>
          <w:szCs w:val="20"/>
        </w:rPr>
        <w:t>A Taxa DI deverá ser utilizada considerando idêntico número de casas decimais divulgado pela entidade responsável pelo seu cálculo.</w:t>
      </w:r>
    </w:p>
    <w:p w:rsidR="00204B37" w:rsidRPr="00F74141" w:rsidRDefault="00706572">
      <w:pPr>
        <w:pStyle w:val="PargrafodaLista"/>
        <w:numPr>
          <w:ilvl w:val="0"/>
          <w:numId w:val="8"/>
        </w:numPr>
        <w:tabs>
          <w:tab w:val="left" w:pos="142"/>
        </w:tabs>
        <w:spacing w:before="240" w:after="240" w:line="320" w:lineRule="exact"/>
        <w:ind w:left="1985" w:hanging="567"/>
        <w:jc w:val="both"/>
        <w:rPr>
          <w:rFonts w:ascii="Verdana" w:hAnsi="Verdana"/>
          <w:sz w:val="20"/>
          <w:szCs w:val="20"/>
        </w:rPr>
      </w:pPr>
      <w:r w:rsidRPr="00F74141">
        <w:rPr>
          <w:rFonts w:ascii="Verdana" w:hAnsi="Verdana"/>
          <w:sz w:val="20"/>
          <w:szCs w:val="20"/>
        </w:rPr>
        <w:t xml:space="preserve">Para fins de cálculo dos </w:t>
      </w:r>
      <w:r w:rsidRPr="00F74141">
        <w:rPr>
          <w:rFonts w:ascii="Verdana" w:hAnsi="Verdana" w:cs="Arial"/>
          <w:sz w:val="20"/>
          <w:szCs w:val="20"/>
        </w:rPr>
        <w:t xml:space="preserve">Juros Remuneratórios da Primeira Série, </w:t>
      </w:r>
      <w:r w:rsidRPr="00F74141">
        <w:rPr>
          <w:rFonts w:ascii="Verdana" w:hAnsi="Verdana"/>
          <w:sz w:val="20"/>
          <w:szCs w:val="20"/>
        </w:rPr>
        <w:t>define-se “</w:t>
      </w:r>
      <w:r w:rsidRPr="00F74141">
        <w:rPr>
          <w:rFonts w:ascii="Verdana" w:hAnsi="Verdana"/>
          <w:b/>
          <w:sz w:val="20"/>
          <w:szCs w:val="20"/>
        </w:rPr>
        <w:t>Período de Capitalização Primeira Série</w:t>
      </w:r>
      <w:r w:rsidRPr="00F74141">
        <w:rPr>
          <w:rFonts w:ascii="Verdana" w:hAnsi="Verdana"/>
          <w:sz w:val="20"/>
          <w:szCs w:val="20"/>
        </w:rPr>
        <w:t xml:space="preserve">” como o intervalo de tempo que se inicia na Data da Primeira Integralização </w:t>
      </w:r>
      <w:r w:rsidRPr="00F74141">
        <w:rPr>
          <w:rFonts w:ascii="Verdana" w:hAnsi="Verdana" w:cs="Arial"/>
          <w:sz w:val="20"/>
          <w:szCs w:val="20"/>
        </w:rPr>
        <w:t>ou na Data de Pagamento dos Juros Remuneratórios imediatamente anterior</w:t>
      </w:r>
      <w:r w:rsidRPr="00F74141">
        <w:rPr>
          <w:rFonts w:ascii="Verdana" w:hAnsi="Verdana"/>
          <w:sz w:val="20"/>
          <w:szCs w:val="20"/>
        </w:rPr>
        <w:t xml:space="preserve"> (inclusive) e termina na Data de Pagamento dos </w:t>
      </w:r>
      <w:r w:rsidRPr="00F74141">
        <w:rPr>
          <w:rFonts w:ascii="Verdana" w:hAnsi="Verdana" w:cs="Arial"/>
          <w:sz w:val="20"/>
          <w:szCs w:val="20"/>
        </w:rPr>
        <w:t xml:space="preserve">Juros Remuneratórios </w:t>
      </w:r>
      <w:r w:rsidRPr="00F74141">
        <w:rPr>
          <w:rFonts w:ascii="Verdana" w:hAnsi="Verdana"/>
          <w:sz w:val="20"/>
          <w:szCs w:val="20"/>
        </w:rPr>
        <w:t>subsequente (exclusive). Cada Período de Capitalização da Primeira Série sucede o anterior sem solução de continuidade, até a Data de Vencimento, resgate da totalidade ou vencimento antecipado das Debêntures da Primeira Série, conforme o caso.</w:t>
      </w:r>
    </w:p>
    <w:p w:rsidR="00204B37" w:rsidRPr="00F74141" w:rsidRDefault="00706572">
      <w:pPr>
        <w:pStyle w:val="Level4"/>
        <w:numPr>
          <w:ilvl w:val="3"/>
          <w:numId w:val="21"/>
        </w:numPr>
        <w:tabs>
          <w:tab w:val="left" w:pos="1560"/>
        </w:tabs>
        <w:spacing w:before="240" w:after="240" w:line="320" w:lineRule="exact"/>
        <w:ind w:left="1360" w:hanging="680"/>
        <w:rPr>
          <w:rFonts w:ascii="Verdana" w:hAnsi="Verdana"/>
          <w:szCs w:val="20"/>
        </w:rPr>
      </w:pPr>
      <w:r w:rsidRPr="00F74141">
        <w:rPr>
          <w:rFonts w:ascii="Verdana" w:hAnsi="Verdana"/>
          <w:szCs w:val="20"/>
        </w:rPr>
        <w:t xml:space="preserve">Se, na data de vencimento de quaisquer obrigações pecuniárias da Emissora decorrentes desta Escritura de Emissão, não houver divulgação da Taxa DI pela B3, será aplicada na apuração de </w:t>
      </w:r>
      <w:proofErr w:type="spellStart"/>
      <w:r w:rsidRPr="00F74141">
        <w:rPr>
          <w:rFonts w:ascii="Verdana" w:hAnsi="Verdana"/>
          <w:szCs w:val="20"/>
        </w:rPr>
        <w:t>TDIk</w:t>
      </w:r>
      <w:proofErr w:type="spellEnd"/>
      <w:r w:rsidRPr="00F74141">
        <w:rPr>
          <w:rFonts w:ascii="Verdana" w:hAnsi="Verdana"/>
          <w:szCs w:val="20"/>
        </w:rPr>
        <w:t xml:space="preserve"> a última Taxa DI divulgada, não sendo devidas quaisquer compensações entre a Emissora e os Debenturistas da Primeira Série quando da divulgação posterior da Taxa DI que seria aplicável. Se a não divulgação da Taxa DI for superior ao prazo de 10 (dez) dias consecutivos, ou caso seja extinta, ou haja a impossibilidade legal de aplicação da Taxa DI a quaisquer obrigações pecuniárias da Emissora decorrentes desta Escritura de Emissão, aplicar-se-á o disposto nas Cláusulas 4.23.1.3, 4.23.1.4 e 4.23.1.5.</w:t>
      </w:r>
    </w:p>
    <w:p w:rsidR="00204B37" w:rsidRPr="00F74141" w:rsidRDefault="00706572">
      <w:pPr>
        <w:pStyle w:val="Level4"/>
        <w:numPr>
          <w:ilvl w:val="3"/>
          <w:numId w:val="21"/>
        </w:numPr>
        <w:tabs>
          <w:tab w:val="left" w:pos="1560"/>
        </w:tabs>
        <w:spacing w:before="240" w:after="240" w:line="320" w:lineRule="exact"/>
        <w:ind w:left="1360" w:hanging="680"/>
        <w:rPr>
          <w:rFonts w:ascii="Verdana" w:hAnsi="Verdana"/>
          <w:szCs w:val="20"/>
        </w:rPr>
      </w:pPr>
      <w:bookmarkStart w:id="34" w:name="_Ref435652958"/>
      <w:r w:rsidRPr="00F74141">
        <w:rPr>
          <w:rFonts w:ascii="Verdana" w:hAnsi="Verdana"/>
          <w:szCs w:val="20"/>
        </w:rPr>
        <w:t>No caso de extinção, ausência de apuração e/ou divulgação da Taxa DI por mais de 10 (dez) dias consecutivos após a data esperada para sua apuração e/ou divulgação, ou no caso de impossibilidade legal de sua aplicação às Debêntures da Primeira Série, inclusive em razão de determinação judicial, será utilizada a taxa oficial estabelecida por lei e/ou regra aplicável que vier a substituir a Taxa DI (“</w:t>
      </w:r>
      <w:r w:rsidRPr="00F74141">
        <w:rPr>
          <w:rFonts w:ascii="Verdana" w:hAnsi="Verdana"/>
          <w:b/>
          <w:szCs w:val="20"/>
        </w:rPr>
        <w:t>Taxa Substituta Oficial</w:t>
      </w:r>
      <w:r w:rsidRPr="00F74141">
        <w:rPr>
          <w:rFonts w:ascii="Verdana" w:hAnsi="Verdana"/>
          <w:szCs w:val="20"/>
        </w:rPr>
        <w:t xml:space="preserve">”). Caso não seja estabelecida a Taxa Substituta Oficial, o Agente Fiduciário deverá, no prazo máximo de 2 (dois) Dias Úteis a contar do término do prazo de 10 (dez) dias indicado acima nesta Cláusula ou da data de impossibilidade legal de sua aplicação, convocar a Assembleia Geral de Debenturistas da Primeira Série para a deliberação, nos termos da Cláusula </w:t>
      </w:r>
      <w:r w:rsidRPr="00F74141">
        <w:rPr>
          <w:rFonts w:ascii="Verdana" w:hAnsi="Verdana"/>
          <w:szCs w:val="20"/>
        </w:rPr>
        <w:fldChar w:fldCharType="begin"/>
      </w:r>
      <w:r w:rsidRPr="00F74141">
        <w:rPr>
          <w:rFonts w:ascii="Verdana" w:hAnsi="Verdana"/>
          <w:szCs w:val="20"/>
        </w:rPr>
        <w:instrText xml:space="preserve"> REF _Ref468386700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w:t>
      </w:r>
      <w:r w:rsidRPr="00F74141">
        <w:rPr>
          <w:rFonts w:ascii="Verdana" w:hAnsi="Verdana"/>
          <w:szCs w:val="20"/>
        </w:rPr>
        <w:fldChar w:fldCharType="end"/>
      </w:r>
      <w:r w:rsidRPr="00F74141">
        <w:rPr>
          <w:rFonts w:ascii="Verdana" w:hAnsi="Verdana"/>
          <w:szCs w:val="20"/>
        </w:rPr>
        <w:t xml:space="preserve"> desta Escritura de Emissão e do artigo 124 da Lei das Sociedades por Ações, de comum acordo entre a Emissora e os Debenturistas da Primeira Série, do novo parâmetro a ser utilizado para fins de cálculo dos Juros Remuneratórios da Primeira Série, novo parâmetro este que deverá ser similar ao utilizado para a Taxa DI, observado o disposto na regulamentação vigente aplicável, bem como na Cláusula 4.23.1.4.</w:t>
      </w:r>
      <w:bookmarkEnd w:id="34"/>
    </w:p>
    <w:p w:rsidR="00204B37" w:rsidRPr="00F74141" w:rsidRDefault="00706572">
      <w:pPr>
        <w:pStyle w:val="Level4"/>
        <w:numPr>
          <w:ilvl w:val="3"/>
          <w:numId w:val="21"/>
        </w:numPr>
        <w:tabs>
          <w:tab w:val="left" w:pos="1560"/>
        </w:tabs>
        <w:spacing w:before="240" w:after="240" w:line="320" w:lineRule="exact"/>
        <w:ind w:left="1360" w:hanging="680"/>
        <w:rPr>
          <w:rFonts w:ascii="Verdana" w:hAnsi="Verdana"/>
          <w:szCs w:val="20"/>
        </w:rPr>
      </w:pPr>
      <w:bookmarkStart w:id="35" w:name="_Ref435652967"/>
      <w:r w:rsidRPr="00F74141">
        <w:rPr>
          <w:rFonts w:ascii="Verdana" w:hAnsi="Verdana"/>
          <w:szCs w:val="20"/>
        </w:rPr>
        <w:t xml:space="preserve">Caso não haja acordo sobre o novo parâmetro a ser utilizado para fins de cálculo dos Juros Remuneratórios da Primeira Série entre a Emissora e os Debenturistas da Primeira Série representando, no mínimo, 75% (setenta e cinco por cento) das Debêntures em Circulação (conforme abaixo definido) da Primeira Série ou caso não haja quórum para instalação e/ou deliberação, a Emissora deverá resgatar a totalidade das Debêntures da Primeira Série, no prazo de até 20 (vinte) dias contados da data da realização da respectiva Assembleia Geral de Debenturistas da Primeira Série ou da data em que referida assembleia deveria ter ocorrido, pelo saldo do Valor Nominal Unitário das Debêntures da Primeira Série, acrescido dos Juros Remuneratórios da Primeira Série devidos até a data do efetivo resgate, calculados </w:t>
      </w:r>
      <w:r w:rsidRPr="00F74141">
        <w:rPr>
          <w:rFonts w:ascii="Verdana" w:hAnsi="Verdana"/>
          <w:i/>
          <w:szCs w:val="20"/>
        </w:rPr>
        <w:t xml:space="preserve">pro rata </w:t>
      </w:r>
      <w:proofErr w:type="spellStart"/>
      <w:r w:rsidRPr="00F74141">
        <w:rPr>
          <w:rFonts w:ascii="Verdana" w:hAnsi="Verdana"/>
          <w:i/>
          <w:szCs w:val="20"/>
        </w:rPr>
        <w:t>temporis</w:t>
      </w:r>
      <w:proofErr w:type="spellEnd"/>
      <w:r w:rsidRPr="00F74141">
        <w:rPr>
          <w:rFonts w:ascii="Verdana" w:hAnsi="Verdana"/>
          <w:szCs w:val="20"/>
        </w:rPr>
        <w:t xml:space="preserve">, desde a Data da Primeira Integralização (ou a Data de Pagamento dos Juros Remuneratórios imediatamente anterior, conforme o caso). Nesta alternativa, para cálculo dos Juros Remuneratórios da Primeira Série com relação às Debêntures da Primeira Série a serem resgatadas, será utilizado para a apuração de </w:t>
      </w:r>
      <w:proofErr w:type="spellStart"/>
      <w:r w:rsidRPr="00F74141">
        <w:rPr>
          <w:rFonts w:ascii="Verdana" w:hAnsi="Verdana"/>
          <w:szCs w:val="20"/>
        </w:rPr>
        <w:t>TDIk</w:t>
      </w:r>
      <w:proofErr w:type="spellEnd"/>
      <w:r w:rsidRPr="00F74141">
        <w:rPr>
          <w:rFonts w:ascii="Verdana" w:hAnsi="Verdana"/>
          <w:szCs w:val="20"/>
        </w:rPr>
        <w:t xml:space="preserve"> o valor da última Taxa DI divulgada oficialmente, observadas ainda as demais disposições previstas na Cláusula 4.23 e seguintes desta Escritura de Emissão para fins de cálculo dos Juros Remuneratórios da Primeira Série.</w:t>
      </w:r>
      <w:bookmarkEnd w:id="35"/>
    </w:p>
    <w:p w:rsidR="00204B37" w:rsidRPr="00F74141" w:rsidRDefault="00706572">
      <w:pPr>
        <w:pStyle w:val="Level4"/>
        <w:numPr>
          <w:ilvl w:val="3"/>
          <w:numId w:val="21"/>
        </w:numPr>
        <w:tabs>
          <w:tab w:val="left" w:pos="1560"/>
        </w:tabs>
        <w:spacing w:before="240" w:after="240" w:line="320" w:lineRule="exact"/>
        <w:ind w:left="1360" w:hanging="680"/>
        <w:rPr>
          <w:rFonts w:ascii="Verdana" w:hAnsi="Verdana"/>
          <w:szCs w:val="20"/>
        </w:rPr>
      </w:pPr>
      <w:bookmarkStart w:id="36" w:name="_Ref436668979"/>
      <w:r w:rsidRPr="00F74141">
        <w:rPr>
          <w:rFonts w:ascii="Verdana" w:hAnsi="Verdana"/>
          <w:szCs w:val="20"/>
        </w:rPr>
        <w:t>Não obstante o disposto acima, caso a Taxa DI venha a ser divulgada antes da realização da respectiva Assembleia Geral de Debenturistas da Primeira Série, esta não será mais realizada e a Taxa DI então divulgada, a partir da respectiva data de referência, será utilizada para o cálculo dos Juros Remuneratórios da Primeira Série.</w:t>
      </w:r>
      <w:bookmarkEnd w:id="36"/>
    </w:p>
    <w:p w:rsidR="00204B37" w:rsidRPr="00F74141" w:rsidRDefault="00706572">
      <w:pPr>
        <w:pStyle w:val="Level3"/>
        <w:spacing w:before="240" w:after="240" w:line="320" w:lineRule="exact"/>
        <w:rPr>
          <w:rFonts w:ascii="Verdana" w:eastAsia="Arial Unicode MS" w:hAnsi="Verdana"/>
          <w:i/>
          <w:szCs w:val="20"/>
        </w:rPr>
      </w:pPr>
      <w:r w:rsidRPr="00F74141">
        <w:rPr>
          <w:rFonts w:ascii="Verdana" w:eastAsia="Arial Unicode MS" w:hAnsi="Verdana"/>
          <w:i/>
          <w:szCs w:val="20"/>
        </w:rPr>
        <w:t xml:space="preserve">Juros Remuneratórios das Debêntures da Segunda Série. </w:t>
      </w:r>
      <w:r w:rsidRPr="00F74141">
        <w:rPr>
          <w:rFonts w:ascii="Verdana" w:eastAsia="Arial Unicode MS" w:hAnsi="Verdana"/>
          <w:szCs w:val="20"/>
        </w:rPr>
        <w:t xml:space="preserve">Sobre o Valor Nominal Unitário Atualizado das Debêntures da Segunda Série incidirão juros remuneratórios correspondentes a um determinado percentual ao ano, base 252 (duzentos e cinquenta e dois) Dias Úteis, a serem definidos de acordo com o Procedimento de </w:t>
      </w:r>
      <w:proofErr w:type="spellStart"/>
      <w:r w:rsidRPr="00F74141">
        <w:rPr>
          <w:rFonts w:ascii="Verdana" w:eastAsia="Arial Unicode MS" w:hAnsi="Verdana"/>
          <w:i/>
          <w:szCs w:val="20"/>
        </w:rPr>
        <w:t>Bookbuilding</w:t>
      </w:r>
      <w:proofErr w:type="spellEnd"/>
      <w:r w:rsidRPr="00F74141">
        <w:rPr>
          <w:rFonts w:ascii="Verdana" w:eastAsia="Arial Unicode MS" w:hAnsi="Verdana"/>
          <w:szCs w:val="20"/>
        </w:rPr>
        <w:t>, e, em qualquer caso, equivalente à maior taxa entre (i) 5,05% (cinco inteiros e cinco centésimos por cento) ao ano; e (</w:t>
      </w:r>
      <w:proofErr w:type="spellStart"/>
      <w:r w:rsidRPr="00F74141">
        <w:rPr>
          <w:rFonts w:ascii="Verdana" w:eastAsia="Arial Unicode MS" w:hAnsi="Verdana"/>
          <w:szCs w:val="20"/>
        </w:rPr>
        <w:t>ii</w:t>
      </w:r>
      <w:proofErr w:type="spellEnd"/>
      <w:r w:rsidRPr="00F74141">
        <w:rPr>
          <w:rFonts w:ascii="Verdana" w:eastAsia="Arial Unicode MS" w:hAnsi="Verdana"/>
          <w:szCs w:val="20"/>
        </w:rPr>
        <w:t xml:space="preserve">) a taxa interna de retorno do Tesouro IPCA+ com Juros Semestrais, com vencimento em 2024, a ser verificada no Dia Útil imediatamente anterior à data do Procedimento de </w:t>
      </w:r>
      <w:proofErr w:type="spellStart"/>
      <w:r w:rsidRPr="00F74141">
        <w:rPr>
          <w:rFonts w:ascii="Verdana" w:eastAsia="Arial Unicode MS" w:hAnsi="Verdana"/>
          <w:i/>
          <w:szCs w:val="20"/>
        </w:rPr>
        <w:t>Bookbuilding</w:t>
      </w:r>
      <w:proofErr w:type="spellEnd"/>
      <w:r w:rsidRPr="00F74141">
        <w:rPr>
          <w:rFonts w:ascii="Verdana" w:eastAsia="Arial Unicode MS" w:hAnsi="Verdana"/>
          <w:szCs w:val="20"/>
        </w:rPr>
        <w:t xml:space="preserve">, conforme as taxas indicativas divulgadas pela ANBIMA em sua página na </w:t>
      </w:r>
      <w:r w:rsidR="00231CEA" w:rsidRPr="00F74141">
        <w:rPr>
          <w:rFonts w:ascii="Verdana" w:eastAsia="Arial Unicode MS" w:hAnsi="Verdana"/>
          <w:szCs w:val="20"/>
        </w:rPr>
        <w:t xml:space="preserve">Internet </w:t>
      </w:r>
      <w:r w:rsidRPr="00F74141">
        <w:rPr>
          <w:rFonts w:ascii="Verdana" w:eastAsia="Arial Unicode MS" w:hAnsi="Verdana"/>
          <w:szCs w:val="20"/>
        </w:rPr>
        <w:t>(</w:t>
      </w:r>
      <w:hyperlink r:id="rId12" w:history="1">
        <w:r w:rsidRPr="00F74141">
          <w:rPr>
            <w:rFonts w:ascii="Verdana" w:eastAsia="Arial Unicode MS" w:hAnsi="Verdana"/>
            <w:szCs w:val="20"/>
          </w:rPr>
          <w:t>http://www.anbima.com.br</w:t>
        </w:r>
      </w:hyperlink>
      <w:r w:rsidRPr="00F74141">
        <w:rPr>
          <w:rFonts w:ascii="Verdana" w:eastAsia="Arial Unicode MS" w:hAnsi="Verdana"/>
          <w:szCs w:val="20"/>
        </w:rPr>
        <w:t>), acrescida exponencialmente de um spread de, no máximo, 0,85% (oitenta e cinco centésimos por cento) ao ano (“</w:t>
      </w:r>
      <w:r w:rsidRPr="00F74141">
        <w:rPr>
          <w:rFonts w:ascii="Verdana" w:eastAsia="Arial Unicode MS" w:hAnsi="Verdana"/>
          <w:b/>
          <w:szCs w:val="20"/>
        </w:rPr>
        <w:t>Juros Remuneratórios da Segunda Série</w:t>
      </w:r>
      <w:r w:rsidRPr="00F74141">
        <w:rPr>
          <w:rFonts w:ascii="Verdana" w:eastAsia="Arial Unicode MS" w:hAnsi="Verdana"/>
          <w:szCs w:val="20"/>
        </w:rPr>
        <w:t>”, e, em conjunto com os Juros Remuneratórios da Primeira Série, “</w:t>
      </w:r>
      <w:r w:rsidRPr="00F74141">
        <w:rPr>
          <w:rFonts w:ascii="Verdana" w:eastAsia="Arial Unicode MS" w:hAnsi="Verdana"/>
          <w:b/>
          <w:szCs w:val="20"/>
        </w:rPr>
        <w:t>Juros Remuneratórios</w:t>
      </w:r>
      <w:r w:rsidRPr="00F74141">
        <w:rPr>
          <w:rFonts w:ascii="Verdana" w:eastAsia="Arial Unicode MS" w:hAnsi="Verdana"/>
          <w:szCs w:val="20"/>
        </w:rPr>
        <w:t xml:space="preserve">”). Os Juros Remuneratórios da Segunda Série serão calculados de forma exponencial e cumulativa </w:t>
      </w:r>
      <w:r w:rsidRPr="00F74141">
        <w:rPr>
          <w:rFonts w:ascii="Verdana" w:eastAsia="Arial Unicode MS" w:hAnsi="Verdana"/>
          <w:i/>
          <w:szCs w:val="20"/>
        </w:rPr>
        <w:t xml:space="preserve">pro rata </w:t>
      </w:r>
      <w:proofErr w:type="spellStart"/>
      <w:r w:rsidRPr="00F74141">
        <w:rPr>
          <w:rFonts w:ascii="Verdana" w:eastAsia="Arial Unicode MS" w:hAnsi="Verdana"/>
          <w:i/>
          <w:szCs w:val="20"/>
        </w:rPr>
        <w:t>temporis</w:t>
      </w:r>
      <w:proofErr w:type="spellEnd"/>
      <w:r w:rsidRPr="00F74141">
        <w:rPr>
          <w:rFonts w:ascii="Verdana" w:eastAsia="Arial Unicode MS" w:hAnsi="Verdana"/>
          <w:szCs w:val="20"/>
        </w:rPr>
        <w:t xml:space="preserve"> por Dias Úteis decorridos, desde a Data da Primeira Integralização (ou a Data de Pagamento dos Juros Remuneratórios imediatamente anterior, conforme o caso) até a próxima Data de Pagamento dos Juros Remuneratórios.</w:t>
      </w:r>
    </w:p>
    <w:p w:rsidR="00204B37" w:rsidRPr="00F74141" w:rsidRDefault="00706572">
      <w:pPr>
        <w:pStyle w:val="Level3"/>
        <w:numPr>
          <w:ilvl w:val="2"/>
          <w:numId w:val="22"/>
        </w:numPr>
        <w:spacing w:before="240" w:after="240" w:line="320" w:lineRule="exact"/>
        <w:ind w:left="1360" w:hanging="680"/>
        <w:rPr>
          <w:rFonts w:ascii="Verdana" w:hAnsi="Verdana"/>
          <w:szCs w:val="20"/>
        </w:rPr>
      </w:pPr>
      <w:r w:rsidRPr="00F74141">
        <w:rPr>
          <w:rFonts w:ascii="Verdana" w:hAnsi="Verdana"/>
          <w:szCs w:val="20"/>
        </w:rPr>
        <w:t xml:space="preserve">Os Juros Remuneratórios da Segunda Série deverão ser </w:t>
      </w:r>
      <w:r w:rsidRPr="00F74141">
        <w:rPr>
          <w:rFonts w:ascii="Verdana" w:eastAsia="Arial Unicode MS" w:hAnsi="Verdana"/>
          <w:i/>
          <w:szCs w:val="20"/>
        </w:rPr>
        <w:t>calculados</w:t>
      </w:r>
      <w:r w:rsidRPr="00F74141">
        <w:rPr>
          <w:rFonts w:ascii="Verdana" w:hAnsi="Verdana"/>
          <w:szCs w:val="20"/>
        </w:rPr>
        <w:t xml:space="preserve"> de acordo com a seguinte fórmula:</w:t>
      </w:r>
    </w:p>
    <w:p w:rsidR="00204B37" w:rsidRPr="00F74141" w:rsidRDefault="00706572">
      <w:pPr>
        <w:pStyle w:val="Recuodecorpodetexto"/>
        <w:tabs>
          <w:tab w:val="left" w:pos="1418"/>
        </w:tabs>
        <w:spacing w:before="240" w:after="240" w:line="320" w:lineRule="exact"/>
        <w:ind w:left="1418"/>
        <w:jc w:val="center"/>
        <w:rPr>
          <w:rFonts w:ascii="Verdana" w:hAnsi="Verdana"/>
          <w:b/>
          <w:sz w:val="20"/>
          <w:szCs w:val="20"/>
        </w:rPr>
      </w:pPr>
      <w:r w:rsidRPr="00F74141">
        <w:rPr>
          <w:rFonts w:ascii="Verdana" w:hAnsi="Verdana"/>
          <w:b/>
          <w:sz w:val="20"/>
          <w:szCs w:val="20"/>
        </w:rPr>
        <w:t xml:space="preserve">J = </w:t>
      </w:r>
      <w:proofErr w:type="spellStart"/>
      <w:r w:rsidRPr="00F74141">
        <w:rPr>
          <w:rFonts w:ascii="Verdana" w:hAnsi="Verdana"/>
          <w:b/>
          <w:sz w:val="20"/>
          <w:szCs w:val="20"/>
        </w:rPr>
        <w:t>VNa</w:t>
      </w:r>
      <w:proofErr w:type="spellEnd"/>
      <w:r w:rsidRPr="00F74141">
        <w:rPr>
          <w:rFonts w:ascii="Verdana" w:hAnsi="Verdana"/>
          <w:b/>
          <w:sz w:val="20"/>
          <w:szCs w:val="20"/>
        </w:rPr>
        <w:t xml:space="preserve"> x (Fator de Juros – 1)</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u w:val="single"/>
        </w:rPr>
        <w:t>Onde</w:t>
      </w:r>
      <w:r w:rsidRPr="00F74141">
        <w:rPr>
          <w:rFonts w:ascii="Verdana" w:hAnsi="Verdana"/>
          <w:sz w:val="20"/>
          <w:szCs w:val="20"/>
        </w:rPr>
        <w:t>:</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rPr>
        <w:t>“J”</w:t>
      </w:r>
      <w:r w:rsidRPr="00F74141">
        <w:rPr>
          <w:rFonts w:ascii="Verdana" w:hAnsi="Verdana"/>
          <w:sz w:val="20"/>
          <w:szCs w:val="20"/>
        </w:rPr>
        <w:tab/>
      </w:r>
      <w:r w:rsidRPr="00F74141">
        <w:rPr>
          <w:rFonts w:ascii="Verdana" w:hAnsi="Verdana"/>
          <w:sz w:val="20"/>
          <w:szCs w:val="20"/>
        </w:rPr>
        <w:tab/>
        <w:t>Valor unitário dos Juros Remuneratórios da Segunda Série devidos no final de cada Período de Capitalização da Segunda Série (conforme definido abaixo), calculado com 8 (oito) casas decimais sem arredondamento;</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VNa</w:t>
      </w:r>
      <w:proofErr w:type="spellEnd"/>
      <w:r w:rsidRPr="00F74141">
        <w:rPr>
          <w:rFonts w:ascii="Verdana" w:hAnsi="Verdana"/>
          <w:sz w:val="20"/>
          <w:szCs w:val="20"/>
        </w:rPr>
        <w:t>”</w:t>
      </w:r>
      <w:r w:rsidRPr="00F74141">
        <w:rPr>
          <w:rFonts w:ascii="Verdana" w:hAnsi="Verdana"/>
          <w:sz w:val="20"/>
          <w:szCs w:val="20"/>
        </w:rPr>
        <w:tab/>
      </w:r>
      <w:r w:rsidRPr="00F74141">
        <w:rPr>
          <w:rFonts w:ascii="Verdana" w:hAnsi="Verdana"/>
          <w:sz w:val="20"/>
          <w:szCs w:val="20"/>
        </w:rPr>
        <w:tab/>
        <w:t>Valor Nominal Unitário Atualizado das Debêntures da Segunda Série, calculado com 8 (oito) casas decimais, sem arredondamento;</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rPr>
        <w:t xml:space="preserve">“Fator de Juros” </w:t>
      </w:r>
      <w:r w:rsidRPr="00F74141">
        <w:rPr>
          <w:rFonts w:ascii="Verdana" w:hAnsi="Verdana"/>
          <w:sz w:val="20"/>
          <w:szCs w:val="20"/>
        </w:rPr>
        <w:tab/>
        <w:t>Fator de juros, calculado com 9 (nove) casas decimais, com arredondamento, apurado de acordo com a seguinte fórmula:</w:t>
      </w:r>
    </w:p>
    <w:p w:rsidR="00204B37" w:rsidRPr="00F74141" w:rsidRDefault="00706572">
      <w:pPr>
        <w:pStyle w:val="PargrafodaLista"/>
        <w:ind w:left="1418"/>
        <w:jc w:val="center"/>
        <w:rPr>
          <w:rFonts w:ascii="Verdana" w:hAnsi="Verdana"/>
          <w:sz w:val="20"/>
          <w:szCs w:val="20"/>
        </w:rPr>
      </w:pPr>
      <m:oMathPara>
        <m:oMath>
          <m:r>
            <w:rPr>
              <w:rFonts w:ascii="Cambria Math" w:hAnsi="Cambria Math"/>
              <w:sz w:val="20"/>
              <w:szCs w:val="20"/>
            </w:rPr>
            <m:t xml:space="preserve">Fator Juros= </m:t>
          </m:r>
          <m:d>
            <m:dPr>
              <m:begChr m:val="["/>
              <m:endChr m:val="]"/>
              <m:ctrlPr>
                <w:rPr>
                  <w:rFonts w:ascii="Cambria Math" w:hAnsi="Cambria Math"/>
                  <w:i/>
                  <w:sz w:val="20"/>
                  <w:szCs w:val="20"/>
                </w:rPr>
              </m:ctrlPr>
            </m:dPr>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Taxa</m:t>
                          </m:r>
                        </m:num>
                        <m:den>
                          <m:r>
                            <w:rPr>
                              <w:rFonts w:ascii="Cambria Math" w:hAnsi="Cambria Math"/>
                              <w:sz w:val="20"/>
                              <w:szCs w:val="20"/>
                            </w:rPr>
                            <m:t>100</m:t>
                          </m:r>
                        </m:den>
                      </m:f>
                    </m:e>
                  </m:d>
                </m:e>
                <m:sup>
                  <m:f>
                    <m:fPr>
                      <m:ctrlPr>
                        <w:rPr>
                          <w:rFonts w:ascii="Cambria Math" w:hAnsi="Cambria Math"/>
                          <w:i/>
                          <w:sz w:val="20"/>
                          <w:szCs w:val="20"/>
                        </w:rPr>
                      </m:ctrlPr>
                    </m:fPr>
                    <m:num>
                      <m:r>
                        <w:rPr>
                          <w:rFonts w:ascii="Cambria Math" w:hAnsi="Cambria Math"/>
                          <w:sz w:val="20"/>
                          <w:szCs w:val="20"/>
                        </w:rPr>
                        <m:t>DP</m:t>
                      </m:r>
                    </m:num>
                    <m:den>
                      <m:r>
                        <w:rPr>
                          <w:rFonts w:ascii="Cambria Math" w:hAnsi="Cambria Math"/>
                          <w:sz w:val="20"/>
                          <w:szCs w:val="20"/>
                        </w:rPr>
                        <m:t>252</m:t>
                      </m:r>
                    </m:den>
                  </m:f>
                </m:sup>
              </m:sSup>
            </m:e>
          </m:d>
        </m:oMath>
      </m:oMathPara>
    </w:p>
    <w:p w:rsidR="00204B37" w:rsidRPr="00F74141" w:rsidRDefault="00706572">
      <w:pPr>
        <w:spacing w:before="240" w:after="240" w:line="320" w:lineRule="exact"/>
        <w:ind w:left="1418"/>
        <w:jc w:val="both"/>
        <w:rPr>
          <w:rFonts w:ascii="Verdana" w:hAnsi="Verdana"/>
          <w:sz w:val="20"/>
          <w:szCs w:val="20"/>
        </w:rPr>
      </w:pPr>
      <w:r w:rsidRPr="00F74141">
        <w:rPr>
          <w:rFonts w:ascii="Verdana" w:hAnsi="Verdana"/>
          <w:sz w:val="20"/>
          <w:szCs w:val="20"/>
        </w:rPr>
        <w:t>“Taxa”</w:t>
      </w:r>
      <w:r w:rsidRPr="00F74141">
        <w:rPr>
          <w:rFonts w:ascii="Verdana" w:hAnsi="Verdana"/>
          <w:sz w:val="20"/>
          <w:szCs w:val="20"/>
        </w:rPr>
        <w:tab/>
      </w:r>
      <w:r w:rsidRPr="00F74141">
        <w:rPr>
          <w:rFonts w:ascii="Verdana" w:hAnsi="Verdana"/>
          <w:sz w:val="20"/>
          <w:szCs w:val="20"/>
        </w:rPr>
        <w:tab/>
        <w:t xml:space="preserve">A ser definido no Procedimento de </w:t>
      </w:r>
      <w:proofErr w:type="spellStart"/>
      <w:r w:rsidRPr="00F74141">
        <w:rPr>
          <w:rFonts w:ascii="Verdana" w:hAnsi="Verdana"/>
          <w:i/>
          <w:sz w:val="20"/>
          <w:szCs w:val="20"/>
        </w:rPr>
        <w:t>Bookbuilding</w:t>
      </w:r>
      <w:proofErr w:type="spellEnd"/>
      <w:r w:rsidRPr="00F74141">
        <w:rPr>
          <w:rFonts w:ascii="Verdana" w:hAnsi="Verdana"/>
          <w:sz w:val="20"/>
          <w:szCs w:val="20"/>
        </w:rPr>
        <w:t>, nos termos da Cláusula 4.4.2.2.</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rPr>
        <w:t>“DP”</w:t>
      </w:r>
      <w:r w:rsidRPr="00F74141">
        <w:rPr>
          <w:rFonts w:ascii="Verdana" w:hAnsi="Verdana"/>
          <w:sz w:val="20"/>
          <w:szCs w:val="20"/>
        </w:rPr>
        <w:tab/>
        <w:t>Número de Dias Úteis entre a Data da Primeira Integralização ou a Data de Pagamento dos Juros Remuneratórios imediatamente anterior, conforme o caso, e a data de cálculo, sendo “DP” um número inteiro.</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u w:val="single"/>
        </w:rPr>
        <w:t>Observações</w:t>
      </w:r>
      <w:r w:rsidRPr="00F74141">
        <w:rPr>
          <w:rFonts w:ascii="Verdana" w:hAnsi="Verdana"/>
          <w:sz w:val="20"/>
          <w:szCs w:val="20"/>
        </w:rPr>
        <w:t>:</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rPr>
        <w:t>(i)</w:t>
      </w:r>
      <w:r w:rsidRPr="00F74141">
        <w:rPr>
          <w:rFonts w:ascii="Verdana" w:hAnsi="Verdana"/>
          <w:sz w:val="20"/>
          <w:szCs w:val="20"/>
        </w:rPr>
        <w:tab/>
        <w:t xml:space="preserve">Efetua-se o </w:t>
      </w:r>
      <w:proofErr w:type="spellStart"/>
      <w:r w:rsidRPr="00F74141">
        <w:rPr>
          <w:rFonts w:ascii="Verdana" w:hAnsi="Verdana"/>
          <w:sz w:val="20"/>
          <w:szCs w:val="20"/>
        </w:rPr>
        <w:t>produtório</w:t>
      </w:r>
      <w:proofErr w:type="spellEnd"/>
      <w:r w:rsidRPr="00F74141">
        <w:rPr>
          <w:rFonts w:ascii="Verdana" w:hAnsi="Verdana"/>
          <w:sz w:val="20"/>
          <w:szCs w:val="20"/>
        </w:rPr>
        <w:t xml:space="preserve"> dos fatores (1 + </w:t>
      </w:r>
      <w:proofErr w:type="spellStart"/>
      <w:r w:rsidRPr="00F74141">
        <w:rPr>
          <w:rFonts w:ascii="Verdana" w:hAnsi="Verdana"/>
          <w:sz w:val="20"/>
          <w:szCs w:val="20"/>
        </w:rPr>
        <w:t>TDI</w:t>
      </w:r>
      <w:r w:rsidRPr="00F74141">
        <w:rPr>
          <w:rFonts w:ascii="Verdana" w:hAnsi="Verdana"/>
          <w:sz w:val="20"/>
          <w:szCs w:val="20"/>
          <w:vertAlign w:val="subscript"/>
        </w:rPr>
        <w:t>k</w:t>
      </w:r>
      <w:proofErr w:type="spellEnd"/>
      <w:r w:rsidRPr="00F74141">
        <w:rPr>
          <w:rFonts w:ascii="Verdana" w:hAnsi="Verdana"/>
          <w:sz w:val="20"/>
          <w:szCs w:val="20"/>
        </w:rPr>
        <w:t>), sendo que a cada fator diário acumulado, trunca-se o resultado com 16 (dezesseis) casas decimais, aplicando-se o próximo fator diário, e assim por diante até o último considerado;</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ii</w:t>
      </w:r>
      <w:proofErr w:type="spellEnd"/>
      <w:r w:rsidRPr="00F74141">
        <w:rPr>
          <w:rFonts w:ascii="Verdana" w:hAnsi="Verdana"/>
          <w:sz w:val="20"/>
          <w:szCs w:val="20"/>
        </w:rPr>
        <w:t>)</w:t>
      </w:r>
      <w:r w:rsidRPr="00F74141">
        <w:rPr>
          <w:rFonts w:ascii="Verdana" w:hAnsi="Verdana"/>
          <w:sz w:val="20"/>
          <w:szCs w:val="20"/>
        </w:rPr>
        <w:tab/>
        <w:t>Uma vez os fatores estando acumulados, considera-se o fator resultante “Fator DI” com 8 (oito) casas decimais, com arredondamento; e</w:t>
      </w:r>
    </w:p>
    <w:p w:rsidR="00204B37" w:rsidRPr="00F74141" w:rsidRDefault="00706572">
      <w:pPr>
        <w:pStyle w:val="Recuodecorpodetexto"/>
        <w:tabs>
          <w:tab w:val="left" w:pos="1418"/>
        </w:tabs>
        <w:spacing w:before="240" w:after="240" w:line="320" w:lineRule="exact"/>
        <w:ind w:left="1418"/>
        <w:jc w:val="both"/>
        <w:rPr>
          <w:rFonts w:ascii="Verdana" w:hAnsi="Verdana"/>
          <w:sz w:val="20"/>
          <w:szCs w:val="20"/>
        </w:rPr>
      </w:pPr>
      <w:r w:rsidRPr="00F74141">
        <w:rPr>
          <w:rFonts w:ascii="Verdana" w:hAnsi="Verdana"/>
          <w:sz w:val="20"/>
          <w:szCs w:val="20"/>
        </w:rPr>
        <w:t>(</w:t>
      </w:r>
      <w:proofErr w:type="spellStart"/>
      <w:r w:rsidRPr="00F74141">
        <w:rPr>
          <w:rFonts w:ascii="Verdana" w:hAnsi="Verdana"/>
          <w:sz w:val="20"/>
          <w:szCs w:val="20"/>
        </w:rPr>
        <w:t>iii</w:t>
      </w:r>
      <w:proofErr w:type="spellEnd"/>
      <w:r w:rsidRPr="00F74141">
        <w:rPr>
          <w:rFonts w:ascii="Verdana" w:hAnsi="Verdana"/>
          <w:sz w:val="20"/>
          <w:szCs w:val="20"/>
        </w:rPr>
        <w:t>)</w:t>
      </w:r>
      <w:r w:rsidRPr="00F74141">
        <w:rPr>
          <w:rFonts w:ascii="Verdana" w:hAnsi="Verdana"/>
          <w:sz w:val="20"/>
          <w:szCs w:val="20"/>
        </w:rPr>
        <w:tab/>
        <w:t>O período de capitalização dos Juros Remuneratórios da Segunda Série (“</w:t>
      </w:r>
      <w:r w:rsidRPr="00F74141">
        <w:rPr>
          <w:rFonts w:ascii="Verdana" w:hAnsi="Verdana"/>
          <w:b/>
          <w:sz w:val="20"/>
          <w:szCs w:val="20"/>
        </w:rPr>
        <w:t>Período de Capitalização da Segunda Série</w:t>
      </w:r>
      <w:r w:rsidRPr="00F74141">
        <w:rPr>
          <w:rFonts w:ascii="Verdana" w:hAnsi="Verdana"/>
          <w:sz w:val="20"/>
          <w:szCs w:val="20"/>
        </w:rPr>
        <w:t>”, sendo que o Período de Capitalização da Segunda Série, quando referida indistintamente com o Período de Capitalização da Primeira Série, “</w:t>
      </w:r>
      <w:r w:rsidRPr="00F74141">
        <w:rPr>
          <w:rFonts w:ascii="Verdana" w:hAnsi="Verdana"/>
          <w:b/>
          <w:sz w:val="20"/>
          <w:szCs w:val="20"/>
        </w:rPr>
        <w:t>Período de Capitalização</w:t>
      </w:r>
      <w:r w:rsidRPr="00F74141">
        <w:rPr>
          <w:rFonts w:ascii="Verdana" w:hAnsi="Verdana"/>
          <w:sz w:val="20"/>
          <w:szCs w:val="20"/>
        </w:rPr>
        <w:t>”) é, para o primeiro Período de Capitalização da Segunda Série, o intervalo de tempo que se inicia na Data da Primeira Integralização (inclusive) e termina na primeira Data de Pagamento dos Juros Remuneratórios (exclusive) e, para os demais Períodos de Capitalização da Segunda Série, o intervalo de tempo que se inicia na Data de Pagamento dos Juros Remuneratórios imediatamente anterior (inclusive) e termina na Data de Pagamento dos Juros Remuneratórios subsequente (exclusive). Cada Período de Capitalização da Segunda Série sucede o anterior sem solução de continuidade, até a Data de Vencimento, resgate da totalidade ou vencimento antecipado das Debêntures da Segunda Série, conforme o caso.</w:t>
      </w:r>
    </w:p>
    <w:p w:rsidR="00204B37" w:rsidRPr="00F74141" w:rsidRDefault="00706572">
      <w:pPr>
        <w:pStyle w:val="Level3"/>
        <w:numPr>
          <w:ilvl w:val="2"/>
          <w:numId w:val="21"/>
        </w:numPr>
        <w:spacing w:before="240" w:after="240" w:line="320" w:lineRule="exact"/>
        <w:ind w:left="1418" w:hanging="709"/>
        <w:rPr>
          <w:rFonts w:ascii="Verdana" w:eastAsia="Arial Unicode MS" w:hAnsi="Verdana"/>
          <w:szCs w:val="20"/>
        </w:rPr>
      </w:pPr>
      <w:r w:rsidRPr="00F74141">
        <w:rPr>
          <w:rFonts w:ascii="Verdana" w:eastAsia="Arial Unicode MS" w:hAnsi="Verdana"/>
          <w:i/>
          <w:szCs w:val="20"/>
        </w:rPr>
        <w:t>Pagamento dos Juros Remuneratórios</w:t>
      </w:r>
      <w:r w:rsidRPr="00F74141">
        <w:rPr>
          <w:rFonts w:ascii="Verdana" w:eastAsia="Arial Unicode MS" w:hAnsi="Verdana"/>
          <w:szCs w:val="20"/>
        </w:rPr>
        <w:t xml:space="preserve">: Os Juros Remuneratórios serão pagos semestralmente, </w:t>
      </w:r>
      <w:r w:rsidRPr="00F74141">
        <w:rPr>
          <w:rFonts w:ascii="Verdana" w:hAnsi="Verdana"/>
          <w:szCs w:val="20"/>
        </w:rPr>
        <w:t>a partir do 3º (terceiro) mês (inclusive) contado da Data de Emissão,</w:t>
      </w:r>
      <w:r w:rsidRPr="00F74141">
        <w:rPr>
          <w:rFonts w:ascii="Verdana" w:eastAsia="Arial Unicode MS" w:hAnsi="Verdana"/>
          <w:szCs w:val="20"/>
        </w:rPr>
        <w:t xml:space="preserve"> no dia 15 dos meses de dezembro e junho de cada ano, sendo o primeiro pagamento em 15 de dezembro de 2019 e o último na Data de Vencimento, conforme cronograma abaixo (cada uma das datas é definida como “</w:t>
      </w:r>
      <w:r w:rsidRPr="00F74141">
        <w:rPr>
          <w:rFonts w:ascii="Verdana" w:eastAsia="Arial Unicode MS" w:hAnsi="Verdana"/>
          <w:b/>
          <w:szCs w:val="20"/>
        </w:rPr>
        <w:t>Data de Pagamento dos Juros Remuneratórios</w:t>
      </w:r>
      <w:r w:rsidRPr="00F74141">
        <w:rPr>
          <w:rFonts w:ascii="Verdana" w:eastAsia="Arial Unicode MS" w:hAnsi="Verdana"/>
          <w:szCs w:val="20"/>
        </w:rPr>
        <w:t>”):</w:t>
      </w:r>
    </w:p>
    <w:tbl>
      <w:tblPr>
        <w:tblW w:w="4142" w:type="pct"/>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6350"/>
      </w:tblGrid>
      <w:tr w:rsidR="00204B37" w:rsidRPr="00F74141">
        <w:trPr>
          <w:trHeight w:val="589"/>
          <w:tblHeader/>
        </w:trPr>
        <w:tc>
          <w:tcPr>
            <w:tcW w:w="927" w:type="pct"/>
            <w:shd w:val="clear" w:color="auto" w:fill="D9D9D9" w:themeFill="background1" w:themeFillShade="D9"/>
            <w:vAlign w:val="center"/>
          </w:tcPr>
          <w:p w:rsidR="00204B37" w:rsidRPr="00F74141" w:rsidRDefault="00706572">
            <w:pPr>
              <w:spacing w:before="240" w:after="240" w:line="320" w:lineRule="exact"/>
              <w:contextualSpacing/>
              <w:jc w:val="center"/>
              <w:rPr>
                <w:rFonts w:ascii="Verdana" w:hAnsi="Verdana" w:cs="Tahoma"/>
                <w:b/>
                <w:sz w:val="20"/>
                <w:szCs w:val="20"/>
              </w:rPr>
            </w:pPr>
            <w:r w:rsidRPr="00F74141">
              <w:rPr>
                <w:rFonts w:ascii="Verdana" w:hAnsi="Verdana" w:cs="Tahoma"/>
                <w:b/>
                <w:sz w:val="20"/>
                <w:szCs w:val="20"/>
              </w:rPr>
              <w:t>Parcela</w:t>
            </w:r>
          </w:p>
        </w:tc>
        <w:tc>
          <w:tcPr>
            <w:tcW w:w="4073" w:type="pct"/>
            <w:shd w:val="clear" w:color="auto" w:fill="D9D9D9" w:themeFill="background1" w:themeFillShade="D9"/>
            <w:vAlign w:val="center"/>
          </w:tcPr>
          <w:p w:rsidR="00204B37" w:rsidRPr="00F74141" w:rsidRDefault="00706572">
            <w:pPr>
              <w:spacing w:before="240" w:after="240" w:line="320" w:lineRule="exact"/>
              <w:contextualSpacing/>
              <w:jc w:val="center"/>
              <w:rPr>
                <w:rFonts w:ascii="Verdana" w:hAnsi="Verdana" w:cs="Tahoma"/>
                <w:b/>
                <w:sz w:val="20"/>
                <w:szCs w:val="20"/>
              </w:rPr>
            </w:pPr>
            <w:r w:rsidRPr="00F74141">
              <w:rPr>
                <w:rFonts w:ascii="Verdana" w:hAnsi="Verdana" w:cs="Tahoma"/>
                <w:b/>
                <w:sz w:val="20"/>
                <w:szCs w:val="20"/>
              </w:rPr>
              <w:t>Data de Pagamento dos Juros Remuneratórios</w:t>
            </w:r>
          </w:p>
        </w:tc>
      </w:tr>
      <w:tr w:rsidR="00204B37" w:rsidRPr="00F74141">
        <w:tc>
          <w:tcPr>
            <w:tcW w:w="927"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2019</w:t>
            </w:r>
          </w:p>
        </w:tc>
      </w:tr>
      <w:tr w:rsidR="00204B37" w:rsidRPr="00F74141">
        <w:tc>
          <w:tcPr>
            <w:tcW w:w="927"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2ª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2020</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3ª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2020</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4ª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2021</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5ª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2021</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6ª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2022</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7ª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2022</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8ª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2023</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9ª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2023</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10ª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2024</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11ª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dezembro de 2024</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12ª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15 de junho de 2025</w:t>
            </w:r>
          </w:p>
        </w:tc>
      </w:tr>
      <w:tr w:rsidR="00204B37" w:rsidRPr="00F74141">
        <w:tc>
          <w:tcPr>
            <w:tcW w:w="927" w:type="pct"/>
            <w:shd w:val="clear" w:color="auto" w:fill="auto"/>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13ª</w:t>
            </w:r>
          </w:p>
        </w:tc>
        <w:tc>
          <w:tcPr>
            <w:tcW w:w="4073" w:type="pct"/>
            <w:shd w:val="clear" w:color="auto" w:fill="auto"/>
            <w:vAlign w:val="center"/>
          </w:tcPr>
          <w:p w:rsidR="00204B37" w:rsidRPr="00F74141" w:rsidRDefault="00706572">
            <w:pPr>
              <w:spacing w:before="240" w:after="240" w:line="320" w:lineRule="exact"/>
              <w:contextualSpacing/>
              <w:jc w:val="center"/>
              <w:rPr>
                <w:rFonts w:ascii="Verdana" w:hAnsi="Verdana" w:cs="Tahoma"/>
                <w:sz w:val="20"/>
                <w:szCs w:val="20"/>
              </w:rPr>
            </w:pPr>
            <w:r w:rsidRPr="00F74141">
              <w:rPr>
                <w:rFonts w:ascii="Verdana" w:hAnsi="Verdana" w:cs="Tahoma"/>
                <w:sz w:val="20"/>
                <w:szCs w:val="20"/>
              </w:rPr>
              <w:t>Data de Vencimento</w:t>
            </w:r>
          </w:p>
        </w:tc>
      </w:tr>
    </w:tbl>
    <w:bookmarkEnd w:id="27"/>
    <w:bookmarkEnd w:id="28"/>
    <w:bookmarkEnd w:id="29"/>
    <w:p w:rsidR="00204B37" w:rsidRPr="00F74141" w:rsidRDefault="00706572">
      <w:pPr>
        <w:pStyle w:val="Level2"/>
        <w:keepNext/>
        <w:numPr>
          <w:ilvl w:val="1"/>
          <w:numId w:val="9"/>
        </w:numPr>
        <w:spacing w:before="240" w:after="240" w:line="320" w:lineRule="exact"/>
        <w:ind w:left="1389"/>
        <w:rPr>
          <w:rFonts w:ascii="Verdana" w:hAnsi="Verdana"/>
          <w:b/>
          <w:szCs w:val="20"/>
        </w:rPr>
      </w:pPr>
      <w:r w:rsidRPr="00F74141">
        <w:rPr>
          <w:rFonts w:ascii="Verdana" w:hAnsi="Verdana"/>
          <w:b/>
          <w:szCs w:val="20"/>
        </w:rPr>
        <w:t>Resgate Antecipado Facultativo</w:t>
      </w:r>
    </w:p>
    <w:p w:rsidR="00204B37" w:rsidRPr="00F74141" w:rsidRDefault="00706572">
      <w:pPr>
        <w:pStyle w:val="Level3"/>
        <w:numPr>
          <w:ilvl w:val="2"/>
          <w:numId w:val="9"/>
        </w:numPr>
        <w:spacing w:before="240" w:after="240" w:line="320" w:lineRule="exact"/>
        <w:rPr>
          <w:rFonts w:ascii="Verdana" w:hAnsi="Verdana"/>
          <w:bCs/>
        </w:rPr>
      </w:pPr>
      <w:r w:rsidRPr="00F74141">
        <w:rPr>
          <w:rFonts w:ascii="Verdana" w:hAnsi="Verdana"/>
          <w:bCs/>
          <w:szCs w:val="20"/>
        </w:rPr>
        <w:t xml:space="preserve">A Emissora poderá, a seu exclusivo critério e independentemente da vontade dos </w:t>
      </w:r>
      <w:r w:rsidRPr="00F74141">
        <w:rPr>
          <w:rFonts w:ascii="Verdana" w:hAnsi="Verdana"/>
          <w:szCs w:val="20"/>
        </w:rPr>
        <w:t xml:space="preserve">Debenturistas, a partir de 15 de outubro de 2022, </w:t>
      </w:r>
      <w:r w:rsidRPr="00F74141">
        <w:rPr>
          <w:rFonts w:ascii="Verdana" w:hAnsi="Verdana"/>
          <w:bCs/>
          <w:szCs w:val="20"/>
        </w:rPr>
        <w:t>observados os termos e condições estabelecidos a seguir, realizar o resgate antecipado facultativo total das Debêntures</w:t>
      </w:r>
      <w:r w:rsidR="008931FF" w:rsidRPr="00F74141">
        <w:rPr>
          <w:rFonts w:ascii="Verdana" w:hAnsi="Verdana"/>
          <w:bCs/>
          <w:szCs w:val="20"/>
        </w:rPr>
        <w:t xml:space="preserve"> da Primeira Série e/ou das Debêntures da Segunda Série, conforme o caso</w:t>
      </w:r>
      <w:r w:rsidRPr="00F74141">
        <w:rPr>
          <w:rFonts w:ascii="Verdana" w:hAnsi="Verdana"/>
          <w:bCs/>
          <w:szCs w:val="20"/>
        </w:rPr>
        <w:t xml:space="preserve">, com o consequente cancelamento das </w:t>
      </w:r>
      <w:r w:rsidR="00372E04" w:rsidRPr="00F74141">
        <w:rPr>
          <w:rFonts w:ascii="Verdana" w:hAnsi="Verdana"/>
          <w:bCs/>
          <w:szCs w:val="20"/>
        </w:rPr>
        <w:t xml:space="preserve">respectivas </w:t>
      </w:r>
      <w:r w:rsidRPr="00F74141">
        <w:rPr>
          <w:rFonts w:ascii="Verdana" w:hAnsi="Verdana"/>
          <w:bCs/>
          <w:szCs w:val="20"/>
        </w:rPr>
        <w:t>Debêntures (“</w:t>
      </w:r>
      <w:r w:rsidRPr="00F74141">
        <w:rPr>
          <w:rFonts w:ascii="Verdana" w:hAnsi="Verdana"/>
          <w:b/>
          <w:bCs/>
          <w:szCs w:val="20"/>
        </w:rPr>
        <w:t>Resgate Antecipado Facultativo</w:t>
      </w:r>
      <w:r w:rsidRPr="00F74141">
        <w:rPr>
          <w:rFonts w:ascii="Verdana" w:hAnsi="Verdana"/>
          <w:bCs/>
          <w:szCs w:val="20"/>
        </w:rPr>
        <w:t>”).</w:t>
      </w:r>
    </w:p>
    <w:p w:rsidR="00204B37" w:rsidRPr="00F74141" w:rsidRDefault="00706572">
      <w:pPr>
        <w:pStyle w:val="Level3"/>
        <w:numPr>
          <w:ilvl w:val="2"/>
          <w:numId w:val="9"/>
        </w:numPr>
        <w:tabs>
          <w:tab w:val="left" w:pos="1560"/>
        </w:tabs>
        <w:spacing w:before="240" w:after="240" w:line="320" w:lineRule="exact"/>
        <w:rPr>
          <w:rFonts w:ascii="Verdana" w:hAnsi="Verdana"/>
          <w:bCs/>
          <w:szCs w:val="20"/>
        </w:rPr>
      </w:pPr>
      <w:bookmarkStart w:id="37" w:name="_DV_M238"/>
      <w:bookmarkEnd w:id="37"/>
      <w:r w:rsidRPr="00F74141">
        <w:rPr>
          <w:rFonts w:ascii="Verdana" w:hAnsi="Verdana"/>
          <w:bCs/>
          <w:szCs w:val="20"/>
        </w:rPr>
        <w:t xml:space="preserve">O Resgate Antecipado Facultativo das Debêntures ocorrerá mediante comunicação dirigida (i) à </w:t>
      </w:r>
      <w:r w:rsidRPr="00F74141">
        <w:rPr>
          <w:rFonts w:ascii="Verdana" w:hAnsi="Verdana"/>
          <w:szCs w:val="20"/>
        </w:rPr>
        <w:t>B3</w:t>
      </w:r>
      <w:r w:rsidRPr="00F74141">
        <w:rPr>
          <w:rFonts w:ascii="Verdana" w:hAnsi="Verdana"/>
          <w:bCs/>
          <w:szCs w:val="20"/>
        </w:rPr>
        <w:t>, com antecedência mínima de 3 (três) Dias Úteis com relação à data prevista para realização do efetivo Resgate Antecipado Facultativo (“</w:t>
      </w:r>
      <w:r w:rsidRPr="00F74141">
        <w:rPr>
          <w:rFonts w:ascii="Verdana" w:hAnsi="Verdana"/>
          <w:b/>
          <w:bCs/>
          <w:szCs w:val="20"/>
        </w:rPr>
        <w:t xml:space="preserve">Comunicação de Resgate Antecipado Facultativo – </w:t>
      </w:r>
      <w:r w:rsidRPr="00F74141">
        <w:rPr>
          <w:rFonts w:ascii="Verdana" w:hAnsi="Verdana"/>
          <w:b/>
          <w:szCs w:val="20"/>
        </w:rPr>
        <w:t>B3</w:t>
      </w:r>
      <w:r w:rsidRPr="00F74141">
        <w:rPr>
          <w:rFonts w:ascii="Verdana" w:hAnsi="Verdana"/>
          <w:bCs/>
          <w:szCs w:val="20"/>
        </w:rPr>
        <w:t>”), e (</w:t>
      </w:r>
      <w:proofErr w:type="spellStart"/>
      <w:r w:rsidRPr="00F74141">
        <w:rPr>
          <w:rFonts w:ascii="Verdana" w:hAnsi="Verdana"/>
          <w:bCs/>
          <w:szCs w:val="20"/>
        </w:rPr>
        <w:t>ii</w:t>
      </w:r>
      <w:proofErr w:type="spellEnd"/>
      <w:r w:rsidRPr="00F74141">
        <w:rPr>
          <w:rFonts w:ascii="Verdana" w:hAnsi="Verdana"/>
          <w:bCs/>
          <w:szCs w:val="20"/>
        </w:rPr>
        <w:t xml:space="preserve">) aos Debenturistas com antecedência mínima de </w:t>
      </w:r>
      <w:r w:rsidRPr="00F74141">
        <w:rPr>
          <w:rFonts w:ascii="Verdana" w:hAnsi="Verdana"/>
          <w:szCs w:val="20"/>
        </w:rPr>
        <w:t>5</w:t>
      </w:r>
      <w:r w:rsidRPr="00F74141">
        <w:rPr>
          <w:rFonts w:ascii="Verdana" w:hAnsi="Verdana"/>
          <w:bCs/>
          <w:szCs w:val="20"/>
        </w:rPr>
        <w:t xml:space="preserve"> (cinco) Dias Úteis com relação à data prevista para realização do efetivo Resgate Antecipado Facultativo (“</w:t>
      </w:r>
      <w:r w:rsidRPr="00F74141">
        <w:rPr>
          <w:rFonts w:ascii="Verdana" w:hAnsi="Verdana"/>
          <w:b/>
          <w:bCs/>
          <w:szCs w:val="20"/>
        </w:rPr>
        <w:t>Comunicação de Resgate Antecipado Facultativo – Debenturistas</w:t>
      </w:r>
      <w:r w:rsidRPr="00F74141">
        <w:rPr>
          <w:rFonts w:ascii="Verdana" w:hAnsi="Verdana"/>
          <w:bCs/>
          <w:szCs w:val="20"/>
        </w:rPr>
        <w:t xml:space="preserve">” e, em conjunto com a Comunicação de Resgate Antecipado Facultativo – </w:t>
      </w:r>
      <w:r w:rsidRPr="00F74141">
        <w:rPr>
          <w:rFonts w:ascii="Verdana" w:hAnsi="Verdana"/>
          <w:szCs w:val="20"/>
        </w:rPr>
        <w:t>B3</w:t>
      </w:r>
      <w:r w:rsidRPr="00F74141">
        <w:rPr>
          <w:rFonts w:ascii="Verdana" w:hAnsi="Verdana"/>
          <w:bCs/>
          <w:szCs w:val="20"/>
        </w:rPr>
        <w:t>, “</w:t>
      </w:r>
      <w:r w:rsidRPr="00F74141">
        <w:rPr>
          <w:rFonts w:ascii="Verdana" w:hAnsi="Verdana"/>
          <w:b/>
          <w:bCs/>
          <w:szCs w:val="20"/>
        </w:rPr>
        <w:t>Comunicação de Resgate Antecipado Facultativo</w:t>
      </w:r>
      <w:r w:rsidRPr="00F74141">
        <w:rPr>
          <w:rFonts w:ascii="Verdana" w:hAnsi="Verdana"/>
          <w:bCs/>
          <w:szCs w:val="20"/>
        </w:rPr>
        <w:t>” e “</w:t>
      </w:r>
      <w:r w:rsidRPr="00F74141">
        <w:rPr>
          <w:rFonts w:ascii="Verdana" w:hAnsi="Verdana"/>
          <w:b/>
          <w:bCs/>
          <w:szCs w:val="20"/>
        </w:rPr>
        <w:t>Data do Resgate Antecipado Facultativo</w:t>
      </w:r>
      <w:r w:rsidRPr="00F74141">
        <w:rPr>
          <w:rFonts w:ascii="Verdana" w:hAnsi="Verdana"/>
          <w:bCs/>
          <w:szCs w:val="20"/>
        </w:rPr>
        <w:t xml:space="preserve">”, respectivamente). A Comunicação de Resgate Antecipado Facultativo poderá ocorrer, a critério da Emissora, por meio de correspondência direta aos Debenturistas, com cópia para o Agente Fiduciário, ou publicação dirigida aos Debenturistas a ser divulgada nos termos da Cláusula 4.18 </w:t>
      </w:r>
      <w:r w:rsidR="006A3D53" w:rsidRPr="00F74141">
        <w:rPr>
          <w:rFonts w:ascii="Verdana" w:hAnsi="Verdana"/>
          <w:bCs/>
          <w:szCs w:val="20"/>
        </w:rPr>
        <w:t>acima</w:t>
      </w:r>
      <w:r w:rsidRPr="00F74141">
        <w:rPr>
          <w:rFonts w:ascii="Verdana" w:hAnsi="Verdana"/>
          <w:bCs/>
          <w:szCs w:val="20"/>
        </w:rPr>
        <w:t>.</w:t>
      </w:r>
    </w:p>
    <w:p w:rsidR="00204B37" w:rsidRPr="00F74141" w:rsidRDefault="00706572">
      <w:pPr>
        <w:pStyle w:val="Level3"/>
        <w:keepNext/>
        <w:numPr>
          <w:ilvl w:val="2"/>
          <w:numId w:val="9"/>
        </w:numPr>
        <w:spacing w:before="240" w:after="240" w:line="320" w:lineRule="exact"/>
        <w:ind w:left="1360" w:hanging="680"/>
        <w:rPr>
          <w:rFonts w:ascii="Verdana" w:hAnsi="Verdana"/>
          <w:bCs/>
          <w:szCs w:val="20"/>
        </w:rPr>
      </w:pPr>
      <w:r w:rsidRPr="00F74141">
        <w:rPr>
          <w:rFonts w:ascii="Verdana" w:hAnsi="Verdana"/>
          <w:bCs/>
          <w:szCs w:val="20"/>
        </w:rPr>
        <w:t>Por ocasião do Resgate Antecipado Facultativo</w:t>
      </w:r>
      <w:r w:rsidR="003F0399" w:rsidRPr="00F74141">
        <w:rPr>
          <w:rFonts w:ascii="Verdana" w:hAnsi="Verdana"/>
          <w:bCs/>
          <w:szCs w:val="20"/>
        </w:rPr>
        <w:t xml:space="preserve"> das Debêntures da Primeira Série</w:t>
      </w:r>
      <w:r w:rsidRPr="00F74141">
        <w:rPr>
          <w:rFonts w:ascii="Verdana" w:hAnsi="Verdana"/>
          <w:bCs/>
          <w:szCs w:val="20"/>
        </w:rPr>
        <w:t xml:space="preserve">, os Debenturistas </w:t>
      </w:r>
      <w:r w:rsidR="003E5EDB" w:rsidRPr="00F74141">
        <w:rPr>
          <w:rFonts w:ascii="Verdana" w:hAnsi="Verdana"/>
          <w:bCs/>
          <w:szCs w:val="20"/>
        </w:rPr>
        <w:t xml:space="preserve">da Primeira Série </w:t>
      </w:r>
      <w:r w:rsidRPr="00F74141">
        <w:rPr>
          <w:rFonts w:ascii="Verdana" w:hAnsi="Verdana"/>
          <w:bCs/>
          <w:szCs w:val="20"/>
        </w:rPr>
        <w:t>farão jus ao pagamento (i) do saldo do Valor Nominal Unitário das Debêntures da Primeira Série, acrescido (</w:t>
      </w:r>
      <w:proofErr w:type="spellStart"/>
      <w:r w:rsidRPr="00F74141">
        <w:rPr>
          <w:rFonts w:ascii="Verdana" w:hAnsi="Verdana"/>
          <w:bCs/>
          <w:szCs w:val="20"/>
        </w:rPr>
        <w:t>ii</w:t>
      </w:r>
      <w:proofErr w:type="spellEnd"/>
      <w:r w:rsidRPr="00F74141">
        <w:rPr>
          <w:rFonts w:ascii="Verdana" w:hAnsi="Verdana"/>
          <w:bCs/>
          <w:szCs w:val="20"/>
        </w:rPr>
        <w:t xml:space="preserve">) dos respectivos Juros Remuneratórios, calculados </w:t>
      </w:r>
      <w:r w:rsidRPr="00F74141">
        <w:rPr>
          <w:rFonts w:ascii="Verdana" w:hAnsi="Verdana"/>
          <w:bCs/>
          <w:i/>
          <w:szCs w:val="20"/>
        </w:rPr>
        <w:t xml:space="preserve">pro rata </w:t>
      </w:r>
      <w:proofErr w:type="spellStart"/>
      <w:r w:rsidRPr="00F74141">
        <w:rPr>
          <w:rFonts w:ascii="Verdana" w:hAnsi="Verdana"/>
          <w:bCs/>
          <w:i/>
          <w:szCs w:val="20"/>
        </w:rPr>
        <w:t>temporis</w:t>
      </w:r>
      <w:proofErr w:type="spellEnd"/>
      <w:r w:rsidRPr="00F74141">
        <w:rPr>
          <w:rFonts w:ascii="Verdana" w:hAnsi="Verdana"/>
          <w:bCs/>
          <w:szCs w:val="20"/>
        </w:rPr>
        <w:t xml:space="preserve"> desde a Data da Primeira Integralização</w:t>
      </w:r>
      <w:r w:rsidRPr="00F74141">
        <w:rPr>
          <w:rFonts w:ascii="Verdana" w:hAnsi="Verdana"/>
          <w:szCs w:val="20"/>
        </w:rPr>
        <w:t xml:space="preserve"> ou a Data de Pagamento dos Juros Remuneratórios</w:t>
      </w:r>
      <w:r w:rsidRPr="00F74141">
        <w:rPr>
          <w:rFonts w:ascii="Verdana" w:hAnsi="Verdana"/>
          <w:bCs/>
          <w:szCs w:val="20"/>
        </w:rPr>
        <w:t xml:space="preserve"> </w:t>
      </w:r>
      <w:r w:rsidRPr="00F74141">
        <w:rPr>
          <w:rFonts w:ascii="Verdana" w:hAnsi="Verdana"/>
          <w:szCs w:val="20"/>
        </w:rPr>
        <w:t>imediatamente anterior, conforme o caso,</w:t>
      </w:r>
      <w:r w:rsidRPr="00F74141">
        <w:rPr>
          <w:rFonts w:ascii="Verdana" w:hAnsi="Verdana"/>
          <w:bCs/>
          <w:szCs w:val="20"/>
        </w:rPr>
        <w:t xml:space="preserve"> até a Data do Resgate Antecipado Facultativo, e (</w:t>
      </w:r>
      <w:proofErr w:type="spellStart"/>
      <w:r w:rsidRPr="00F74141">
        <w:rPr>
          <w:rFonts w:ascii="Verdana" w:hAnsi="Verdana"/>
          <w:bCs/>
          <w:szCs w:val="20"/>
        </w:rPr>
        <w:t>iii</w:t>
      </w:r>
      <w:proofErr w:type="spellEnd"/>
      <w:r w:rsidRPr="00F74141">
        <w:rPr>
          <w:rFonts w:ascii="Verdana" w:hAnsi="Verdana"/>
          <w:bCs/>
          <w:szCs w:val="20"/>
        </w:rPr>
        <w:t xml:space="preserve">) de prêmio de 0,30% (trinta centésimos por cento) ao ano, </w:t>
      </w:r>
      <w:r w:rsidRPr="00F74141">
        <w:rPr>
          <w:rFonts w:ascii="Verdana" w:hAnsi="Verdana"/>
          <w:bCs/>
          <w:i/>
          <w:szCs w:val="20"/>
        </w:rPr>
        <w:t xml:space="preserve">pro rata </w:t>
      </w:r>
      <w:proofErr w:type="spellStart"/>
      <w:r w:rsidRPr="00F74141">
        <w:rPr>
          <w:rFonts w:ascii="Verdana" w:hAnsi="Verdana"/>
          <w:bCs/>
          <w:i/>
          <w:szCs w:val="20"/>
        </w:rPr>
        <w:t>temporis</w:t>
      </w:r>
      <w:proofErr w:type="spellEnd"/>
      <w:r w:rsidRPr="00F74141">
        <w:rPr>
          <w:rFonts w:ascii="Verdana" w:hAnsi="Verdana"/>
          <w:bCs/>
          <w:szCs w:val="20"/>
        </w:rPr>
        <w:t>, base 252 (duzentos e cinquenta e dois) Dias Úteis, considerando a quantidade de Dias Úteis a transcorrer entre a Data do Resgate Antecipado Facultativo e a Data de Vencimento, incidente sobre o saldo do Valor Nominal Unitário das Debêntures da Primeira Série (“</w:t>
      </w:r>
      <w:r w:rsidRPr="00F74141">
        <w:rPr>
          <w:rFonts w:ascii="Verdana" w:hAnsi="Verdana"/>
          <w:b/>
          <w:szCs w:val="20"/>
        </w:rPr>
        <w:t>Valor do Resgate Antecipado Facultativo</w:t>
      </w:r>
      <w:r w:rsidR="00531873" w:rsidRPr="00F74141">
        <w:rPr>
          <w:rFonts w:ascii="Verdana" w:hAnsi="Verdana"/>
          <w:b/>
          <w:szCs w:val="20"/>
        </w:rPr>
        <w:t xml:space="preserve"> das Debêntures da Primeira Série</w:t>
      </w:r>
      <w:r w:rsidRPr="00F74141">
        <w:rPr>
          <w:rFonts w:ascii="Verdana" w:hAnsi="Verdana"/>
          <w:bCs/>
          <w:szCs w:val="20"/>
        </w:rPr>
        <w:t>”), observado o disposto na fórmula abaixo:</w:t>
      </w:r>
    </w:p>
    <w:p w:rsidR="00204B37" w:rsidRPr="00F74141" w:rsidRDefault="007E3396">
      <w:pPr>
        <w:pStyle w:val="Level3"/>
        <w:keepNext/>
        <w:numPr>
          <w:ilvl w:val="0"/>
          <w:numId w:val="0"/>
        </w:numPr>
        <w:spacing w:before="240" w:after="240" w:line="320" w:lineRule="exact"/>
        <w:rPr>
          <w:rFonts w:ascii="Verdana" w:hAnsi="Verdana"/>
          <w:bCs/>
          <w:szCs w:val="20"/>
        </w:rPr>
      </w:pPr>
      <m:oMathPara>
        <m:oMath>
          <m:sSup>
            <m:sSupPr>
              <m:ctrlPr>
                <w:rPr>
                  <w:rFonts w:ascii="Cambria Math" w:eastAsia="Verdana" w:hAnsi="Cambria Math" w:cs="Verdana"/>
                  <w:szCs w:val="20"/>
                </w:rPr>
              </m:ctrlPr>
            </m:sSupPr>
            <m:e>
              <m:r>
                <w:rPr>
                  <w:rFonts w:ascii="Cambria Math" w:eastAsia="Verdana" w:hAnsi="Cambria Math" w:cs="Verdana"/>
                  <w:szCs w:val="20"/>
                </w:rPr>
                <m:t>VR=[</m:t>
              </m:r>
              <m:d>
                <m:dPr>
                  <m:ctrlPr>
                    <w:rPr>
                      <w:rFonts w:ascii="Cambria Math" w:eastAsia="Verdana" w:hAnsi="Cambria Math" w:cs="Verdana"/>
                      <w:i/>
                      <w:szCs w:val="20"/>
                    </w:rPr>
                  </m:ctrlPr>
                </m:dPr>
                <m:e>
                  <m:r>
                    <w:rPr>
                      <w:rFonts w:ascii="Cambria Math" w:eastAsia="Verdana" w:hAnsi="Cambria Math" w:cs="Verdana"/>
                      <w:szCs w:val="20"/>
                    </w:rPr>
                    <m:t>1+0,30%</m:t>
                  </m:r>
                </m:e>
              </m:d>
            </m:e>
            <m:sup>
              <m:r>
                <w:rPr>
                  <w:rFonts w:ascii="Cambria Math" w:eastAsia="Verdana" w:hAnsi="Cambria Math" w:cs="Verdana"/>
                  <w:szCs w:val="20"/>
                </w:rPr>
                <m:t>DU/252</m:t>
              </m:r>
            </m:sup>
          </m:sSup>
          <m:r>
            <w:rPr>
              <w:rFonts w:ascii="Cambria Math" w:eastAsia="Cambria Math" w:hAnsi="Cambria Math" w:cs="Cambria Math"/>
              <w:szCs w:val="20"/>
            </w:rPr>
            <m:t>-1] x VNe</m:t>
          </m:r>
        </m:oMath>
      </m:oMathPara>
    </w:p>
    <w:p w:rsidR="00204B37" w:rsidRPr="00F74141" w:rsidRDefault="00706572">
      <w:pPr>
        <w:pStyle w:val="Level3"/>
        <w:numPr>
          <w:ilvl w:val="0"/>
          <w:numId w:val="0"/>
        </w:numPr>
        <w:spacing w:before="240" w:after="240" w:line="320" w:lineRule="exact"/>
        <w:ind w:left="720" w:firstLine="720"/>
        <w:rPr>
          <w:rFonts w:ascii="Verdana" w:hAnsi="Verdana"/>
          <w:szCs w:val="20"/>
        </w:rPr>
      </w:pPr>
      <w:r w:rsidRPr="00F74141">
        <w:rPr>
          <w:rFonts w:ascii="Verdana" w:hAnsi="Verdana"/>
          <w:szCs w:val="20"/>
        </w:rPr>
        <w:t>onde:</w:t>
      </w:r>
    </w:p>
    <w:p w:rsidR="00204B37" w:rsidRPr="00F74141" w:rsidRDefault="00706572">
      <w:pPr>
        <w:pStyle w:val="Level3"/>
        <w:numPr>
          <w:ilvl w:val="0"/>
          <w:numId w:val="0"/>
        </w:numPr>
        <w:spacing w:before="240" w:after="240" w:line="320" w:lineRule="exact"/>
        <w:ind w:left="1440"/>
        <w:rPr>
          <w:rFonts w:ascii="Verdana" w:hAnsi="Verdana"/>
          <w:szCs w:val="20"/>
        </w:rPr>
      </w:pPr>
      <w:r w:rsidRPr="00F74141">
        <w:rPr>
          <w:rFonts w:ascii="Verdana" w:hAnsi="Verdana"/>
          <w:szCs w:val="20"/>
        </w:rPr>
        <w:t>“VR” = Valor do Resgate Antecipado Facultativo</w:t>
      </w:r>
      <w:r w:rsidR="00531873" w:rsidRPr="00F74141">
        <w:rPr>
          <w:rFonts w:ascii="Verdana" w:hAnsi="Verdana"/>
          <w:szCs w:val="20"/>
        </w:rPr>
        <w:t xml:space="preserve"> das Debêntures da Primeira Série</w:t>
      </w:r>
      <w:r w:rsidRPr="00F74141">
        <w:rPr>
          <w:rFonts w:ascii="Verdana" w:hAnsi="Verdana"/>
          <w:szCs w:val="20"/>
        </w:rPr>
        <w:t>, calculado com 8 casas decimais, sem arredondamento;</w:t>
      </w:r>
    </w:p>
    <w:p w:rsidR="00204B37" w:rsidRPr="00F74141" w:rsidRDefault="00706572">
      <w:pPr>
        <w:pStyle w:val="Level3"/>
        <w:numPr>
          <w:ilvl w:val="0"/>
          <w:numId w:val="0"/>
        </w:numPr>
        <w:spacing w:before="240" w:after="240" w:line="320" w:lineRule="exact"/>
        <w:ind w:left="1440"/>
        <w:rPr>
          <w:rFonts w:ascii="Verdana" w:hAnsi="Verdana"/>
          <w:szCs w:val="20"/>
        </w:rPr>
      </w:pPr>
      <w:r w:rsidRPr="00F74141">
        <w:rPr>
          <w:rFonts w:ascii="Verdana" w:hAnsi="Verdana"/>
          <w:szCs w:val="20"/>
        </w:rPr>
        <w:t>“DU” = número de Dias Úteis a transcorrer entre a Data do Resgate Antecipado Facultativo e a Data de Vencimento;</w:t>
      </w:r>
      <w:r w:rsidR="00443E3C" w:rsidRPr="00F74141">
        <w:rPr>
          <w:rFonts w:ascii="Verdana" w:hAnsi="Verdana"/>
          <w:szCs w:val="20"/>
        </w:rPr>
        <w:t xml:space="preserve"> e</w:t>
      </w:r>
    </w:p>
    <w:p w:rsidR="00204B37" w:rsidRPr="00F74141" w:rsidRDefault="00706572">
      <w:pPr>
        <w:pStyle w:val="Level3"/>
        <w:numPr>
          <w:ilvl w:val="0"/>
          <w:numId w:val="0"/>
        </w:numPr>
        <w:spacing w:before="240" w:after="240" w:line="320" w:lineRule="exact"/>
        <w:ind w:left="1418" w:firstLine="22"/>
        <w:rPr>
          <w:rFonts w:ascii="Verdana" w:hAnsi="Verdana"/>
          <w:szCs w:val="20"/>
        </w:rPr>
      </w:pPr>
      <w:bookmarkStart w:id="38" w:name="_Hlk531003022"/>
      <w:r w:rsidRPr="00F74141">
        <w:rPr>
          <w:rFonts w:ascii="Verdana" w:hAnsi="Verdana"/>
          <w:szCs w:val="20"/>
        </w:rPr>
        <w:t>“</w:t>
      </w:r>
      <w:proofErr w:type="spellStart"/>
      <w:r w:rsidRPr="00F74141">
        <w:rPr>
          <w:rFonts w:ascii="Verdana" w:hAnsi="Verdana"/>
          <w:szCs w:val="20"/>
        </w:rPr>
        <w:t>VNe</w:t>
      </w:r>
      <w:proofErr w:type="spellEnd"/>
      <w:r w:rsidRPr="00F74141">
        <w:rPr>
          <w:rFonts w:ascii="Verdana" w:hAnsi="Verdana"/>
          <w:szCs w:val="20"/>
        </w:rPr>
        <w:t xml:space="preserve">” = </w:t>
      </w:r>
      <w:bookmarkStart w:id="39" w:name="_Hlk531003002"/>
      <w:r w:rsidRPr="00F74141">
        <w:rPr>
          <w:rFonts w:ascii="Verdana" w:hAnsi="Verdana"/>
          <w:bCs/>
          <w:szCs w:val="20"/>
        </w:rPr>
        <w:t>saldo do Valor Nominal Unitário das Debêntures da Primeira Série</w:t>
      </w:r>
      <w:r w:rsidRPr="00F74141">
        <w:rPr>
          <w:rFonts w:ascii="Verdana" w:hAnsi="Verdana"/>
          <w:szCs w:val="20"/>
        </w:rPr>
        <w:t xml:space="preserve">, acrescido dos respectivos Juros Remuneratórios, calculados </w:t>
      </w:r>
      <w:r w:rsidRPr="00F74141">
        <w:rPr>
          <w:rFonts w:ascii="Verdana" w:hAnsi="Verdana"/>
          <w:i/>
          <w:szCs w:val="20"/>
        </w:rPr>
        <w:t xml:space="preserve">pro rata </w:t>
      </w:r>
      <w:proofErr w:type="spellStart"/>
      <w:r w:rsidRPr="00F74141">
        <w:rPr>
          <w:rFonts w:ascii="Verdana" w:hAnsi="Verdana"/>
          <w:i/>
          <w:szCs w:val="20"/>
        </w:rPr>
        <w:t>temporis</w:t>
      </w:r>
      <w:proofErr w:type="spellEnd"/>
      <w:r w:rsidRPr="00F74141">
        <w:rPr>
          <w:rFonts w:ascii="Verdana" w:hAnsi="Verdana"/>
          <w:szCs w:val="20"/>
        </w:rPr>
        <w:t xml:space="preserve"> desde a Data da Primeira Integralização ou da Data de Pagamento dos Juros Remuneratórios imediatamente anterior, conforme o caso, até a Data do Resgate Antecipado Facultativo</w:t>
      </w:r>
      <w:bookmarkEnd w:id="38"/>
      <w:bookmarkEnd w:id="39"/>
      <w:r w:rsidRPr="00F74141">
        <w:rPr>
          <w:rFonts w:ascii="Verdana" w:hAnsi="Verdana"/>
          <w:szCs w:val="20"/>
        </w:rPr>
        <w:t>.</w:t>
      </w:r>
    </w:p>
    <w:p w:rsidR="00A41F55" w:rsidRPr="00F74141" w:rsidRDefault="00A41F55" w:rsidP="007E3396">
      <w:pPr>
        <w:pStyle w:val="Level3"/>
        <w:keepNext/>
        <w:numPr>
          <w:ilvl w:val="2"/>
          <w:numId w:val="9"/>
        </w:numPr>
        <w:spacing w:before="240" w:after="240" w:line="320" w:lineRule="exact"/>
        <w:ind w:left="1360" w:hanging="680"/>
        <w:rPr>
          <w:rFonts w:ascii="Verdana" w:hAnsi="Verdana"/>
          <w:bCs/>
          <w:szCs w:val="20"/>
        </w:rPr>
      </w:pPr>
      <w:r w:rsidRPr="00F74141">
        <w:rPr>
          <w:rFonts w:ascii="Verdana" w:hAnsi="Verdana"/>
          <w:bCs/>
          <w:szCs w:val="20"/>
        </w:rPr>
        <w:t xml:space="preserve">Por ocasião do Resgate Antecipado Facultativo das Debêntures da Segunda Série, os Debenturistas </w:t>
      </w:r>
      <w:r w:rsidR="00C42798" w:rsidRPr="00F74141">
        <w:rPr>
          <w:rFonts w:ascii="Verdana" w:hAnsi="Verdana"/>
          <w:bCs/>
          <w:szCs w:val="20"/>
        </w:rPr>
        <w:t xml:space="preserve">da Segunda Série </w:t>
      </w:r>
      <w:r w:rsidRPr="00F74141">
        <w:rPr>
          <w:rFonts w:ascii="Verdana" w:hAnsi="Verdana"/>
          <w:bCs/>
          <w:szCs w:val="20"/>
        </w:rPr>
        <w:t xml:space="preserve">farão jus ao pagamento </w:t>
      </w:r>
      <w:r w:rsidR="00086A3A" w:rsidRPr="00F74141">
        <w:rPr>
          <w:rFonts w:ascii="Verdana" w:hAnsi="Verdana"/>
          <w:bCs/>
          <w:szCs w:val="20"/>
        </w:rPr>
        <w:t xml:space="preserve">(i) do Valor Nominal Unitário </w:t>
      </w:r>
      <w:r w:rsidR="00C600A3" w:rsidRPr="00F74141">
        <w:rPr>
          <w:rFonts w:ascii="Verdana" w:hAnsi="Verdana"/>
          <w:bCs/>
          <w:szCs w:val="20"/>
        </w:rPr>
        <w:t xml:space="preserve">Atualizado </w:t>
      </w:r>
      <w:r w:rsidR="00086A3A" w:rsidRPr="00F74141">
        <w:rPr>
          <w:rFonts w:ascii="Verdana" w:hAnsi="Verdana"/>
          <w:bCs/>
          <w:szCs w:val="20"/>
        </w:rPr>
        <w:t xml:space="preserve">das Debêntures da </w:t>
      </w:r>
      <w:r w:rsidR="00C600A3" w:rsidRPr="00F74141">
        <w:rPr>
          <w:rFonts w:ascii="Verdana" w:hAnsi="Verdana"/>
          <w:bCs/>
          <w:szCs w:val="20"/>
        </w:rPr>
        <w:t xml:space="preserve">Segunda </w:t>
      </w:r>
      <w:r w:rsidR="00086A3A" w:rsidRPr="00F74141">
        <w:rPr>
          <w:rFonts w:ascii="Verdana" w:hAnsi="Verdana"/>
          <w:bCs/>
          <w:szCs w:val="20"/>
        </w:rPr>
        <w:t>Série, acrescido (</w:t>
      </w:r>
      <w:proofErr w:type="spellStart"/>
      <w:r w:rsidR="00086A3A" w:rsidRPr="00F74141">
        <w:rPr>
          <w:rFonts w:ascii="Verdana" w:hAnsi="Verdana"/>
          <w:bCs/>
          <w:szCs w:val="20"/>
        </w:rPr>
        <w:t>ii</w:t>
      </w:r>
      <w:proofErr w:type="spellEnd"/>
      <w:r w:rsidR="00086A3A" w:rsidRPr="00F74141">
        <w:rPr>
          <w:rFonts w:ascii="Verdana" w:hAnsi="Verdana"/>
          <w:bCs/>
          <w:szCs w:val="20"/>
        </w:rPr>
        <w:t xml:space="preserve">) dos respectivos Juros Remuneratórios, calculados </w:t>
      </w:r>
      <w:r w:rsidR="00086A3A" w:rsidRPr="00F74141">
        <w:rPr>
          <w:rFonts w:ascii="Verdana" w:hAnsi="Verdana"/>
          <w:bCs/>
          <w:i/>
          <w:szCs w:val="20"/>
        </w:rPr>
        <w:t xml:space="preserve">pro rata </w:t>
      </w:r>
      <w:proofErr w:type="spellStart"/>
      <w:r w:rsidR="00086A3A" w:rsidRPr="00F74141">
        <w:rPr>
          <w:rFonts w:ascii="Verdana" w:hAnsi="Verdana"/>
          <w:bCs/>
          <w:i/>
          <w:szCs w:val="20"/>
        </w:rPr>
        <w:t>temporis</w:t>
      </w:r>
      <w:proofErr w:type="spellEnd"/>
      <w:r w:rsidR="00086A3A" w:rsidRPr="00F74141">
        <w:rPr>
          <w:rFonts w:ascii="Verdana" w:hAnsi="Verdana"/>
          <w:bCs/>
          <w:szCs w:val="20"/>
        </w:rPr>
        <w:t xml:space="preserve"> desde a Data da Primeira Integralização</w:t>
      </w:r>
      <w:r w:rsidR="00086A3A" w:rsidRPr="00F74141">
        <w:rPr>
          <w:rFonts w:ascii="Verdana" w:hAnsi="Verdana"/>
          <w:szCs w:val="20"/>
        </w:rPr>
        <w:t xml:space="preserve"> ou a Data de Pagamento dos Juros Remuneratórios</w:t>
      </w:r>
      <w:r w:rsidR="00086A3A" w:rsidRPr="00F74141">
        <w:rPr>
          <w:rFonts w:ascii="Verdana" w:hAnsi="Verdana"/>
          <w:bCs/>
          <w:szCs w:val="20"/>
        </w:rPr>
        <w:t xml:space="preserve"> </w:t>
      </w:r>
      <w:r w:rsidR="00086A3A" w:rsidRPr="00F74141">
        <w:rPr>
          <w:rFonts w:ascii="Verdana" w:hAnsi="Verdana"/>
          <w:szCs w:val="20"/>
        </w:rPr>
        <w:t>imediatamente anterior, conforme o caso,</w:t>
      </w:r>
      <w:r w:rsidR="00086A3A" w:rsidRPr="00F74141">
        <w:rPr>
          <w:rFonts w:ascii="Verdana" w:hAnsi="Verdana"/>
          <w:bCs/>
          <w:szCs w:val="20"/>
        </w:rPr>
        <w:t xml:space="preserve"> até a Data do Resgate Antecipado Facultativo, e (</w:t>
      </w:r>
      <w:proofErr w:type="spellStart"/>
      <w:r w:rsidR="00086A3A" w:rsidRPr="00F74141">
        <w:rPr>
          <w:rFonts w:ascii="Verdana" w:hAnsi="Verdana"/>
          <w:bCs/>
          <w:szCs w:val="20"/>
        </w:rPr>
        <w:t>iii</w:t>
      </w:r>
      <w:proofErr w:type="spellEnd"/>
      <w:r w:rsidR="00086A3A" w:rsidRPr="00F74141">
        <w:rPr>
          <w:rFonts w:ascii="Verdana" w:hAnsi="Verdana"/>
          <w:bCs/>
          <w:szCs w:val="20"/>
        </w:rPr>
        <w:t xml:space="preserve">) de prêmio </w:t>
      </w:r>
      <w:r w:rsidR="00986D71" w:rsidRPr="00F74141">
        <w:rPr>
          <w:rFonts w:ascii="Verdana" w:hAnsi="Verdana"/>
          <w:bCs/>
          <w:szCs w:val="20"/>
        </w:rPr>
        <w:t xml:space="preserve">incidente sobre </w:t>
      </w:r>
      <w:r w:rsidR="003E5CAD" w:rsidRPr="00F74141">
        <w:rPr>
          <w:rFonts w:ascii="Verdana" w:hAnsi="Verdana"/>
          <w:bCs/>
          <w:szCs w:val="20"/>
        </w:rPr>
        <w:t xml:space="preserve">o </w:t>
      </w:r>
      <w:r w:rsidR="00986D71" w:rsidRPr="00F74141">
        <w:rPr>
          <w:rFonts w:ascii="Verdana" w:hAnsi="Verdana"/>
          <w:bCs/>
          <w:szCs w:val="20"/>
        </w:rPr>
        <w:t xml:space="preserve">Valor Nominal Unitário Atualizado das Debêntures da Segunda Série, acrescido dos respectivos Juros Remuneratórios, calculados </w:t>
      </w:r>
      <w:r w:rsidR="00986D71" w:rsidRPr="00F74141">
        <w:rPr>
          <w:rFonts w:ascii="Verdana" w:hAnsi="Verdana"/>
          <w:bCs/>
          <w:i/>
          <w:szCs w:val="20"/>
        </w:rPr>
        <w:t xml:space="preserve">pro rata </w:t>
      </w:r>
      <w:proofErr w:type="spellStart"/>
      <w:r w:rsidR="00986D71" w:rsidRPr="00F74141">
        <w:rPr>
          <w:rFonts w:ascii="Verdana" w:hAnsi="Verdana"/>
          <w:bCs/>
          <w:i/>
          <w:szCs w:val="20"/>
        </w:rPr>
        <w:t>temporis</w:t>
      </w:r>
      <w:proofErr w:type="spellEnd"/>
      <w:r w:rsidR="00986D71" w:rsidRPr="00F74141">
        <w:rPr>
          <w:rFonts w:ascii="Verdana" w:hAnsi="Verdana"/>
          <w:bCs/>
          <w:szCs w:val="20"/>
        </w:rPr>
        <w:t xml:space="preserve"> desde a Data da Primeira Integralização</w:t>
      </w:r>
      <w:r w:rsidR="00986D71" w:rsidRPr="00F74141">
        <w:rPr>
          <w:rFonts w:ascii="Verdana" w:hAnsi="Verdana"/>
          <w:szCs w:val="20"/>
        </w:rPr>
        <w:t xml:space="preserve"> ou a Data de Pagamento dos Juros Remuneratórios</w:t>
      </w:r>
      <w:r w:rsidR="00986D71" w:rsidRPr="00F74141">
        <w:rPr>
          <w:rFonts w:ascii="Verdana" w:hAnsi="Verdana"/>
          <w:bCs/>
          <w:szCs w:val="20"/>
        </w:rPr>
        <w:t xml:space="preserve"> </w:t>
      </w:r>
      <w:r w:rsidR="00986D71" w:rsidRPr="00F74141">
        <w:rPr>
          <w:rFonts w:ascii="Verdana" w:hAnsi="Verdana"/>
          <w:szCs w:val="20"/>
        </w:rPr>
        <w:t>imediatamente anterior, conforme o caso,</w:t>
      </w:r>
      <w:r w:rsidR="00986D71" w:rsidRPr="00F74141">
        <w:rPr>
          <w:rFonts w:ascii="Verdana" w:hAnsi="Verdana"/>
          <w:bCs/>
          <w:szCs w:val="20"/>
        </w:rPr>
        <w:t xml:space="preserve"> até a Data do Resgate Antecipado Facultativo</w:t>
      </w:r>
      <w:r w:rsidR="003E5CAD" w:rsidRPr="00F74141">
        <w:rPr>
          <w:rFonts w:ascii="Verdana" w:hAnsi="Verdana"/>
          <w:bCs/>
          <w:szCs w:val="20"/>
        </w:rPr>
        <w:t>, a ser calculado no Dia Útil imediatamente anterior à Data do Resgate Antecipado Facultativo de acordo com a seguinte fórmula</w:t>
      </w:r>
      <w:r w:rsidR="002E0215">
        <w:rPr>
          <w:rFonts w:ascii="Verdana" w:hAnsi="Verdana"/>
          <w:bCs/>
          <w:szCs w:val="20"/>
        </w:rPr>
        <w:t xml:space="preserve"> </w:t>
      </w:r>
      <w:r w:rsidR="00126245" w:rsidRPr="00F74141">
        <w:rPr>
          <w:rFonts w:ascii="Verdana" w:hAnsi="Verdana"/>
          <w:bCs/>
          <w:szCs w:val="20"/>
        </w:rPr>
        <w:t>(“</w:t>
      </w:r>
      <w:r w:rsidR="00126245" w:rsidRPr="00F74141">
        <w:rPr>
          <w:rFonts w:ascii="Verdana" w:hAnsi="Verdana"/>
          <w:b/>
          <w:szCs w:val="20"/>
        </w:rPr>
        <w:t>Valor do Resgate Antecipado Facultativo das Debêntures da Segunda Série</w:t>
      </w:r>
      <w:r w:rsidR="00126245" w:rsidRPr="00F74141">
        <w:rPr>
          <w:rFonts w:ascii="Verdana" w:hAnsi="Verdana"/>
          <w:bCs/>
          <w:szCs w:val="20"/>
        </w:rPr>
        <w:t>”)</w:t>
      </w:r>
      <w:r w:rsidR="00EB6057" w:rsidRPr="00F74141">
        <w:rPr>
          <w:rFonts w:ascii="Verdana" w:hAnsi="Verdana"/>
          <w:bCs/>
          <w:szCs w:val="20"/>
        </w:rPr>
        <w:t>:</w:t>
      </w:r>
    </w:p>
    <w:p w:rsidR="00EB6057" w:rsidRPr="00F74141" w:rsidRDefault="00EB6057" w:rsidP="00EB6057">
      <w:pPr>
        <w:pStyle w:val="Level3"/>
        <w:numPr>
          <w:ilvl w:val="0"/>
          <w:numId w:val="0"/>
        </w:numPr>
        <w:spacing w:after="0" w:line="240" w:lineRule="auto"/>
        <w:ind w:left="720" w:firstLine="720"/>
        <w:jc w:val="center"/>
        <w:rPr>
          <w:rFonts w:ascii="Verdana" w:hAnsi="Verdana"/>
          <w:szCs w:val="20"/>
        </w:rPr>
      </w:pPr>
      <m:oMathPara>
        <m:oMath>
          <m:r>
            <w:rPr>
              <w:rFonts w:ascii="Cambria Math" w:hAnsi="Cambria Math" w:cs="Times New Roman"/>
              <w:szCs w:val="20"/>
            </w:rPr>
            <m:t xml:space="preserve"> Prêmio=Máximo </m:t>
          </m:r>
          <m:d>
            <m:dPr>
              <m:begChr m:val="{"/>
              <m:endChr m:val="}"/>
              <m:ctrlPr>
                <w:rPr>
                  <w:rFonts w:ascii="Cambria Math" w:hAnsi="Cambria Math"/>
                  <w:i/>
                  <w:szCs w:val="20"/>
                </w:rPr>
              </m:ctrlPr>
            </m:dPr>
            <m:e>
              <m:r>
                <w:rPr>
                  <w:rFonts w:ascii="Cambria Math" w:hAnsi="Cambria Math" w:cs="Times New Roman"/>
                  <w:szCs w:val="20"/>
                </w:rPr>
                <m:t>0;</m:t>
              </m:r>
              <m:d>
                <m:dPr>
                  <m:begChr m:val="["/>
                  <m:endChr m:val="]"/>
                  <m:ctrlPr>
                    <w:rPr>
                      <w:rFonts w:ascii="Cambria Math" w:hAnsi="Cambria Math"/>
                      <w:i/>
                      <w:szCs w:val="20"/>
                    </w:rPr>
                  </m:ctrlPr>
                </m:dPr>
                <m:e>
                  <m:f>
                    <m:fPr>
                      <m:ctrlPr>
                        <w:rPr>
                          <w:rFonts w:ascii="Cambria Math" w:hAnsi="Cambria Math"/>
                          <w:i/>
                          <w:szCs w:val="20"/>
                        </w:rPr>
                      </m:ctrlPr>
                    </m:fPr>
                    <m:num>
                      <m:sSup>
                        <m:sSupPr>
                          <m:ctrlPr>
                            <w:rPr>
                              <w:rFonts w:ascii="Cambria Math" w:hAnsi="Cambria Math"/>
                              <w:i/>
                              <w:szCs w:val="20"/>
                            </w:rPr>
                          </m:ctrlPr>
                        </m:sSupPr>
                        <m:e>
                          <m:r>
                            <w:rPr>
                              <w:rFonts w:ascii="Cambria Math" w:hAnsi="Cambria Math" w:cs="Times New Roman"/>
                              <w:szCs w:val="20"/>
                            </w:rPr>
                            <m:t>(1+a)</m:t>
                          </m:r>
                        </m:e>
                        <m:sup>
                          <m:f>
                            <m:fPr>
                              <m:ctrlPr>
                                <w:rPr>
                                  <w:rFonts w:ascii="Cambria Math" w:hAnsi="Cambria Math"/>
                                  <w:i/>
                                  <w:szCs w:val="20"/>
                                </w:rPr>
                              </m:ctrlPr>
                            </m:fPr>
                            <m:num>
                              <m:r>
                                <w:rPr>
                                  <w:rFonts w:ascii="Cambria Math" w:hAnsi="Cambria Math" w:cs="Times New Roman"/>
                                  <w:szCs w:val="20"/>
                                </w:rPr>
                                <m:t>DU</m:t>
                              </m:r>
                            </m:num>
                            <m:den>
                              <m:r>
                                <w:rPr>
                                  <w:rFonts w:ascii="Cambria Math" w:hAnsi="Cambria Math" w:cs="Times New Roman"/>
                                  <w:szCs w:val="20"/>
                                </w:rPr>
                                <m:t>252</m:t>
                              </m:r>
                            </m:den>
                          </m:f>
                        </m:sup>
                      </m:sSup>
                    </m:num>
                    <m:den>
                      <m:sSup>
                        <m:sSupPr>
                          <m:ctrlPr>
                            <w:rPr>
                              <w:rFonts w:ascii="Cambria Math" w:hAnsi="Cambria Math"/>
                              <w:i/>
                              <w:szCs w:val="20"/>
                            </w:rPr>
                          </m:ctrlPr>
                        </m:sSupPr>
                        <m:e>
                          <m:r>
                            <w:rPr>
                              <w:rFonts w:ascii="Cambria Math" w:hAnsi="Cambria Math" w:cs="Times New Roman"/>
                              <w:szCs w:val="20"/>
                            </w:rPr>
                            <m:t>(1+b)</m:t>
                          </m:r>
                        </m:e>
                        <m:sup>
                          <m:f>
                            <m:fPr>
                              <m:ctrlPr>
                                <w:rPr>
                                  <w:rFonts w:ascii="Cambria Math" w:hAnsi="Cambria Math"/>
                                  <w:i/>
                                  <w:szCs w:val="20"/>
                                </w:rPr>
                              </m:ctrlPr>
                            </m:fPr>
                            <m:num>
                              <m:r>
                                <w:rPr>
                                  <w:rFonts w:ascii="Cambria Math" w:hAnsi="Cambria Math" w:cs="Times New Roman"/>
                                  <w:szCs w:val="20"/>
                                </w:rPr>
                                <m:t>DU</m:t>
                              </m:r>
                            </m:num>
                            <m:den>
                              <m:r>
                                <w:rPr>
                                  <w:rFonts w:ascii="Cambria Math" w:hAnsi="Cambria Math" w:cs="Times New Roman"/>
                                  <w:szCs w:val="20"/>
                                </w:rPr>
                                <m:t>252</m:t>
                              </m:r>
                            </m:den>
                          </m:f>
                        </m:sup>
                      </m:sSup>
                    </m:den>
                  </m:f>
                  <m:r>
                    <w:rPr>
                      <w:rFonts w:ascii="Cambria Math" w:hAnsi="Cambria Math" w:cs="Times New Roman"/>
                      <w:szCs w:val="20"/>
                    </w:rPr>
                    <m:t>-1</m:t>
                  </m:r>
                </m:e>
              </m:d>
              <m:r>
                <w:rPr>
                  <w:rFonts w:ascii="Cambria Math" w:hAnsi="Cambria Math" w:cs="Times New Roman"/>
                  <w:szCs w:val="20"/>
                </w:rPr>
                <m:t>×SDA</m:t>
              </m:r>
            </m:e>
          </m:d>
        </m:oMath>
      </m:oMathPara>
    </w:p>
    <w:p w:rsidR="009028FA" w:rsidRPr="00F74141" w:rsidRDefault="009028FA" w:rsidP="009028FA">
      <w:pPr>
        <w:pStyle w:val="Level3"/>
        <w:numPr>
          <w:ilvl w:val="0"/>
          <w:numId w:val="0"/>
        </w:numPr>
        <w:spacing w:before="240" w:after="240" w:line="320" w:lineRule="exact"/>
        <w:ind w:left="1440"/>
        <w:rPr>
          <w:rFonts w:ascii="Verdana" w:hAnsi="Verdana"/>
          <w:szCs w:val="20"/>
        </w:rPr>
      </w:pPr>
      <w:r w:rsidRPr="00F74141">
        <w:rPr>
          <w:rFonts w:ascii="Verdana" w:hAnsi="Verdana"/>
          <w:szCs w:val="20"/>
        </w:rPr>
        <w:t>Onde:</w:t>
      </w:r>
    </w:p>
    <w:p w:rsidR="009028FA" w:rsidRPr="00F74141" w:rsidRDefault="009028FA" w:rsidP="009028FA">
      <w:pPr>
        <w:pStyle w:val="Level3"/>
        <w:numPr>
          <w:ilvl w:val="0"/>
          <w:numId w:val="0"/>
        </w:numPr>
        <w:spacing w:before="240" w:after="240" w:line="320" w:lineRule="exact"/>
        <w:ind w:left="1440"/>
        <w:rPr>
          <w:rFonts w:ascii="Verdana" w:hAnsi="Verdana"/>
          <w:szCs w:val="20"/>
        </w:rPr>
      </w:pPr>
      <w:r w:rsidRPr="00F74141">
        <w:rPr>
          <w:rFonts w:ascii="Verdana" w:hAnsi="Verdana"/>
          <w:szCs w:val="20"/>
        </w:rPr>
        <w:t xml:space="preserve">“a” = </w:t>
      </w:r>
      <w:r w:rsidR="00E4022B" w:rsidRPr="00F74141">
        <w:rPr>
          <w:rFonts w:ascii="Verdana" w:hAnsi="Verdana"/>
          <w:szCs w:val="20"/>
        </w:rPr>
        <w:t>Juros Remuneratórios da Segunda Série</w:t>
      </w:r>
      <w:r w:rsidRPr="00F74141">
        <w:rPr>
          <w:rFonts w:ascii="Verdana" w:hAnsi="Verdana"/>
          <w:szCs w:val="20"/>
        </w:rPr>
        <w:t>;</w:t>
      </w:r>
    </w:p>
    <w:p w:rsidR="00E4022B" w:rsidRPr="00F74141" w:rsidRDefault="00E4022B" w:rsidP="00E4022B">
      <w:pPr>
        <w:pStyle w:val="Level3"/>
        <w:numPr>
          <w:ilvl w:val="0"/>
          <w:numId w:val="0"/>
        </w:numPr>
        <w:spacing w:before="240" w:after="240"/>
        <w:ind w:left="1440"/>
        <w:rPr>
          <w:rFonts w:ascii="Verdana" w:hAnsi="Verdana"/>
          <w:szCs w:val="20"/>
        </w:rPr>
      </w:pPr>
      <w:r w:rsidRPr="00F74141">
        <w:rPr>
          <w:rFonts w:ascii="Verdana" w:hAnsi="Verdana"/>
          <w:szCs w:val="20"/>
        </w:rPr>
        <w:t>“</w:t>
      </w:r>
      <w:r w:rsidR="009028FA" w:rsidRPr="00F74141">
        <w:rPr>
          <w:rFonts w:ascii="Verdana" w:hAnsi="Verdana"/>
          <w:szCs w:val="20"/>
        </w:rPr>
        <w:t>b</w:t>
      </w:r>
      <w:r w:rsidRPr="00F74141">
        <w:rPr>
          <w:rFonts w:ascii="Verdana" w:hAnsi="Verdana"/>
          <w:szCs w:val="20"/>
        </w:rPr>
        <w:t xml:space="preserve">” = a taxa interna de retorno </w:t>
      </w:r>
      <w:r w:rsidR="00F17786">
        <w:rPr>
          <w:rFonts w:ascii="Verdana" w:hAnsi="Verdana"/>
          <w:szCs w:val="20"/>
        </w:rPr>
        <w:t xml:space="preserve">da </w:t>
      </w:r>
      <w:r w:rsidR="00F17786" w:rsidRPr="00F17786">
        <w:rPr>
          <w:rFonts w:ascii="Verdana" w:hAnsi="Verdana"/>
          <w:szCs w:val="20"/>
        </w:rPr>
        <w:t>Nota do Tesouro Nacional, Série B</w:t>
      </w:r>
      <w:r w:rsidR="00C62FFE">
        <w:rPr>
          <w:rFonts w:ascii="Verdana" w:hAnsi="Verdana"/>
          <w:szCs w:val="20"/>
        </w:rPr>
        <w:t>,</w:t>
      </w:r>
      <w:r w:rsidR="00F17786">
        <w:rPr>
          <w:rFonts w:ascii="Verdana" w:hAnsi="Verdana"/>
          <w:szCs w:val="20"/>
        </w:rPr>
        <w:t xml:space="preserve"> </w:t>
      </w:r>
      <w:r w:rsidRPr="00F74141">
        <w:rPr>
          <w:rFonts w:ascii="Verdana" w:hAnsi="Verdana"/>
          <w:szCs w:val="20"/>
        </w:rPr>
        <w:t xml:space="preserve">com </w:t>
      </w:r>
      <w:proofErr w:type="spellStart"/>
      <w:r w:rsidRPr="00F74141">
        <w:rPr>
          <w:rFonts w:ascii="Verdana" w:hAnsi="Verdana"/>
          <w:i/>
          <w:szCs w:val="20"/>
        </w:rPr>
        <w:t>duration</w:t>
      </w:r>
      <w:proofErr w:type="spellEnd"/>
      <w:r w:rsidRPr="00F74141">
        <w:rPr>
          <w:rFonts w:ascii="Verdana" w:hAnsi="Verdana"/>
          <w:szCs w:val="20"/>
        </w:rPr>
        <w:t xml:space="preserve"> mais próximo ao </w:t>
      </w:r>
      <w:proofErr w:type="spellStart"/>
      <w:r w:rsidRPr="00F74141">
        <w:rPr>
          <w:rFonts w:ascii="Verdana" w:hAnsi="Verdana"/>
          <w:i/>
          <w:szCs w:val="20"/>
        </w:rPr>
        <w:t>duration</w:t>
      </w:r>
      <w:proofErr w:type="spellEnd"/>
      <w:r w:rsidRPr="00F74141">
        <w:rPr>
          <w:rFonts w:ascii="Verdana" w:hAnsi="Verdana"/>
          <w:szCs w:val="20"/>
        </w:rPr>
        <w:t xml:space="preserve"> remanescente das Debêntures da Segunda Série, conforme cotação indicativa divulgada pela ANBIMA em sua página na Internet (http://www.anbima.com.br) no Dia Útil imediatamente anterior à Data do Resgate Antecipado Facultativo (“</w:t>
      </w:r>
      <w:r w:rsidRPr="00F74141">
        <w:rPr>
          <w:rFonts w:ascii="Verdana" w:hAnsi="Verdana"/>
          <w:b/>
          <w:szCs w:val="20"/>
        </w:rPr>
        <w:t xml:space="preserve">Tesouro </w:t>
      </w:r>
      <w:r w:rsidR="00C62FFE">
        <w:rPr>
          <w:rFonts w:ascii="Verdana" w:hAnsi="Verdana"/>
          <w:b/>
          <w:szCs w:val="20"/>
        </w:rPr>
        <w:t>NTN-B</w:t>
      </w:r>
      <w:r w:rsidRPr="00F74141">
        <w:rPr>
          <w:rFonts w:ascii="Verdana" w:hAnsi="Verdana"/>
          <w:b/>
          <w:szCs w:val="20"/>
        </w:rPr>
        <w:t xml:space="preserve"> Antecipação</w:t>
      </w:r>
      <w:r w:rsidRPr="00F74141">
        <w:rPr>
          <w:rFonts w:ascii="Verdana" w:hAnsi="Verdana"/>
          <w:szCs w:val="20"/>
        </w:rPr>
        <w:t>”), acrescida de prêmio de 0,55%.</w:t>
      </w:r>
      <w:r w:rsidR="00C075B5">
        <w:rPr>
          <w:rFonts w:ascii="Verdana" w:hAnsi="Verdana"/>
          <w:szCs w:val="20"/>
        </w:rPr>
        <w:t xml:space="preserve"> </w:t>
      </w:r>
      <w:r w:rsidRPr="00F74141">
        <w:rPr>
          <w:rFonts w:ascii="Verdana" w:hAnsi="Verdana"/>
          <w:szCs w:val="20"/>
        </w:rPr>
        <w:t xml:space="preserve">Mais especificamente, o argumento </w:t>
      </w:r>
      <w:r w:rsidR="00642B4F" w:rsidRPr="00F74141">
        <w:rPr>
          <w:rFonts w:ascii="Verdana" w:hAnsi="Verdana"/>
          <w:szCs w:val="20"/>
        </w:rPr>
        <w:t>“</w:t>
      </w:r>
      <w:r w:rsidRPr="00F74141">
        <w:rPr>
          <w:rFonts w:ascii="Verdana" w:hAnsi="Verdana"/>
          <w:szCs w:val="20"/>
        </w:rPr>
        <w:t>b</w:t>
      </w:r>
      <w:r w:rsidR="00642B4F" w:rsidRPr="00F74141">
        <w:rPr>
          <w:rFonts w:ascii="Verdana" w:hAnsi="Verdana"/>
          <w:szCs w:val="20"/>
        </w:rPr>
        <w:t>”</w:t>
      </w:r>
      <w:r w:rsidRPr="00F74141">
        <w:rPr>
          <w:rFonts w:ascii="Verdana" w:hAnsi="Verdana"/>
          <w:szCs w:val="20"/>
        </w:rPr>
        <w:t xml:space="preserve"> será calculado conforme fórmula abaixo:</w:t>
      </w:r>
    </w:p>
    <w:p w:rsidR="009028FA" w:rsidRPr="00F74141" w:rsidRDefault="00EE2A94" w:rsidP="00E84A46">
      <w:pPr>
        <w:pStyle w:val="Level3"/>
        <w:numPr>
          <w:ilvl w:val="0"/>
          <w:numId w:val="0"/>
        </w:numPr>
        <w:spacing w:before="240" w:after="240" w:line="320" w:lineRule="exact"/>
        <w:ind w:left="680"/>
        <w:rPr>
          <w:rFonts w:ascii="Verdana" w:hAnsi="Verdana"/>
          <w:szCs w:val="20"/>
        </w:rPr>
      </w:pPr>
      <m:oMathPara>
        <m:oMathParaPr>
          <m:jc m:val="center"/>
        </m:oMathParaPr>
        <m:oMath>
          <m:r>
            <m:rPr>
              <m:sty m:val="p"/>
            </m:rPr>
            <w:rPr>
              <w:rFonts w:ascii="Cambria Math" w:hAnsi="Cambria Math"/>
              <w:szCs w:val="20"/>
            </w:rPr>
            <m:t xml:space="preserve">b= </m:t>
          </m:r>
          <m:d>
            <m:dPr>
              <m:ctrlPr>
                <w:rPr>
                  <w:rFonts w:ascii="Cambria Math" w:hAnsi="Cambria Math"/>
                  <w:szCs w:val="20"/>
                </w:rPr>
              </m:ctrlPr>
            </m:dPr>
            <m:e>
              <m:r>
                <m:rPr>
                  <m:sty m:val="p"/>
                </m:rPr>
                <w:rPr>
                  <w:rFonts w:ascii="Cambria Math" w:hAnsi="Cambria Math"/>
                  <w:szCs w:val="20"/>
                </w:rPr>
                <m:t>1+Tesouro NTN-B Antecipação</m:t>
              </m:r>
            </m:e>
          </m:d>
          <m:r>
            <m:rPr>
              <m:sty m:val="p"/>
            </m:rPr>
            <w:rPr>
              <w:rFonts w:ascii="Cambria Math" w:hAnsi="Cambria Math"/>
              <w:szCs w:val="20"/>
            </w:rPr>
            <m:t>×</m:t>
          </m:r>
          <m:d>
            <m:dPr>
              <m:ctrlPr>
                <w:rPr>
                  <w:rFonts w:ascii="Cambria Math" w:hAnsi="Cambria Math"/>
                  <w:szCs w:val="20"/>
                </w:rPr>
              </m:ctrlPr>
            </m:dPr>
            <m:e>
              <m:r>
                <m:rPr>
                  <m:sty m:val="p"/>
                </m:rPr>
                <w:rPr>
                  <w:rFonts w:ascii="Cambria Math" w:hAnsi="Cambria Math"/>
                  <w:szCs w:val="20"/>
                </w:rPr>
                <m:t>1+0,55%</m:t>
              </m:r>
            </m:e>
          </m:d>
          <m:r>
            <m:rPr>
              <m:sty m:val="p"/>
            </m:rPr>
            <w:rPr>
              <w:rFonts w:ascii="Cambria Math" w:hAnsi="Cambria Math"/>
              <w:szCs w:val="20"/>
            </w:rPr>
            <m:t>-1</m:t>
          </m:r>
        </m:oMath>
      </m:oMathPara>
    </w:p>
    <w:p w:rsidR="009028FA" w:rsidRPr="00F74141" w:rsidRDefault="00E877CC" w:rsidP="00EF1759">
      <w:pPr>
        <w:pStyle w:val="Level3"/>
        <w:numPr>
          <w:ilvl w:val="0"/>
          <w:numId w:val="0"/>
        </w:numPr>
        <w:spacing w:before="240" w:after="240"/>
        <w:ind w:left="1440"/>
        <w:rPr>
          <w:rFonts w:ascii="Verdana" w:hAnsi="Verdana"/>
          <w:bCs/>
          <w:szCs w:val="20"/>
        </w:rPr>
      </w:pPr>
      <w:r w:rsidRPr="00F74141">
        <w:rPr>
          <w:rFonts w:ascii="Verdana" w:hAnsi="Verdana"/>
          <w:bCs/>
          <w:szCs w:val="20"/>
        </w:rPr>
        <w:t>“</w:t>
      </w:r>
      <w:r w:rsidR="000A2C19" w:rsidRPr="00F74141">
        <w:rPr>
          <w:rFonts w:ascii="Verdana" w:hAnsi="Verdana"/>
          <w:bCs/>
          <w:szCs w:val="20"/>
        </w:rPr>
        <w:t>DU</w:t>
      </w:r>
      <w:r w:rsidRPr="00F74141">
        <w:rPr>
          <w:rFonts w:ascii="Verdana" w:hAnsi="Verdana"/>
          <w:bCs/>
          <w:szCs w:val="20"/>
        </w:rPr>
        <w:t xml:space="preserve">” = </w:t>
      </w:r>
      <w:proofErr w:type="spellStart"/>
      <w:r w:rsidR="00A64F54" w:rsidRPr="00F74141">
        <w:rPr>
          <w:rFonts w:ascii="Verdana" w:hAnsi="Verdana"/>
          <w:bCs/>
          <w:i/>
          <w:szCs w:val="20"/>
        </w:rPr>
        <w:t>d</w:t>
      </w:r>
      <w:r w:rsidR="009028FA" w:rsidRPr="00F74141">
        <w:rPr>
          <w:rFonts w:ascii="Verdana" w:hAnsi="Verdana"/>
          <w:bCs/>
          <w:i/>
          <w:szCs w:val="20"/>
        </w:rPr>
        <w:t>uration</w:t>
      </w:r>
      <w:proofErr w:type="spellEnd"/>
      <w:r w:rsidR="009028FA" w:rsidRPr="00F74141">
        <w:rPr>
          <w:rFonts w:ascii="Verdana" w:hAnsi="Verdana"/>
          <w:bCs/>
          <w:szCs w:val="20"/>
        </w:rPr>
        <w:t xml:space="preserve"> remanescente, em Dias Úteis, das Debêntures da Segunda Série</w:t>
      </w:r>
      <w:r w:rsidR="00815E63">
        <w:rPr>
          <w:rFonts w:ascii="Verdana" w:hAnsi="Verdana"/>
          <w:bCs/>
          <w:szCs w:val="20"/>
        </w:rPr>
        <w:t>, a ser</w:t>
      </w:r>
      <w:r w:rsidR="00815E63" w:rsidRPr="00815E63">
        <w:rPr>
          <w:rFonts w:ascii="Verdana" w:hAnsi="Verdana"/>
          <w:szCs w:val="20"/>
        </w:rPr>
        <w:t xml:space="preserve"> </w:t>
      </w:r>
      <w:r w:rsidR="00815E63" w:rsidRPr="00F74141">
        <w:rPr>
          <w:rFonts w:ascii="Verdana" w:hAnsi="Verdana"/>
          <w:szCs w:val="20"/>
        </w:rPr>
        <w:t>definid</w:t>
      </w:r>
      <w:r w:rsidR="00815E63">
        <w:rPr>
          <w:rFonts w:ascii="Verdana" w:hAnsi="Verdana"/>
          <w:szCs w:val="20"/>
        </w:rPr>
        <w:t>o</w:t>
      </w:r>
      <w:r w:rsidR="00815E63" w:rsidRPr="00F74141">
        <w:rPr>
          <w:rFonts w:ascii="Verdana" w:hAnsi="Verdana"/>
          <w:szCs w:val="20"/>
        </w:rPr>
        <w:t xml:space="preserve"> no Dia Útil imediatamente anterior à </w:t>
      </w:r>
      <w:r w:rsidR="008A6CED">
        <w:rPr>
          <w:rFonts w:ascii="Verdana" w:hAnsi="Verdana"/>
          <w:szCs w:val="20"/>
        </w:rPr>
        <w:t>D</w:t>
      </w:r>
      <w:r w:rsidR="00815E63" w:rsidRPr="00F74141">
        <w:rPr>
          <w:rFonts w:ascii="Verdana" w:hAnsi="Verdana"/>
          <w:szCs w:val="20"/>
        </w:rPr>
        <w:t xml:space="preserve">ata </w:t>
      </w:r>
      <w:r w:rsidR="008A6CED">
        <w:rPr>
          <w:rFonts w:ascii="Verdana" w:hAnsi="Verdana"/>
          <w:szCs w:val="20"/>
        </w:rPr>
        <w:t xml:space="preserve">do </w:t>
      </w:r>
      <w:r w:rsidR="00815E63" w:rsidRPr="00F74141">
        <w:rPr>
          <w:rFonts w:ascii="Verdana" w:hAnsi="Verdana"/>
          <w:bCs/>
          <w:szCs w:val="20"/>
        </w:rPr>
        <w:t>Resgate Antecipado Facultativo</w:t>
      </w:r>
      <w:r w:rsidR="00DA5607" w:rsidRPr="00F74141">
        <w:rPr>
          <w:rFonts w:ascii="Verdana" w:hAnsi="Verdana"/>
          <w:bCs/>
          <w:szCs w:val="20"/>
        </w:rPr>
        <w:t>; e</w:t>
      </w:r>
    </w:p>
    <w:p w:rsidR="009028FA" w:rsidRPr="00F74141" w:rsidRDefault="00E877CC" w:rsidP="00EF1759">
      <w:pPr>
        <w:pStyle w:val="Level3"/>
        <w:numPr>
          <w:ilvl w:val="0"/>
          <w:numId w:val="0"/>
        </w:numPr>
        <w:spacing w:before="240" w:after="240"/>
        <w:ind w:left="1440"/>
        <w:rPr>
          <w:rFonts w:ascii="Verdana" w:hAnsi="Verdana"/>
          <w:szCs w:val="20"/>
        </w:rPr>
      </w:pPr>
      <w:r w:rsidRPr="00F74141">
        <w:rPr>
          <w:rFonts w:ascii="Verdana" w:hAnsi="Verdana"/>
          <w:szCs w:val="20"/>
        </w:rPr>
        <w:t>“</w:t>
      </w:r>
      <w:r w:rsidR="009028FA" w:rsidRPr="00F74141">
        <w:rPr>
          <w:rFonts w:ascii="Verdana" w:hAnsi="Verdana"/>
          <w:szCs w:val="20"/>
        </w:rPr>
        <w:t>SDA</w:t>
      </w:r>
      <w:r w:rsidRPr="00F74141">
        <w:rPr>
          <w:rFonts w:ascii="Verdana" w:hAnsi="Verdana"/>
          <w:szCs w:val="20"/>
        </w:rPr>
        <w:t xml:space="preserve">” = </w:t>
      </w:r>
      <w:r w:rsidR="00DA5607" w:rsidRPr="00F74141">
        <w:rPr>
          <w:rFonts w:ascii="Verdana" w:hAnsi="Verdana"/>
          <w:bCs/>
          <w:szCs w:val="20"/>
        </w:rPr>
        <w:t xml:space="preserve">Valor Nominal Unitário Atualizado das Debêntures da Segunda Série, acrescido dos respectivos Juros Remuneratórios, calculados </w:t>
      </w:r>
      <w:r w:rsidR="00DA5607" w:rsidRPr="00F74141">
        <w:rPr>
          <w:rFonts w:ascii="Verdana" w:hAnsi="Verdana"/>
          <w:bCs/>
          <w:i/>
          <w:szCs w:val="20"/>
        </w:rPr>
        <w:t xml:space="preserve">pro rata </w:t>
      </w:r>
      <w:proofErr w:type="spellStart"/>
      <w:r w:rsidR="00DA5607" w:rsidRPr="00F74141">
        <w:rPr>
          <w:rFonts w:ascii="Verdana" w:hAnsi="Verdana"/>
          <w:bCs/>
          <w:i/>
          <w:szCs w:val="20"/>
        </w:rPr>
        <w:t>temporis</w:t>
      </w:r>
      <w:proofErr w:type="spellEnd"/>
      <w:r w:rsidR="00DA5607" w:rsidRPr="00F74141">
        <w:rPr>
          <w:rFonts w:ascii="Verdana" w:hAnsi="Verdana"/>
          <w:bCs/>
          <w:szCs w:val="20"/>
        </w:rPr>
        <w:t xml:space="preserve"> desde a Data da Primeira Integralização</w:t>
      </w:r>
      <w:r w:rsidR="00DA5607" w:rsidRPr="00F74141">
        <w:rPr>
          <w:rFonts w:ascii="Verdana" w:hAnsi="Verdana"/>
          <w:szCs w:val="20"/>
        </w:rPr>
        <w:t xml:space="preserve"> ou a Data de Pagamento dos Juros Remuneratórios</w:t>
      </w:r>
      <w:r w:rsidR="00DA5607" w:rsidRPr="00F74141">
        <w:rPr>
          <w:rFonts w:ascii="Verdana" w:hAnsi="Verdana"/>
          <w:bCs/>
          <w:szCs w:val="20"/>
        </w:rPr>
        <w:t xml:space="preserve"> </w:t>
      </w:r>
      <w:r w:rsidR="00DA5607" w:rsidRPr="00F74141">
        <w:rPr>
          <w:rFonts w:ascii="Verdana" w:hAnsi="Verdana"/>
          <w:szCs w:val="20"/>
        </w:rPr>
        <w:t>imediatamente anterior, conforme o caso,</w:t>
      </w:r>
      <w:r w:rsidR="00DA5607" w:rsidRPr="00F74141">
        <w:rPr>
          <w:rFonts w:ascii="Verdana" w:hAnsi="Verdana"/>
          <w:bCs/>
          <w:szCs w:val="20"/>
        </w:rPr>
        <w:t xml:space="preserve"> até a Data do Resgate Antecipado Facultativo</w:t>
      </w:r>
      <w:r w:rsidR="009028FA" w:rsidRPr="00F74141">
        <w:rPr>
          <w:rFonts w:ascii="Verdana" w:hAnsi="Verdana"/>
          <w:szCs w:val="20"/>
        </w:rPr>
        <w:t>.</w:t>
      </w:r>
    </w:p>
    <w:p w:rsidR="00204B37" w:rsidRPr="00F74141" w:rsidRDefault="00706572">
      <w:pPr>
        <w:pStyle w:val="Level3"/>
        <w:numPr>
          <w:ilvl w:val="2"/>
          <w:numId w:val="9"/>
        </w:numPr>
        <w:spacing w:before="240" w:after="240" w:line="320" w:lineRule="exact"/>
        <w:rPr>
          <w:rFonts w:ascii="Verdana" w:hAnsi="Verdana"/>
          <w:bCs/>
          <w:szCs w:val="20"/>
        </w:rPr>
      </w:pPr>
      <w:r w:rsidRPr="00F74141">
        <w:rPr>
          <w:rFonts w:ascii="Verdana" w:hAnsi="Verdana"/>
          <w:bCs/>
          <w:szCs w:val="20"/>
        </w:rPr>
        <w:t>Na Comunicação de Resgate Antecipado Facultativo deverá constar: (a) a Data do Resgate Antecipado Facultativo; (b) a estimativa do Valor do Resgate Antecipado Facultativo</w:t>
      </w:r>
      <w:r w:rsidR="006D39B8" w:rsidRPr="00F74141">
        <w:rPr>
          <w:rFonts w:ascii="Verdana" w:hAnsi="Verdana"/>
          <w:bCs/>
          <w:szCs w:val="20"/>
        </w:rPr>
        <w:t xml:space="preserve"> das Debêntures da Primeira Série ou do Valor do Resgate Antecipado Facultativo das Debêntures da Segunda Série, conforme o caso</w:t>
      </w:r>
      <w:r w:rsidRPr="00F74141">
        <w:rPr>
          <w:rFonts w:ascii="Verdana" w:hAnsi="Verdana"/>
          <w:bCs/>
          <w:szCs w:val="20"/>
        </w:rPr>
        <w:t>; e (c) quaisquer outras informações necessárias à operacionalização do Resgate Antecipado Facultativo, conforme o caso.</w:t>
      </w:r>
    </w:p>
    <w:p w:rsidR="00204B37" w:rsidRPr="00F74141" w:rsidRDefault="00706572">
      <w:pPr>
        <w:pStyle w:val="Level3"/>
        <w:numPr>
          <w:ilvl w:val="2"/>
          <w:numId w:val="9"/>
        </w:numPr>
        <w:spacing w:before="240" w:after="240" w:line="320" w:lineRule="exact"/>
        <w:rPr>
          <w:rFonts w:ascii="Verdana" w:hAnsi="Verdana"/>
          <w:bCs/>
          <w:szCs w:val="20"/>
        </w:rPr>
      </w:pPr>
      <w:r w:rsidRPr="00F74141">
        <w:rPr>
          <w:rFonts w:ascii="Verdana" w:hAnsi="Verdana"/>
          <w:bCs/>
          <w:szCs w:val="20"/>
        </w:rPr>
        <w:t>As Debêntures objeto do Resgate Antecipado Facultativo serão obrigatoriamente canceladas pela Emissora.</w:t>
      </w:r>
    </w:p>
    <w:p w:rsidR="00204B37" w:rsidRPr="00F74141" w:rsidRDefault="00706572">
      <w:pPr>
        <w:pStyle w:val="Level3"/>
        <w:numPr>
          <w:ilvl w:val="2"/>
          <w:numId w:val="9"/>
        </w:numPr>
        <w:spacing w:before="240" w:after="240" w:line="320" w:lineRule="exact"/>
        <w:rPr>
          <w:rFonts w:ascii="Verdana" w:hAnsi="Verdana"/>
          <w:bCs/>
          <w:szCs w:val="20"/>
        </w:rPr>
      </w:pPr>
      <w:r w:rsidRPr="00F74141">
        <w:rPr>
          <w:rFonts w:ascii="Verdana" w:hAnsi="Verdana"/>
          <w:bCs/>
          <w:szCs w:val="20"/>
        </w:rPr>
        <w:t xml:space="preserve">O Resgate Antecipado Facultativo das Debêntures custodiadas eletronicamente na </w:t>
      </w:r>
      <w:r w:rsidRPr="00F74141">
        <w:rPr>
          <w:rFonts w:ascii="Verdana" w:hAnsi="Verdana"/>
          <w:szCs w:val="20"/>
        </w:rPr>
        <w:t>B3</w:t>
      </w:r>
      <w:r w:rsidRPr="00F74141">
        <w:rPr>
          <w:rFonts w:ascii="Verdana" w:hAnsi="Verdana"/>
          <w:bCs/>
          <w:szCs w:val="20"/>
        </w:rPr>
        <w:t xml:space="preserve"> seguirá os procedimentos operacionais adotados pela </w:t>
      </w:r>
      <w:r w:rsidRPr="00F74141">
        <w:rPr>
          <w:rFonts w:ascii="Verdana" w:hAnsi="Verdana"/>
          <w:szCs w:val="20"/>
        </w:rPr>
        <w:t>B3</w:t>
      </w:r>
      <w:r w:rsidRPr="00F74141">
        <w:rPr>
          <w:rFonts w:ascii="Verdana" w:hAnsi="Verdana"/>
          <w:bCs/>
          <w:szCs w:val="20"/>
        </w:rPr>
        <w:t xml:space="preserve">, caso as Debêntures não estejam custodiadas eletronicamente na </w:t>
      </w:r>
      <w:r w:rsidRPr="00F74141">
        <w:rPr>
          <w:rFonts w:ascii="Verdana" w:hAnsi="Verdana"/>
          <w:szCs w:val="20"/>
        </w:rPr>
        <w:t>B3</w:t>
      </w:r>
      <w:r w:rsidRPr="00F74141">
        <w:rPr>
          <w:rFonts w:ascii="Verdana" w:hAnsi="Verdana"/>
          <w:bCs/>
          <w:szCs w:val="20"/>
        </w:rPr>
        <w:t xml:space="preserve">, será realizado em conformidade com os procedimentos operacionais do </w:t>
      </w:r>
      <w:proofErr w:type="spellStart"/>
      <w:r w:rsidRPr="00F74141">
        <w:rPr>
          <w:rFonts w:ascii="Verdana" w:hAnsi="Verdana"/>
          <w:bCs/>
          <w:szCs w:val="20"/>
        </w:rPr>
        <w:t>Escriturador</w:t>
      </w:r>
      <w:proofErr w:type="spellEnd"/>
      <w:r w:rsidRPr="00F74141">
        <w:rPr>
          <w:rFonts w:ascii="Verdana" w:hAnsi="Verdana"/>
          <w:bCs/>
          <w:szCs w:val="20"/>
        </w:rPr>
        <w:t>.</w:t>
      </w:r>
    </w:p>
    <w:p w:rsidR="00204B37" w:rsidRPr="00F74141" w:rsidRDefault="00706572">
      <w:pPr>
        <w:pStyle w:val="Level3"/>
        <w:numPr>
          <w:ilvl w:val="2"/>
          <w:numId w:val="9"/>
        </w:numPr>
        <w:spacing w:before="240" w:after="240" w:line="320" w:lineRule="exact"/>
        <w:ind w:left="1360" w:hanging="680"/>
        <w:rPr>
          <w:rFonts w:ascii="Verdana" w:hAnsi="Verdana"/>
          <w:bCs/>
          <w:szCs w:val="20"/>
        </w:rPr>
      </w:pPr>
      <w:r w:rsidRPr="00F74141">
        <w:rPr>
          <w:rFonts w:ascii="Verdana" w:hAnsi="Verdana"/>
          <w:bCs/>
          <w:szCs w:val="20"/>
        </w:rPr>
        <w:t xml:space="preserve">A Data do Resgate Antecipado Facultativo deverá ser, obrigatoriamente, um Dia Útil e, caso a respectiva Data do Resgate Antecipado Facultativo não seja um Dia Útil, a Data do Resgate Antecipado Facultativo será transferida para o </w:t>
      </w:r>
      <w:r w:rsidRPr="00F74141">
        <w:rPr>
          <w:rFonts w:ascii="Verdana" w:hAnsi="Verdana"/>
          <w:szCs w:val="20"/>
        </w:rPr>
        <w:t>Dia Útil imediatamente seguinte.</w:t>
      </w:r>
    </w:p>
    <w:p w:rsidR="00204B37" w:rsidRPr="00F74141" w:rsidRDefault="00706572">
      <w:pPr>
        <w:pStyle w:val="Level2"/>
        <w:keepNext/>
        <w:numPr>
          <w:ilvl w:val="1"/>
          <w:numId w:val="9"/>
        </w:numPr>
        <w:spacing w:before="240" w:after="240" w:line="320" w:lineRule="exact"/>
        <w:ind w:left="1389"/>
        <w:rPr>
          <w:rFonts w:ascii="Verdana" w:hAnsi="Verdana"/>
          <w:b/>
          <w:szCs w:val="20"/>
        </w:rPr>
      </w:pPr>
      <w:r w:rsidRPr="00F74141">
        <w:rPr>
          <w:rFonts w:ascii="Verdana" w:hAnsi="Verdana"/>
          <w:b/>
          <w:szCs w:val="20"/>
        </w:rPr>
        <w:t>Amortização Extraordinária Facultativa</w:t>
      </w:r>
    </w:p>
    <w:p w:rsidR="00204B37" w:rsidRPr="00F74141" w:rsidRDefault="00706572">
      <w:pPr>
        <w:pStyle w:val="Level3"/>
        <w:numPr>
          <w:ilvl w:val="2"/>
          <w:numId w:val="9"/>
        </w:numPr>
        <w:spacing w:before="240" w:after="240" w:line="320" w:lineRule="exact"/>
        <w:ind w:left="1418" w:hanging="709"/>
        <w:rPr>
          <w:rFonts w:ascii="Verdana" w:hAnsi="Verdana"/>
          <w:szCs w:val="20"/>
        </w:rPr>
      </w:pPr>
      <w:r w:rsidRPr="00F74141">
        <w:rPr>
          <w:rFonts w:ascii="Verdana" w:hAnsi="Verdana"/>
          <w:szCs w:val="20"/>
        </w:rPr>
        <w:t xml:space="preserve">Observados os termos e condições abaixo estabelecidos, a Emissora poderá, a seu exclusivo critério e independentemente dos interesses dos Debenturistas, a partir de 15 de outubro de 2022 e desde que esteja em conformidade com as obrigações decorrentes desta Escritura de Emissão e dos Contratos de Garantias, conforme aplicável, amortizar antecipadamente não mais de 95% (noventa e cinco por cento) do </w:t>
      </w:r>
      <w:r w:rsidRPr="00F74141">
        <w:rPr>
          <w:rFonts w:ascii="Verdana" w:hAnsi="Verdana"/>
          <w:bCs/>
          <w:szCs w:val="20"/>
        </w:rPr>
        <w:t>saldo do Valor Nominal Unitário das Debêntures da Primeira Série e do Valor Nominal Unitário Atualizado das Debêntures da Segunda Série</w:t>
      </w:r>
      <w:r w:rsidRPr="00F74141">
        <w:rPr>
          <w:rFonts w:ascii="Verdana" w:hAnsi="Verdana"/>
          <w:szCs w:val="20"/>
        </w:rPr>
        <w:t>, conforme aplicável (“</w:t>
      </w:r>
      <w:r w:rsidRPr="00F74141">
        <w:rPr>
          <w:rFonts w:ascii="Verdana" w:hAnsi="Verdana"/>
          <w:b/>
          <w:szCs w:val="20"/>
        </w:rPr>
        <w:t>Percentual de Amortização Antecipada</w:t>
      </w:r>
      <w:r w:rsidRPr="00F74141">
        <w:rPr>
          <w:rFonts w:ascii="Verdana" w:hAnsi="Verdana"/>
          <w:szCs w:val="20"/>
        </w:rPr>
        <w:t>”), por ocasião de cada evento de amortização antecipada (“</w:t>
      </w:r>
      <w:r w:rsidRPr="00F74141">
        <w:rPr>
          <w:rFonts w:ascii="Verdana" w:hAnsi="Verdana"/>
          <w:b/>
          <w:szCs w:val="20"/>
        </w:rPr>
        <w:t>Amortização Antecipada Facultativa</w:t>
      </w:r>
      <w:r w:rsidRPr="00F74141">
        <w:rPr>
          <w:rFonts w:ascii="Verdana" w:hAnsi="Verdana"/>
          <w:szCs w:val="20"/>
        </w:rPr>
        <w:t>”).</w:t>
      </w:r>
    </w:p>
    <w:p w:rsidR="00204B37" w:rsidRPr="00F74141" w:rsidRDefault="00706572">
      <w:pPr>
        <w:pStyle w:val="Level3"/>
        <w:numPr>
          <w:ilvl w:val="2"/>
          <w:numId w:val="9"/>
        </w:numPr>
        <w:spacing w:before="240" w:after="240" w:line="320" w:lineRule="exact"/>
        <w:ind w:left="1418" w:hanging="709"/>
        <w:rPr>
          <w:rFonts w:ascii="Verdana" w:eastAsia="Verdana" w:hAnsi="Verdana" w:cs="Verdana"/>
          <w:szCs w:val="20"/>
        </w:rPr>
      </w:pPr>
      <w:r w:rsidRPr="00F74141">
        <w:rPr>
          <w:rFonts w:ascii="Verdana" w:eastAsia="Verdana" w:hAnsi="Verdana" w:cs="Verdana"/>
          <w:szCs w:val="20"/>
        </w:rPr>
        <w:t>A Amortização Antecipada Facultativa somente poderá ocorrer após a publicação de um comunicado, endereçado aos Debenturistas e amplamente divulgado, de acordo com o disposto na Cláusula 4.18 desta Escritura de Emissão (“</w:t>
      </w:r>
      <w:r w:rsidRPr="00F74141">
        <w:rPr>
          <w:rFonts w:ascii="Verdana" w:eastAsia="Verdana" w:hAnsi="Verdana" w:cs="Verdana"/>
          <w:b/>
          <w:szCs w:val="20"/>
        </w:rPr>
        <w:t>Aviso de Amortização Antecipada Facultativa</w:t>
      </w:r>
      <w:r w:rsidRPr="00F74141">
        <w:rPr>
          <w:rFonts w:ascii="Verdana" w:eastAsia="Verdana" w:hAnsi="Verdana" w:cs="Verdana"/>
          <w:szCs w:val="20"/>
        </w:rPr>
        <w:t>”), em até 10 (dez) Dias Úteis antes da data estabelecida para a implementação efetiva da Amortização Antecipada Facultativa (“</w:t>
      </w:r>
      <w:r w:rsidRPr="00F74141">
        <w:rPr>
          <w:rFonts w:ascii="Verdana" w:eastAsia="Verdana" w:hAnsi="Verdana" w:cs="Verdana"/>
          <w:b/>
          <w:szCs w:val="20"/>
        </w:rPr>
        <w:t>Data de Amortização Antecipada Facultativa</w:t>
      </w:r>
      <w:r w:rsidRPr="00F74141">
        <w:rPr>
          <w:rFonts w:ascii="Verdana" w:eastAsia="Verdana" w:hAnsi="Verdana" w:cs="Verdana"/>
          <w:szCs w:val="20"/>
        </w:rPr>
        <w:t>”), com o envio de cópia de tal aviso ao Agente Fiduciário. A</w:t>
      </w:r>
      <w:r w:rsidRPr="00F74141">
        <w:rPr>
          <w:rFonts w:ascii="Verdana" w:hAnsi="Verdana"/>
          <w:szCs w:val="20"/>
        </w:rPr>
        <w:t xml:space="preserve"> </w:t>
      </w:r>
      <w:r w:rsidRPr="00F74141">
        <w:rPr>
          <w:rFonts w:ascii="Verdana" w:eastAsia="Verdana" w:hAnsi="Verdana" w:cs="Verdana"/>
          <w:szCs w:val="20"/>
        </w:rPr>
        <w:t>Data de</w:t>
      </w:r>
      <w:r w:rsidRPr="00F74141">
        <w:rPr>
          <w:rFonts w:ascii="Verdana" w:hAnsi="Verdana"/>
          <w:szCs w:val="20"/>
        </w:rPr>
        <w:t xml:space="preserve"> Amortização Antecipada Facultativa poderá ser qualquer Dia Útil entre a Data de Emissão (exclusive) e a Data de Vencimento (exclusive)</w:t>
      </w:r>
      <w:r w:rsidRPr="00F74141">
        <w:rPr>
          <w:rFonts w:ascii="Verdana" w:eastAsia="Verdana" w:hAnsi="Verdana" w:cs="Verdana"/>
          <w:szCs w:val="20"/>
        </w:rPr>
        <w:t>.</w:t>
      </w:r>
    </w:p>
    <w:p w:rsidR="00204B37" w:rsidRPr="00F74141" w:rsidRDefault="00706572">
      <w:pPr>
        <w:pStyle w:val="Level3"/>
        <w:numPr>
          <w:ilvl w:val="2"/>
          <w:numId w:val="9"/>
        </w:numPr>
        <w:spacing w:before="240" w:after="240" w:line="320" w:lineRule="exact"/>
        <w:ind w:left="1418" w:hanging="709"/>
        <w:rPr>
          <w:rFonts w:ascii="Verdana" w:eastAsia="Verdana" w:hAnsi="Verdana" w:cs="Verdana"/>
          <w:szCs w:val="20"/>
        </w:rPr>
      </w:pPr>
      <w:r w:rsidRPr="00F74141">
        <w:rPr>
          <w:rFonts w:ascii="Verdana" w:eastAsia="Verdana" w:hAnsi="Verdana" w:cs="Verdana"/>
          <w:szCs w:val="20"/>
        </w:rPr>
        <w:t>No momento de uma Amortização Antecipada Facultativa, os Debenturistas farão jus ao pagamento (i) do Percentual de Amortização Antecipada, acrescido (</w:t>
      </w:r>
      <w:proofErr w:type="spellStart"/>
      <w:r w:rsidRPr="00F74141">
        <w:rPr>
          <w:rFonts w:ascii="Verdana" w:eastAsia="Verdana" w:hAnsi="Verdana" w:cs="Verdana"/>
          <w:szCs w:val="20"/>
        </w:rPr>
        <w:t>ii</w:t>
      </w:r>
      <w:proofErr w:type="spellEnd"/>
      <w:r w:rsidRPr="00F74141">
        <w:rPr>
          <w:rFonts w:ascii="Verdana" w:eastAsia="Verdana" w:hAnsi="Verdana" w:cs="Verdana"/>
          <w:szCs w:val="20"/>
        </w:rPr>
        <w:t xml:space="preserve">) dos respectivos Juros Remuneratórios, calculados </w:t>
      </w:r>
      <w:r w:rsidRPr="00F74141">
        <w:rPr>
          <w:rFonts w:ascii="Verdana" w:eastAsia="Verdana" w:hAnsi="Verdana" w:cs="Verdana"/>
          <w:i/>
          <w:szCs w:val="20"/>
        </w:rPr>
        <w:t xml:space="preserve">pro rata </w:t>
      </w:r>
      <w:proofErr w:type="spellStart"/>
      <w:r w:rsidRPr="00F74141">
        <w:rPr>
          <w:rFonts w:ascii="Verdana" w:eastAsia="Verdana" w:hAnsi="Verdana" w:cs="Verdana"/>
          <w:i/>
          <w:szCs w:val="20"/>
        </w:rPr>
        <w:t>temporis</w:t>
      </w:r>
      <w:proofErr w:type="spellEnd"/>
      <w:r w:rsidRPr="00F74141">
        <w:rPr>
          <w:rFonts w:ascii="Verdana" w:eastAsia="Verdana" w:hAnsi="Verdana" w:cs="Verdana"/>
          <w:szCs w:val="20"/>
        </w:rPr>
        <w:t xml:space="preserve"> sobre o Percentual de Amortização Antecipada, desde a Data da Primeira Integralização ou a Data de Pagamento dos Juros Remuneratórios imediatamente anterior, conforme o caso, até a Data de Amortização Antecipada Facultativa, observado que os Juros Remuneratórios </w:t>
      </w:r>
      <w:r w:rsidRPr="00F74141">
        <w:rPr>
          <w:rFonts w:ascii="Verdana" w:hAnsi="Verdana"/>
          <w:iCs/>
          <w:szCs w:val="20"/>
        </w:rPr>
        <w:t>relativos ao montante</w:t>
      </w:r>
      <w:r w:rsidRPr="00F74141">
        <w:rPr>
          <w:rFonts w:ascii="Verdana" w:eastAsia="Verdana" w:hAnsi="Verdana" w:cs="Verdana"/>
          <w:szCs w:val="20"/>
        </w:rPr>
        <w:t xml:space="preserve"> não amortizado do </w:t>
      </w:r>
      <w:r w:rsidRPr="00F74141">
        <w:rPr>
          <w:rFonts w:ascii="Verdana" w:hAnsi="Verdana"/>
          <w:bCs/>
          <w:szCs w:val="20"/>
        </w:rPr>
        <w:t>saldo do Valor Nominal Unitário das Debêntures da Primeira Série e do Valor Nominal Unitário Atualizado das Debêntures da Segunda Série</w:t>
      </w:r>
      <w:r w:rsidRPr="00F74141">
        <w:rPr>
          <w:rFonts w:ascii="Verdana" w:eastAsia="Verdana" w:hAnsi="Verdana" w:cs="Verdana"/>
          <w:szCs w:val="20"/>
        </w:rPr>
        <w:t>, conforme o caso,  continuarão a ser capitalizados e serão pagos na Data de Pagamento dos Juros Remuneratórios subsequente, e (</w:t>
      </w:r>
      <w:proofErr w:type="spellStart"/>
      <w:r w:rsidRPr="00F74141">
        <w:rPr>
          <w:rFonts w:ascii="Verdana" w:eastAsia="Verdana" w:hAnsi="Verdana" w:cs="Verdana"/>
          <w:szCs w:val="20"/>
        </w:rPr>
        <w:t>iii</w:t>
      </w:r>
      <w:proofErr w:type="spellEnd"/>
      <w:r w:rsidRPr="00F74141">
        <w:rPr>
          <w:rFonts w:ascii="Verdana" w:eastAsia="Verdana" w:hAnsi="Verdana" w:cs="Verdana"/>
          <w:szCs w:val="20"/>
        </w:rPr>
        <w:t xml:space="preserve">) de </w:t>
      </w:r>
      <w:r w:rsidRPr="00F74141">
        <w:rPr>
          <w:rFonts w:ascii="Verdana" w:hAnsi="Verdana"/>
          <w:bCs/>
          <w:szCs w:val="20"/>
        </w:rPr>
        <w:t xml:space="preserve">prêmio de 0,30% (trinta centésimos por cento) ao ano, </w:t>
      </w:r>
      <w:r w:rsidRPr="00F74141">
        <w:rPr>
          <w:rFonts w:ascii="Verdana" w:hAnsi="Verdana"/>
          <w:bCs/>
          <w:i/>
          <w:szCs w:val="20"/>
        </w:rPr>
        <w:t xml:space="preserve">pro rata </w:t>
      </w:r>
      <w:proofErr w:type="spellStart"/>
      <w:r w:rsidRPr="00F74141">
        <w:rPr>
          <w:rFonts w:ascii="Verdana" w:hAnsi="Verdana"/>
          <w:bCs/>
          <w:i/>
          <w:szCs w:val="20"/>
        </w:rPr>
        <w:t>temporis</w:t>
      </w:r>
      <w:proofErr w:type="spellEnd"/>
      <w:r w:rsidRPr="00F74141">
        <w:rPr>
          <w:rFonts w:ascii="Verdana" w:hAnsi="Verdana"/>
          <w:bCs/>
          <w:szCs w:val="20"/>
        </w:rPr>
        <w:t xml:space="preserve">, base 252 (duzentos e cinquenta e dois) Dias Úteis, considerando a quantidade de Dias Úteis a transcorrer entre a </w:t>
      </w:r>
      <w:r w:rsidRPr="00F74141">
        <w:rPr>
          <w:rFonts w:ascii="Verdana" w:eastAsia="Verdana" w:hAnsi="Verdana" w:cs="Verdana"/>
          <w:szCs w:val="20"/>
        </w:rPr>
        <w:t>Data de Amortização Antecipada Facultativa</w:t>
      </w:r>
      <w:r w:rsidRPr="00F74141">
        <w:rPr>
          <w:rFonts w:ascii="Verdana" w:hAnsi="Verdana"/>
          <w:bCs/>
          <w:szCs w:val="20"/>
        </w:rPr>
        <w:t xml:space="preserve"> e a Data de Vencimento, incidente sobre o </w:t>
      </w:r>
      <w:r w:rsidRPr="00F74141">
        <w:rPr>
          <w:rFonts w:ascii="Verdana" w:eastAsia="Verdana" w:hAnsi="Verdana" w:cs="Verdana"/>
          <w:szCs w:val="20"/>
        </w:rPr>
        <w:t>Percentual de Amortização Antecipada</w:t>
      </w:r>
      <w:r w:rsidRPr="00F74141">
        <w:rPr>
          <w:rFonts w:ascii="Verdana" w:hAnsi="Verdana"/>
          <w:bCs/>
          <w:szCs w:val="20"/>
        </w:rPr>
        <w:t xml:space="preserve">, conforme o caso </w:t>
      </w:r>
      <w:r w:rsidRPr="00F74141">
        <w:rPr>
          <w:rFonts w:ascii="Verdana" w:eastAsia="Verdana" w:hAnsi="Verdana" w:cs="Verdana"/>
          <w:szCs w:val="20"/>
        </w:rPr>
        <w:t>(“</w:t>
      </w:r>
      <w:r w:rsidRPr="00F74141">
        <w:rPr>
          <w:rFonts w:ascii="Verdana" w:eastAsia="Verdana" w:hAnsi="Verdana" w:cs="Verdana"/>
          <w:b/>
          <w:szCs w:val="20"/>
        </w:rPr>
        <w:t>Prêmio de Amortização</w:t>
      </w:r>
      <w:r w:rsidRPr="00F74141">
        <w:rPr>
          <w:rFonts w:ascii="Verdana" w:eastAsia="Verdana" w:hAnsi="Verdana" w:cs="Verdana"/>
          <w:szCs w:val="20"/>
        </w:rPr>
        <w:t>”) (todos os pagamentos devidos aos Debenturistas, conforme descritos nos itens (i) a (</w:t>
      </w:r>
      <w:proofErr w:type="spellStart"/>
      <w:r w:rsidRPr="00F74141">
        <w:rPr>
          <w:rFonts w:ascii="Verdana" w:eastAsia="Verdana" w:hAnsi="Verdana" w:cs="Verdana"/>
          <w:szCs w:val="20"/>
        </w:rPr>
        <w:t>iii</w:t>
      </w:r>
      <w:proofErr w:type="spellEnd"/>
      <w:r w:rsidRPr="00F74141">
        <w:rPr>
          <w:rFonts w:ascii="Verdana" w:eastAsia="Verdana" w:hAnsi="Verdana" w:cs="Verdana"/>
          <w:szCs w:val="20"/>
        </w:rPr>
        <w:t>) acima, serão denominados como “</w:t>
      </w:r>
      <w:r w:rsidRPr="00F74141">
        <w:rPr>
          <w:rFonts w:ascii="Verdana" w:eastAsia="Verdana" w:hAnsi="Verdana" w:cs="Verdana"/>
          <w:b/>
          <w:szCs w:val="20"/>
        </w:rPr>
        <w:t>Valor da Amortização Antecipada Facultativa</w:t>
      </w:r>
      <w:r w:rsidRPr="00F74141">
        <w:rPr>
          <w:rFonts w:ascii="Verdana" w:eastAsia="Verdana" w:hAnsi="Verdana" w:cs="Verdana"/>
          <w:szCs w:val="20"/>
        </w:rPr>
        <w:t>”), conforme fórmula abaixo:</w:t>
      </w:r>
    </w:p>
    <w:p w:rsidR="00204B37" w:rsidRPr="00F74141" w:rsidRDefault="007E3396">
      <w:pPr>
        <w:pStyle w:val="Level3"/>
        <w:numPr>
          <w:ilvl w:val="0"/>
          <w:numId w:val="0"/>
        </w:numPr>
        <w:spacing w:before="240" w:after="240" w:line="320" w:lineRule="exact"/>
        <w:rPr>
          <w:rFonts w:ascii="Verdana" w:eastAsia="Verdana" w:hAnsi="Verdana" w:cs="Verdana"/>
          <w:szCs w:val="20"/>
        </w:rPr>
      </w:pPr>
      <m:oMathPara>
        <m:oMath>
          <m:sSup>
            <m:sSupPr>
              <m:ctrlPr>
                <w:rPr>
                  <w:rFonts w:ascii="Cambria Math" w:eastAsia="Verdana" w:hAnsi="Cambria Math" w:cs="Verdana"/>
                  <w:szCs w:val="20"/>
                </w:rPr>
              </m:ctrlPr>
            </m:sSupPr>
            <m:e>
              <m:r>
                <w:rPr>
                  <w:rFonts w:ascii="Cambria Math" w:eastAsia="Verdana" w:hAnsi="Cambria Math" w:cs="Verdana"/>
                  <w:szCs w:val="20"/>
                </w:rPr>
                <m:t>VA=[</m:t>
              </m:r>
              <m:d>
                <m:dPr>
                  <m:ctrlPr>
                    <w:rPr>
                      <w:rFonts w:ascii="Cambria Math" w:eastAsia="Verdana" w:hAnsi="Cambria Math" w:cs="Verdana"/>
                      <w:i/>
                      <w:szCs w:val="20"/>
                    </w:rPr>
                  </m:ctrlPr>
                </m:dPr>
                <m:e>
                  <m:r>
                    <w:rPr>
                      <w:rFonts w:ascii="Cambria Math" w:eastAsia="Verdana" w:hAnsi="Cambria Math" w:cs="Verdana"/>
                      <w:szCs w:val="20"/>
                    </w:rPr>
                    <m:t>1+0,30%</m:t>
                  </m:r>
                </m:e>
              </m:d>
            </m:e>
            <m:sup>
              <m:r>
                <w:rPr>
                  <w:rFonts w:ascii="Cambria Math" w:eastAsia="Verdana" w:hAnsi="Cambria Math" w:cs="Verdana"/>
                  <w:szCs w:val="20"/>
                </w:rPr>
                <m:t>DU/252</m:t>
              </m:r>
            </m:sup>
          </m:sSup>
          <m:r>
            <w:rPr>
              <w:rFonts w:ascii="Cambria Math" w:eastAsia="Cambria Math" w:hAnsi="Cambria Math" w:cs="Cambria Math"/>
              <w:szCs w:val="20"/>
            </w:rPr>
            <m:t>-1] x PAA</m:t>
          </m:r>
        </m:oMath>
      </m:oMathPara>
    </w:p>
    <w:p w:rsidR="00204B37" w:rsidRPr="00F74141" w:rsidRDefault="00706572">
      <w:pPr>
        <w:pStyle w:val="Level3"/>
        <w:numPr>
          <w:ilvl w:val="0"/>
          <w:numId w:val="0"/>
        </w:numPr>
        <w:spacing w:before="240" w:after="240" w:line="320" w:lineRule="exact"/>
        <w:rPr>
          <w:rFonts w:ascii="Verdana" w:hAnsi="Verdana"/>
          <w:szCs w:val="20"/>
        </w:rPr>
      </w:pPr>
      <w:r w:rsidRPr="00F74141">
        <w:rPr>
          <w:rFonts w:ascii="Verdana" w:eastAsia="Verdana" w:hAnsi="Verdana" w:cs="Verdana"/>
          <w:szCs w:val="20"/>
        </w:rPr>
        <w:tab/>
      </w:r>
      <w:r w:rsidRPr="00F74141">
        <w:rPr>
          <w:rFonts w:ascii="Verdana" w:eastAsia="Verdana" w:hAnsi="Verdana" w:cs="Verdana"/>
          <w:szCs w:val="20"/>
        </w:rPr>
        <w:tab/>
      </w:r>
      <w:r w:rsidRPr="00F74141">
        <w:rPr>
          <w:rFonts w:ascii="Verdana" w:hAnsi="Verdana"/>
          <w:szCs w:val="20"/>
        </w:rPr>
        <w:t xml:space="preserve">onde: </w:t>
      </w:r>
    </w:p>
    <w:p w:rsidR="00204B37" w:rsidRPr="00F74141" w:rsidRDefault="00706572">
      <w:pPr>
        <w:pStyle w:val="Level3"/>
        <w:numPr>
          <w:ilvl w:val="0"/>
          <w:numId w:val="0"/>
        </w:numPr>
        <w:spacing w:before="240" w:after="240" w:line="320" w:lineRule="exact"/>
        <w:ind w:left="1440"/>
        <w:rPr>
          <w:rFonts w:ascii="Verdana" w:hAnsi="Verdana"/>
          <w:szCs w:val="20"/>
        </w:rPr>
      </w:pPr>
      <w:r w:rsidRPr="00F74141">
        <w:rPr>
          <w:rFonts w:ascii="Verdana" w:hAnsi="Verdana"/>
          <w:szCs w:val="20"/>
        </w:rPr>
        <w:t>“VA” = Valor da Amortização Antecipada Facultativa, calculado com 8 casas decimais, sem arredondamento;</w:t>
      </w:r>
    </w:p>
    <w:p w:rsidR="00204B37" w:rsidRPr="00F74141" w:rsidRDefault="00706572">
      <w:pPr>
        <w:pStyle w:val="Level3"/>
        <w:numPr>
          <w:ilvl w:val="0"/>
          <w:numId w:val="0"/>
        </w:numPr>
        <w:spacing w:before="240" w:after="240" w:line="320" w:lineRule="exact"/>
        <w:ind w:left="1440"/>
        <w:rPr>
          <w:rFonts w:ascii="Verdana" w:hAnsi="Verdana"/>
          <w:szCs w:val="20"/>
        </w:rPr>
      </w:pPr>
      <w:r w:rsidRPr="00F74141">
        <w:rPr>
          <w:rFonts w:ascii="Verdana" w:hAnsi="Verdana"/>
          <w:szCs w:val="20"/>
        </w:rPr>
        <w:t>“DU” = número de Dias Úteis a transcorrer entre a Data de Amortização Antecipada Facultativa e a Data de Vencimento;</w:t>
      </w:r>
    </w:p>
    <w:p w:rsidR="00204B37" w:rsidRPr="00F74141" w:rsidRDefault="00706572">
      <w:pPr>
        <w:pStyle w:val="Level3"/>
        <w:numPr>
          <w:ilvl w:val="0"/>
          <w:numId w:val="0"/>
        </w:numPr>
        <w:spacing w:before="240" w:after="240" w:line="320" w:lineRule="exact"/>
        <w:ind w:left="1418" w:firstLine="22"/>
        <w:rPr>
          <w:rFonts w:ascii="Verdana" w:hAnsi="Verdana"/>
          <w:szCs w:val="20"/>
        </w:rPr>
      </w:pPr>
      <w:r w:rsidRPr="00F74141">
        <w:rPr>
          <w:rFonts w:ascii="Verdana" w:hAnsi="Verdana"/>
          <w:szCs w:val="20"/>
        </w:rPr>
        <w:t xml:space="preserve">“PAA” = o </w:t>
      </w:r>
      <w:r w:rsidRPr="00F74141">
        <w:rPr>
          <w:rFonts w:ascii="Verdana" w:eastAsia="Verdana" w:hAnsi="Verdana" w:cs="Verdana"/>
          <w:szCs w:val="20"/>
        </w:rPr>
        <w:t>Percentual de Amortização Antecipada</w:t>
      </w:r>
      <w:r w:rsidRPr="00F74141">
        <w:rPr>
          <w:rFonts w:ascii="Verdana" w:hAnsi="Verdana"/>
          <w:szCs w:val="20"/>
        </w:rPr>
        <w:t xml:space="preserve">, acrescido dos respectivos Juros Remuneratórios, calculados </w:t>
      </w:r>
      <w:r w:rsidRPr="00F74141">
        <w:rPr>
          <w:rFonts w:ascii="Verdana" w:hAnsi="Verdana"/>
          <w:i/>
          <w:szCs w:val="20"/>
        </w:rPr>
        <w:t xml:space="preserve">pro rata </w:t>
      </w:r>
      <w:proofErr w:type="spellStart"/>
      <w:r w:rsidRPr="00F74141">
        <w:rPr>
          <w:rFonts w:ascii="Verdana" w:hAnsi="Verdana"/>
          <w:i/>
          <w:szCs w:val="20"/>
        </w:rPr>
        <w:t>temporis</w:t>
      </w:r>
      <w:proofErr w:type="spellEnd"/>
      <w:r w:rsidRPr="00F74141">
        <w:rPr>
          <w:rFonts w:ascii="Verdana" w:hAnsi="Verdana"/>
          <w:szCs w:val="20"/>
        </w:rPr>
        <w:t>, desde a Data da Primeira Integralização ou a Data de Pagamento dos Juros Remuneratórios imediatamente anterior, conforme o caso, até a Data de Amortização Antecipada Facultativa;</w:t>
      </w:r>
    </w:p>
    <w:p w:rsidR="00204B37" w:rsidRPr="00F74141" w:rsidRDefault="00706572">
      <w:pPr>
        <w:pStyle w:val="Level3"/>
        <w:numPr>
          <w:ilvl w:val="2"/>
          <w:numId w:val="9"/>
        </w:numPr>
        <w:spacing w:before="240" w:after="240" w:line="320" w:lineRule="exact"/>
        <w:rPr>
          <w:rFonts w:ascii="Verdana" w:eastAsia="Verdana" w:hAnsi="Verdana" w:cs="Verdana"/>
          <w:szCs w:val="20"/>
        </w:rPr>
      </w:pPr>
      <w:r w:rsidRPr="00F74141">
        <w:rPr>
          <w:rFonts w:ascii="Verdana" w:eastAsia="Verdana" w:hAnsi="Verdana" w:cs="Verdana"/>
          <w:szCs w:val="20"/>
        </w:rPr>
        <w:t xml:space="preserve">Em caso de ocorrência de uma Amortização Antecipada Facultativa, o </w:t>
      </w:r>
      <w:r w:rsidRPr="00F74141">
        <w:rPr>
          <w:rFonts w:ascii="Verdana" w:hAnsi="Verdana"/>
          <w:szCs w:val="20"/>
        </w:rPr>
        <w:t xml:space="preserve">Percentual de </w:t>
      </w:r>
      <w:r w:rsidRPr="00F74141">
        <w:rPr>
          <w:rFonts w:ascii="Verdana" w:eastAsia="Verdana" w:hAnsi="Verdana" w:cs="Verdana"/>
          <w:szCs w:val="20"/>
        </w:rPr>
        <w:t>Amortização</w:t>
      </w:r>
      <w:r w:rsidRPr="00F74141">
        <w:rPr>
          <w:rFonts w:ascii="Verdana" w:hAnsi="Verdana"/>
          <w:szCs w:val="20"/>
        </w:rPr>
        <w:t xml:space="preserve"> Antecipada</w:t>
      </w:r>
      <w:r w:rsidRPr="00F74141">
        <w:rPr>
          <w:rFonts w:ascii="Verdana" w:eastAsia="Verdana" w:hAnsi="Verdana" w:cs="Verdana"/>
          <w:szCs w:val="20"/>
        </w:rPr>
        <w:t xml:space="preserve"> deverá reduzir, de maneira “</w:t>
      </w:r>
      <w:r w:rsidRPr="00F74141">
        <w:rPr>
          <w:rFonts w:ascii="Verdana" w:eastAsia="Verdana" w:hAnsi="Verdana" w:cs="Verdana"/>
          <w:i/>
          <w:szCs w:val="20"/>
        </w:rPr>
        <w:t>pro rata</w:t>
      </w:r>
      <w:r w:rsidRPr="00F74141">
        <w:rPr>
          <w:rFonts w:ascii="Verdana" w:eastAsia="Verdana" w:hAnsi="Verdana" w:cs="Verdana"/>
          <w:szCs w:val="20"/>
        </w:rPr>
        <w:t xml:space="preserve">”, o montante de amortização a ser liquidado em cada uma das Datas de Amortização das Debêntures subsequentes, de forma que as porcentagens de amortização estabelecidas na Cláusula 4.22.1 acima devem ser calculadas sobre o </w:t>
      </w:r>
      <w:r w:rsidRPr="00F74141">
        <w:rPr>
          <w:rFonts w:ascii="Verdana" w:hAnsi="Verdana"/>
          <w:bCs/>
          <w:szCs w:val="20"/>
        </w:rPr>
        <w:t>saldo do Valor Nominal Unitário das Debêntures da Primeira Série e o Valor Nominal Unitário Atualizado das Debêntures da Segunda Série</w:t>
      </w:r>
      <w:r w:rsidRPr="00F74141">
        <w:rPr>
          <w:rFonts w:ascii="Verdana" w:hAnsi="Verdana"/>
          <w:szCs w:val="20"/>
        </w:rPr>
        <w:t xml:space="preserve">, conforme o caso, </w:t>
      </w:r>
      <w:r w:rsidRPr="00F74141">
        <w:rPr>
          <w:rFonts w:ascii="Verdana" w:eastAsia="Verdana" w:hAnsi="Verdana" w:cs="Verdana"/>
          <w:szCs w:val="20"/>
        </w:rPr>
        <w:t>após a Amortização Antecipada Facultativa.</w:t>
      </w:r>
    </w:p>
    <w:p w:rsidR="00204B37" w:rsidRPr="00F74141" w:rsidRDefault="00706572">
      <w:pPr>
        <w:pStyle w:val="Level3"/>
        <w:numPr>
          <w:ilvl w:val="2"/>
          <w:numId w:val="9"/>
        </w:numPr>
        <w:spacing w:before="240" w:after="240" w:line="320" w:lineRule="exact"/>
        <w:rPr>
          <w:rFonts w:ascii="Verdana" w:eastAsia="Verdana" w:hAnsi="Verdana" w:cs="Verdana"/>
          <w:szCs w:val="20"/>
        </w:rPr>
      </w:pPr>
      <w:r w:rsidRPr="00F74141">
        <w:rPr>
          <w:rFonts w:ascii="Verdana" w:eastAsia="Verdana" w:hAnsi="Verdana" w:cs="Verdana"/>
          <w:szCs w:val="20"/>
        </w:rPr>
        <w:t>O Aviso de Amortização Antecipada Facultativa deverá incluir: (i) a Data de Amortização Antecipada Facultativa; (</w:t>
      </w:r>
      <w:proofErr w:type="spellStart"/>
      <w:r w:rsidRPr="00F74141">
        <w:rPr>
          <w:rFonts w:ascii="Verdana" w:eastAsia="Verdana" w:hAnsi="Verdana" w:cs="Verdana"/>
          <w:szCs w:val="20"/>
        </w:rPr>
        <w:t>ii</w:t>
      </w:r>
      <w:proofErr w:type="spellEnd"/>
      <w:r w:rsidRPr="00F74141">
        <w:rPr>
          <w:rFonts w:ascii="Verdana" w:eastAsia="Verdana" w:hAnsi="Verdana" w:cs="Verdana"/>
          <w:szCs w:val="20"/>
        </w:rPr>
        <w:t>) o Percentual de Amortização Antecipada e o Prêmio de Amortização; (</w:t>
      </w:r>
      <w:proofErr w:type="spellStart"/>
      <w:r w:rsidRPr="00F74141">
        <w:rPr>
          <w:rFonts w:ascii="Verdana" w:eastAsia="Verdana" w:hAnsi="Verdana" w:cs="Verdana"/>
          <w:szCs w:val="20"/>
        </w:rPr>
        <w:t>iii</w:t>
      </w:r>
      <w:proofErr w:type="spellEnd"/>
      <w:r w:rsidRPr="00F74141">
        <w:rPr>
          <w:rFonts w:ascii="Verdana" w:eastAsia="Verdana" w:hAnsi="Verdana" w:cs="Verdana"/>
          <w:szCs w:val="20"/>
        </w:rPr>
        <w:t>) uma estimativa do Valor da Amortização Antecipada Facultativa; e (</w:t>
      </w:r>
      <w:proofErr w:type="spellStart"/>
      <w:r w:rsidRPr="00F74141">
        <w:rPr>
          <w:rFonts w:ascii="Verdana" w:eastAsia="Verdana" w:hAnsi="Verdana" w:cs="Verdana"/>
          <w:szCs w:val="20"/>
        </w:rPr>
        <w:t>iv</w:t>
      </w:r>
      <w:proofErr w:type="spellEnd"/>
      <w:r w:rsidRPr="00F74141">
        <w:rPr>
          <w:rFonts w:ascii="Verdana" w:eastAsia="Verdana" w:hAnsi="Verdana" w:cs="Verdana"/>
          <w:szCs w:val="20"/>
        </w:rPr>
        <w:t>) qualquer outra informação necessária para a realização da Amortização Antecipada Facultativa.</w:t>
      </w:r>
    </w:p>
    <w:p w:rsidR="00204B37" w:rsidRPr="00F74141" w:rsidRDefault="00706572">
      <w:pPr>
        <w:pStyle w:val="Level3"/>
        <w:numPr>
          <w:ilvl w:val="2"/>
          <w:numId w:val="9"/>
        </w:numPr>
        <w:spacing w:before="240" w:after="240" w:line="320" w:lineRule="exact"/>
        <w:rPr>
          <w:rFonts w:ascii="Verdana" w:eastAsia="Verdana" w:hAnsi="Verdana" w:cs="Verdana"/>
          <w:szCs w:val="20"/>
        </w:rPr>
      </w:pPr>
      <w:r w:rsidRPr="00F74141">
        <w:rPr>
          <w:rFonts w:ascii="Verdana" w:eastAsia="Verdana" w:hAnsi="Verdana" w:cs="Verdana"/>
          <w:szCs w:val="20"/>
        </w:rPr>
        <w:t>Todas as Debêntures estarão sujeitas à Amortização Antecipada Facultativa, a qual deverá ser realizada de maneira proporcional entre as Debêntures em Circulação na Data de Amortização Antecipada Facultativa.</w:t>
      </w:r>
    </w:p>
    <w:p w:rsidR="00204B37" w:rsidRPr="00F74141" w:rsidRDefault="00706572">
      <w:pPr>
        <w:pStyle w:val="Level3"/>
        <w:numPr>
          <w:ilvl w:val="2"/>
          <w:numId w:val="9"/>
        </w:numPr>
        <w:spacing w:before="240" w:after="240" w:line="320" w:lineRule="exact"/>
        <w:rPr>
          <w:rFonts w:ascii="Verdana" w:eastAsia="Verdana" w:hAnsi="Verdana" w:cs="Verdana"/>
          <w:szCs w:val="20"/>
        </w:rPr>
      </w:pPr>
      <w:r w:rsidRPr="00F74141">
        <w:rPr>
          <w:rFonts w:ascii="Verdana" w:eastAsia="Verdana" w:hAnsi="Verdana" w:cs="Verdana"/>
          <w:szCs w:val="20"/>
        </w:rPr>
        <w:t xml:space="preserve">A Amortização Antecipada Facultativa ocorrerá, conforme aplicável, de acordo com: (i) as normas e procedimentos adotados pela B3 para as Debêntures que estiverem </w:t>
      </w:r>
      <w:r w:rsidRPr="00F74141">
        <w:rPr>
          <w:rFonts w:ascii="Verdana" w:hAnsi="Verdana"/>
          <w:szCs w:val="20"/>
        </w:rPr>
        <w:t>custodiadas</w:t>
      </w:r>
      <w:r w:rsidRPr="00F74141">
        <w:rPr>
          <w:rFonts w:ascii="Verdana" w:eastAsia="Verdana" w:hAnsi="Verdana" w:cs="Verdana"/>
          <w:szCs w:val="20"/>
        </w:rPr>
        <w:t xml:space="preserve"> eletronicamente pela B3; ou (</w:t>
      </w:r>
      <w:proofErr w:type="spellStart"/>
      <w:r w:rsidRPr="00F74141">
        <w:rPr>
          <w:rFonts w:ascii="Verdana" w:eastAsia="Verdana" w:hAnsi="Verdana" w:cs="Verdana"/>
          <w:szCs w:val="20"/>
        </w:rPr>
        <w:t>ii</w:t>
      </w:r>
      <w:proofErr w:type="spellEnd"/>
      <w:r w:rsidRPr="00F74141">
        <w:rPr>
          <w:rFonts w:ascii="Verdana" w:eastAsia="Verdana" w:hAnsi="Verdana" w:cs="Verdana"/>
          <w:szCs w:val="20"/>
        </w:rPr>
        <w:t>) as normas e procedimentos adotados pelo Agente de Liquidação das Debêntures que eventualmente não estiverem custodiadas eletronicamente pela B3.</w:t>
      </w:r>
    </w:p>
    <w:p w:rsidR="00204B37" w:rsidRPr="00F74141" w:rsidRDefault="00706572">
      <w:pPr>
        <w:pStyle w:val="Level3"/>
        <w:numPr>
          <w:ilvl w:val="2"/>
          <w:numId w:val="9"/>
        </w:numPr>
        <w:spacing w:before="240" w:after="240" w:line="320" w:lineRule="exact"/>
        <w:rPr>
          <w:rFonts w:ascii="Verdana" w:eastAsia="Verdana" w:hAnsi="Verdana" w:cs="Verdana"/>
          <w:szCs w:val="20"/>
        </w:rPr>
      </w:pPr>
      <w:r w:rsidRPr="00F74141">
        <w:rPr>
          <w:rFonts w:ascii="Verdana" w:eastAsia="Verdana" w:hAnsi="Verdana" w:cs="Verdana"/>
          <w:szCs w:val="20"/>
        </w:rPr>
        <w:t xml:space="preserve">A B3 será </w:t>
      </w:r>
      <w:r w:rsidRPr="00F74141">
        <w:rPr>
          <w:rFonts w:ascii="Verdana" w:hAnsi="Verdana"/>
          <w:szCs w:val="20"/>
        </w:rPr>
        <w:t>informada</w:t>
      </w:r>
      <w:r w:rsidRPr="00F74141">
        <w:rPr>
          <w:rFonts w:ascii="Verdana" w:eastAsia="Verdana" w:hAnsi="Verdana" w:cs="Verdana"/>
          <w:szCs w:val="20"/>
        </w:rPr>
        <w:t xml:space="preserve"> pela Emissora acerca da Amortização Antecipada Facultativa em até 3 (três) Dias Úteis antes da Data de Amortização Antecipada Facultativa, por meio de carta a ser assinada em conjunto com o Agente Fiduciário.</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eastAsia="Verdana" w:hAnsi="Verdana" w:cs="Verdana"/>
          <w:szCs w:val="20"/>
        </w:rPr>
        <w:t xml:space="preserve">O cálculo final do Valor da Amortização Antecipada Facultativa será elaborado pela </w:t>
      </w:r>
      <w:r w:rsidRPr="00F74141">
        <w:rPr>
          <w:rFonts w:ascii="Verdana" w:hAnsi="Verdana"/>
          <w:szCs w:val="20"/>
        </w:rPr>
        <w:t>Emissora</w:t>
      </w:r>
      <w:r w:rsidRPr="00F74141">
        <w:rPr>
          <w:rFonts w:ascii="Verdana" w:eastAsia="Verdana" w:hAnsi="Verdana" w:cs="Verdana"/>
          <w:szCs w:val="20"/>
        </w:rPr>
        <w:t xml:space="preserve"> no dia anterior a respectiva Data de Amortização Antecipada Facultativa.</w:t>
      </w:r>
    </w:p>
    <w:p w:rsidR="00204B37" w:rsidRPr="00F74141" w:rsidRDefault="00706572">
      <w:pPr>
        <w:pStyle w:val="Level2"/>
        <w:keepNext/>
        <w:numPr>
          <w:ilvl w:val="1"/>
          <w:numId w:val="9"/>
        </w:numPr>
        <w:spacing w:before="240" w:after="240" w:line="320" w:lineRule="exact"/>
        <w:ind w:left="1389"/>
        <w:rPr>
          <w:rFonts w:ascii="Verdana" w:hAnsi="Verdana"/>
          <w:b/>
          <w:szCs w:val="20"/>
        </w:rPr>
      </w:pPr>
      <w:r w:rsidRPr="00F74141">
        <w:rPr>
          <w:rFonts w:ascii="Verdana" w:hAnsi="Verdana"/>
          <w:b/>
          <w:szCs w:val="20"/>
        </w:rPr>
        <w:t>Aquisição Facultativa</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A Emissora poderá, a qualquer tempo, adquirir Debêntures desde que observe o disposto no artigo 55, parágrafo 3º, da Lei das Sociedades por Ações, nos artigos 13 e 15 da Instrução CVM 476 e na regulamentação aplicável da CVM, devendo tal fato, se assim exigido pelas disposições legais e regulamentares aplicáveis, constar do relatório da administração e das demonstrações financeiras da Emissora. 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aos mesmos Juros Remuneratórios aplicáveis às demais Debêntures.</w:t>
      </w:r>
    </w:p>
    <w:p w:rsidR="00204B37" w:rsidRPr="00F74141" w:rsidRDefault="00706572">
      <w:pPr>
        <w:pStyle w:val="Level2"/>
        <w:numPr>
          <w:ilvl w:val="1"/>
          <w:numId w:val="9"/>
        </w:numPr>
        <w:spacing w:before="240" w:after="240" w:line="320" w:lineRule="exact"/>
        <w:rPr>
          <w:rFonts w:ascii="Verdana" w:hAnsi="Verdana"/>
          <w:iCs/>
          <w:szCs w:val="20"/>
        </w:rPr>
      </w:pPr>
      <w:r w:rsidRPr="00F74141">
        <w:rPr>
          <w:rFonts w:ascii="Verdana" w:hAnsi="Verdana"/>
          <w:b/>
          <w:szCs w:val="20"/>
        </w:rPr>
        <w:t>Redução de Capital Previamente Aprovada</w:t>
      </w:r>
    </w:p>
    <w:p w:rsidR="00204B37" w:rsidRPr="00F74141" w:rsidRDefault="00706572">
      <w:pPr>
        <w:pStyle w:val="Level2"/>
        <w:numPr>
          <w:ilvl w:val="0"/>
          <w:numId w:val="0"/>
        </w:numPr>
        <w:spacing w:before="240" w:after="240" w:line="320" w:lineRule="exact"/>
        <w:ind w:left="1390" w:hanging="823"/>
        <w:rPr>
          <w:rFonts w:ascii="Verdana" w:hAnsi="Verdana"/>
          <w:iCs/>
          <w:szCs w:val="20"/>
        </w:rPr>
      </w:pPr>
      <w:r w:rsidRPr="00F74141">
        <w:rPr>
          <w:rFonts w:ascii="Verdana" w:hAnsi="Verdana"/>
          <w:b/>
          <w:iCs/>
          <w:szCs w:val="20"/>
        </w:rPr>
        <w:t>4.27.1</w:t>
      </w:r>
      <w:r w:rsidRPr="00F74141">
        <w:rPr>
          <w:rFonts w:ascii="Verdana" w:hAnsi="Verdana"/>
          <w:iCs/>
          <w:szCs w:val="20"/>
        </w:rPr>
        <w:t>.</w:t>
      </w:r>
      <w:r w:rsidRPr="00F74141">
        <w:rPr>
          <w:rFonts w:ascii="Verdana" w:hAnsi="Verdana"/>
          <w:iCs/>
          <w:szCs w:val="20"/>
        </w:rPr>
        <w:tab/>
        <w:t xml:space="preserve">Cada um dos Debenturistas, ao subscrever e integralizar as Debêntures no mercado primário ou ao adquirir as Debêntures no mercado secundário, será considerado como tendo aprovado, automática, voluntária, incondicional, irretratável e irrevogavelmente, independentemente da realização de qualquer assembleia geral de Debenturistas, inclusive para efeitos do artigo 174, parágrafo 3º, da Lei das Sociedades por Ações, a redução do capital social aprovada pelos acionistas da Emissora, reunidos em assembleia geral extraordinária realizada em 4 de setembro de 2019, bem como reduções do capital social da </w:t>
      </w:r>
      <w:bookmarkStart w:id="40" w:name="_Hlk512505592"/>
      <w:r w:rsidRPr="00F74141">
        <w:rPr>
          <w:rFonts w:ascii="Verdana" w:hAnsi="Verdana"/>
          <w:iCs/>
          <w:szCs w:val="20"/>
        </w:rPr>
        <w:t>Emissora subsequentes, a serem oportunamente aprovadas pelos Acionistas, reunidos em assembleia geral extraordinária, ainda no exercício de 2019, com efetiva restituição de capital aos Acionistas (cada redução de capital realizada nos termos desta Cláusula 4.27, uma “</w:t>
      </w:r>
      <w:r w:rsidRPr="00F74141">
        <w:rPr>
          <w:rFonts w:ascii="Verdana" w:hAnsi="Verdana"/>
          <w:b/>
          <w:iCs/>
          <w:szCs w:val="20"/>
        </w:rPr>
        <w:t>Redução de Capital Previamente Aprovada</w:t>
      </w:r>
      <w:r w:rsidRPr="00F74141">
        <w:rPr>
          <w:rFonts w:ascii="Verdana" w:hAnsi="Verdana"/>
          <w:iCs/>
          <w:szCs w:val="20"/>
        </w:rPr>
        <w:t xml:space="preserve">”), observado que, em qualquer caso, a somatória dos valores de cada Redução de Capital Previamente Aprovada, em conjunto com eventuais distribuições de lucros e dividendos aos Acionistas, cancelamentos de adiantamentos a futuro aporte de capital e </w:t>
      </w:r>
      <w:r w:rsidRPr="00F74141">
        <w:rPr>
          <w:rFonts w:ascii="Verdana" w:hAnsi="Verdana"/>
          <w:szCs w:val="20"/>
        </w:rPr>
        <w:t>mútuos concedidos aos Acionistas</w:t>
      </w:r>
      <w:r w:rsidRPr="00F74141">
        <w:rPr>
          <w:rFonts w:ascii="Verdana" w:hAnsi="Verdana"/>
          <w:iCs/>
          <w:szCs w:val="20"/>
        </w:rPr>
        <w:t xml:space="preserve">, não poderá superar o montante agregado de R$325.000.000,00 (trezentos e vinte e cinco milhões de reais). </w:t>
      </w:r>
    </w:p>
    <w:p w:rsidR="00204B37" w:rsidRPr="00F74141" w:rsidRDefault="00706572">
      <w:pPr>
        <w:pStyle w:val="Level1"/>
        <w:keepNext w:val="0"/>
        <w:numPr>
          <w:ilvl w:val="0"/>
          <w:numId w:val="9"/>
        </w:numPr>
        <w:spacing w:before="240" w:after="240" w:line="320" w:lineRule="exact"/>
        <w:rPr>
          <w:rFonts w:ascii="Verdana" w:eastAsia="TT108t00" w:hAnsi="Verdana"/>
          <w:sz w:val="20"/>
          <w:szCs w:val="20"/>
        </w:rPr>
      </w:pPr>
      <w:bookmarkStart w:id="41" w:name="_Ref510084290"/>
      <w:bookmarkStart w:id="42" w:name="_Ref511070560"/>
      <w:bookmarkStart w:id="43" w:name="_Ref510109918"/>
      <w:bookmarkStart w:id="44" w:name="_ftnref3"/>
      <w:bookmarkStart w:id="45" w:name="_Ref521926253"/>
      <w:bookmarkStart w:id="46" w:name="_Ref490413045"/>
      <w:bookmarkStart w:id="47" w:name="_Ref468387135"/>
      <w:bookmarkEnd w:id="40"/>
      <w:bookmarkEnd w:id="41"/>
      <w:bookmarkEnd w:id="42"/>
      <w:bookmarkEnd w:id="43"/>
      <w:bookmarkEnd w:id="44"/>
      <w:r w:rsidRPr="00F74141">
        <w:rPr>
          <w:rFonts w:ascii="Verdana" w:eastAsia="TT108t00" w:hAnsi="Verdana"/>
          <w:sz w:val="20"/>
          <w:szCs w:val="20"/>
        </w:rPr>
        <w:t>GARANTIAS</w:t>
      </w:r>
    </w:p>
    <w:p w:rsidR="00204B37" w:rsidRPr="00F74141" w:rsidRDefault="00706572">
      <w:pPr>
        <w:pStyle w:val="Level2"/>
        <w:numPr>
          <w:ilvl w:val="1"/>
          <w:numId w:val="9"/>
        </w:numPr>
        <w:spacing w:before="240" w:after="240" w:line="320" w:lineRule="exact"/>
        <w:rPr>
          <w:rFonts w:ascii="Verdana" w:hAnsi="Verdana"/>
          <w:b/>
          <w:szCs w:val="20"/>
        </w:rPr>
      </w:pPr>
      <w:r w:rsidRPr="00F74141">
        <w:rPr>
          <w:rFonts w:ascii="Verdana" w:hAnsi="Verdana"/>
          <w:b/>
          <w:szCs w:val="20"/>
        </w:rPr>
        <w:t>Garantias Reais</w:t>
      </w:r>
    </w:p>
    <w:p w:rsidR="00204B37" w:rsidRPr="00F74141" w:rsidRDefault="00706572">
      <w:pPr>
        <w:pStyle w:val="Level3"/>
        <w:numPr>
          <w:ilvl w:val="2"/>
          <w:numId w:val="9"/>
        </w:numPr>
        <w:spacing w:before="240" w:after="240" w:line="320" w:lineRule="exact"/>
        <w:rPr>
          <w:rFonts w:ascii="Verdana" w:hAnsi="Verdana"/>
          <w:szCs w:val="20"/>
        </w:rPr>
      </w:pPr>
      <w:bookmarkStart w:id="48" w:name="_Ref521999243"/>
      <w:r w:rsidRPr="00F74141">
        <w:rPr>
          <w:rFonts w:ascii="Verdana" w:hAnsi="Verdana"/>
          <w:szCs w:val="20"/>
        </w:rPr>
        <w:t>Em garantia do fiel, pontual e integral cumprimento das obrigações pecuniárias, principais e acessórias, presentes e futuras, assumidas pela Emissora nesta Emissão, incluindo, mas não se limitando às obrigações relativas (i) ao integral e pontual pagamento do Valor Nominal Unitário das Debêntures da Primeira Série, do Valor Nominal Unitário Atualizado das Debêntures da Segunda Série, dos respectivos Juros Remuneratórios, dos Encargos Moratórios, bem como dos demais encargos relativos a esta Escritura de Emissão, seja nas respectivas datas de pagamento, na Data de Vencimento, ou em virtude do vencimento antecipado das obrigações decorrentes das Debêntures, nos termos desta Escritura de Emissão, (</w:t>
      </w:r>
      <w:proofErr w:type="spellStart"/>
      <w:r w:rsidRPr="00F74141">
        <w:rPr>
          <w:rFonts w:ascii="Verdana" w:hAnsi="Verdana"/>
          <w:szCs w:val="20"/>
        </w:rPr>
        <w:t>ii</w:t>
      </w:r>
      <w:proofErr w:type="spellEnd"/>
      <w:r w:rsidRPr="00F74141">
        <w:rPr>
          <w:rFonts w:ascii="Verdana" w:hAnsi="Verdana"/>
          <w:szCs w:val="20"/>
        </w:rPr>
        <w:t xml:space="preserve">) a quaisquer outras obrigações de pagar assumidas pela Emissora, nesta Escritura de Emissão e nos Contratos de Garantias, incluindo, mas não se limitando </w:t>
      </w:r>
      <w:proofErr w:type="spellStart"/>
      <w:r w:rsidRPr="00F74141">
        <w:rPr>
          <w:rFonts w:ascii="Verdana" w:hAnsi="Verdana"/>
          <w:szCs w:val="20"/>
        </w:rPr>
        <w:t>aos</w:t>
      </w:r>
      <w:proofErr w:type="spellEnd"/>
      <w:r w:rsidRPr="00F74141">
        <w:rPr>
          <w:rFonts w:ascii="Verdana" w:hAnsi="Verdana"/>
          <w:szCs w:val="20"/>
        </w:rPr>
        <w:t xml:space="preserve"> honorários do Agente de Liquidação, do </w:t>
      </w:r>
      <w:proofErr w:type="spellStart"/>
      <w:r w:rsidRPr="00F74141">
        <w:rPr>
          <w:rFonts w:ascii="Verdana" w:hAnsi="Verdana"/>
          <w:szCs w:val="20"/>
        </w:rPr>
        <w:t>Escriturador</w:t>
      </w:r>
      <w:proofErr w:type="spellEnd"/>
      <w:r w:rsidRPr="00F74141">
        <w:rPr>
          <w:rFonts w:ascii="Verdana" w:hAnsi="Verdana"/>
          <w:szCs w:val="20"/>
        </w:rPr>
        <w:t>, da B3 e do Agente Fiduciário, e (</w:t>
      </w:r>
      <w:proofErr w:type="spellStart"/>
      <w:r w:rsidRPr="00F74141">
        <w:rPr>
          <w:rFonts w:ascii="Verdana" w:hAnsi="Verdana"/>
          <w:szCs w:val="20"/>
        </w:rPr>
        <w:t>iii</w:t>
      </w:r>
      <w:proofErr w:type="spellEnd"/>
      <w:r w:rsidRPr="00F74141">
        <w:rPr>
          <w:rFonts w:ascii="Verdana" w:hAnsi="Verdana"/>
          <w:szCs w:val="20"/>
        </w:rPr>
        <w:t>) ao ressarcimento de toda e qualquer importância que o Agente Fiduciário e/ou os Debenturistas venham a desembolsar no âmbito da Emissão e/ou em virtude da constituição e/ou manutenção das Garantias Reais, bem como todos e quaisquer custos, despesas judiciais e/ou extrajudiciais e honorários advocatícios incorridos na proteção dos interesses dos Debenturistas nos termos desta Escritura de Emissão e dos Contratos de Garantia (“</w:t>
      </w:r>
      <w:r w:rsidRPr="00F74141">
        <w:rPr>
          <w:rFonts w:ascii="Verdana" w:hAnsi="Verdana"/>
          <w:b/>
          <w:szCs w:val="20"/>
        </w:rPr>
        <w:t>Obrigações Garantidas</w:t>
      </w:r>
      <w:r w:rsidRPr="00F74141">
        <w:rPr>
          <w:rFonts w:ascii="Verdana" w:hAnsi="Verdana"/>
          <w:szCs w:val="20"/>
        </w:rPr>
        <w:t>”), serão constituídas, em favor dos Debenturistas</w:t>
      </w:r>
      <w:bookmarkEnd w:id="48"/>
      <w:r w:rsidRPr="00F74141">
        <w:rPr>
          <w:rFonts w:ascii="Verdana" w:hAnsi="Verdana"/>
          <w:szCs w:val="20"/>
        </w:rPr>
        <w:t>:</w:t>
      </w:r>
    </w:p>
    <w:p w:rsidR="00204B37" w:rsidRPr="00F74141" w:rsidRDefault="00706572">
      <w:pPr>
        <w:pStyle w:val="Level3"/>
        <w:numPr>
          <w:ilvl w:val="0"/>
          <w:numId w:val="0"/>
        </w:numPr>
        <w:spacing w:before="240" w:after="240" w:line="320" w:lineRule="exact"/>
        <w:ind w:left="1361"/>
        <w:outlineLvl w:val="3"/>
        <w:rPr>
          <w:rFonts w:ascii="Verdana" w:hAnsi="Verdana"/>
          <w:szCs w:val="20"/>
        </w:rPr>
      </w:pPr>
      <w:r w:rsidRPr="00F74141">
        <w:rPr>
          <w:rFonts w:ascii="Verdana" w:hAnsi="Verdana"/>
          <w:szCs w:val="20"/>
        </w:rPr>
        <w:t>(i) alienação fiduciária, sob condição suspensiva, nos termos da Cláusula 5.1.1.1 abaixo e do Contrato de Alienação Fiduciária de Ações (conforme definido abaixo), (a) da totalidade das ações de emissão da Emissora, detidas atualmente pelos Acionistas, conforme estabelecido no Contrato de Alienação Fiduciária de Ações (conforme abaixo definido) (“</w:t>
      </w:r>
      <w:r w:rsidRPr="00F74141">
        <w:rPr>
          <w:rFonts w:ascii="Verdana" w:hAnsi="Verdana"/>
          <w:b/>
          <w:szCs w:val="20"/>
        </w:rPr>
        <w:t>Ações</w:t>
      </w:r>
      <w:r w:rsidRPr="00F74141">
        <w:rPr>
          <w:rFonts w:ascii="Verdana" w:hAnsi="Verdana"/>
          <w:szCs w:val="20"/>
        </w:rPr>
        <w:t>”), (b) todas as ações derivadas das Ações por meio de desdobramento, grupamento ou bonificação, inclusive mediante a permuta, venda ou qualquer outra forma de alienação das Ações e quaisquer bens ou títulos nos quais as Ações sejam convertidas (incluindo quaisquer depósitos, títulos ou valores mobiliários), (c) o direito de subscrição de novas ações representativas do capital social da Emissora, bônus de subscrição, debêntures conversíveis, partes beneficiárias, certificados, títulos ou outros valores mobiliários conversíveis em ações, relacionados à participação dos Acionistas na Emissora (sendo os itens (b) e (c), integram, para todos os fins, a definição de “</w:t>
      </w:r>
      <w:r w:rsidRPr="00F74141">
        <w:rPr>
          <w:rFonts w:ascii="Verdana" w:hAnsi="Verdana"/>
          <w:b/>
          <w:szCs w:val="20"/>
        </w:rPr>
        <w:t>Ações</w:t>
      </w:r>
      <w:r w:rsidRPr="00F74141">
        <w:rPr>
          <w:rFonts w:ascii="Verdana" w:hAnsi="Verdana"/>
          <w:szCs w:val="20"/>
        </w:rPr>
        <w:t>”); (d) todos os frutos, rendimentos, remuneração, bonificação ou reembolso de capital, incluindo, sem limitar, todas as preferências e vantagens que forem atribuídas expressamente às Ações, a qualquer título, inclusive lucros, proventos decorrentes do fluxo de dividendos, juros sobre o capital próprio e todos os demais proventos ou valores que de qualquer outra forma tenham sido e/ou que venham a ser declarados e ainda não tenham sido distribuídos (sendo todos os bens e direitos referidos neste item (d) doravante denominados, em conjunto, “</w:t>
      </w:r>
      <w:r w:rsidRPr="00F74141">
        <w:rPr>
          <w:rFonts w:ascii="Verdana" w:hAnsi="Verdana"/>
          <w:b/>
          <w:szCs w:val="20"/>
        </w:rPr>
        <w:t>Direitos Adicionais</w:t>
      </w:r>
      <w:r w:rsidRPr="00F74141">
        <w:rPr>
          <w:rFonts w:ascii="Verdana" w:hAnsi="Verdana"/>
          <w:szCs w:val="20"/>
        </w:rPr>
        <w:t>” e, em conjunto com as Ações, “</w:t>
      </w:r>
      <w:r w:rsidRPr="00F74141">
        <w:rPr>
          <w:rFonts w:ascii="Verdana" w:hAnsi="Verdana"/>
          <w:b/>
          <w:szCs w:val="20"/>
        </w:rPr>
        <w:t>Ativos Alienados Fiduciariamente</w:t>
      </w:r>
      <w:r w:rsidRPr="00F74141">
        <w:rPr>
          <w:rFonts w:ascii="Verdana" w:hAnsi="Verdana"/>
          <w:szCs w:val="20"/>
        </w:rPr>
        <w:t>”), observado ainda que incorporar-se-ão automaticamente à Alienação Fiduciária de Ações, passando, para todos os fins de direito, conforme o caso, a integrar a definição de Ações e de Ativos Alienados Fiduciariamente, quaisquer ações de emissão da Emissora que sejam subscritas, integralizadas, recebidas, conferidas, compradas ou de qualquer outra forma adquiridas (direta ou indiretamente) pelas Acionistas após a data de assinatura do Contrato de Alienação Fiduciária de Ações, incluindo, sem limitar, quaisquer ações recebidas, conferidas e/ou adquiridas pelas Acionistas (direta ou indiretamente) por meio de consolidação, fusão, cisão, incorporação, permuta, substituição, divisão, reorganização societária ou de qualquer outra forma, assim como quaisquer títulos ou valores mobiliários que as Ações e tais novas ações sejam convertidas (“</w:t>
      </w:r>
      <w:r w:rsidRPr="00F74141">
        <w:rPr>
          <w:rFonts w:ascii="Verdana" w:hAnsi="Verdana"/>
          <w:b/>
          <w:szCs w:val="20"/>
        </w:rPr>
        <w:t>Ações Adicionais</w:t>
      </w:r>
      <w:r w:rsidRPr="00F74141">
        <w:rPr>
          <w:rFonts w:ascii="Verdana" w:hAnsi="Verdana"/>
          <w:szCs w:val="20"/>
        </w:rPr>
        <w:t>” e “</w:t>
      </w:r>
      <w:r w:rsidRPr="00F74141">
        <w:rPr>
          <w:rStyle w:val="DeltaViewInsertion"/>
          <w:rFonts w:ascii="Verdana" w:hAnsi="Verdana"/>
          <w:b/>
          <w:color w:val="auto"/>
          <w:szCs w:val="20"/>
          <w:u w:val="none"/>
        </w:rPr>
        <w:t>Alienação Fiduciária</w:t>
      </w:r>
      <w:r w:rsidRPr="00F74141">
        <w:rPr>
          <w:rFonts w:ascii="Verdana" w:hAnsi="Verdana"/>
          <w:b/>
          <w:szCs w:val="20"/>
        </w:rPr>
        <w:t xml:space="preserve"> de Ações</w:t>
      </w:r>
      <w:r w:rsidRPr="00F74141">
        <w:rPr>
          <w:rFonts w:ascii="Verdana" w:hAnsi="Verdana"/>
          <w:szCs w:val="20"/>
        </w:rPr>
        <w:t>”, respectivamente), nos termos do “</w:t>
      </w:r>
      <w:r w:rsidRPr="00F74141">
        <w:rPr>
          <w:rFonts w:ascii="Verdana" w:hAnsi="Verdana"/>
          <w:i/>
          <w:szCs w:val="20"/>
        </w:rPr>
        <w:t>Instrumento Particular de Alienação Fiduciária de Ações e Outras Avenças</w:t>
      </w:r>
      <w:r w:rsidRPr="00F74141">
        <w:rPr>
          <w:rFonts w:ascii="Verdana" w:hAnsi="Verdana"/>
          <w:szCs w:val="20"/>
        </w:rPr>
        <w:t>”, a ser celebrado entre a Emissora, os Acionistas e o Agente Fiduciário (“</w:t>
      </w:r>
      <w:r w:rsidRPr="00F74141">
        <w:rPr>
          <w:rFonts w:ascii="Verdana" w:hAnsi="Verdana"/>
          <w:b/>
          <w:szCs w:val="20"/>
        </w:rPr>
        <w:t>Contrato de Alienação Fiduciária de Ações</w:t>
      </w:r>
      <w:r w:rsidRPr="00F74141">
        <w:rPr>
          <w:rFonts w:ascii="Verdana" w:hAnsi="Verdana"/>
          <w:szCs w:val="20"/>
        </w:rPr>
        <w:t>”). Não obstante a outorga da Alienação Fiduciária de Ações, a Emissora (X) estará autorizada a formalizar e executar, ainda no exercício de 2019, as Reduções de Capital Previamente Aprovadas, com restituição de capital aos Acionistas; e (Y) poderá, caso seja assim definido, ainda no exercício de 2019, distribuir lucros ou dividendos aos Acionistas desde que os lucros e dividendos distribuídos aos Acionistas, em conjunto com eventuais Reduções de Capital Previamente Aprovadas, cancelamentos de adiantamento a futuro aporte de capital e mútuos concedidos aos Acionistas, não superem o montante agregado de R$325.000.000,00 (trezentos e vinte e cinco milhões de reais);</w:t>
      </w:r>
    </w:p>
    <w:p w:rsidR="00204B37" w:rsidRPr="00F74141" w:rsidRDefault="00706572">
      <w:pPr>
        <w:pStyle w:val="Level3"/>
        <w:numPr>
          <w:ilvl w:val="0"/>
          <w:numId w:val="0"/>
        </w:numPr>
        <w:spacing w:before="240" w:after="240" w:line="320" w:lineRule="exact"/>
        <w:ind w:left="1361"/>
        <w:outlineLvl w:val="3"/>
        <w:rPr>
          <w:rFonts w:ascii="Verdana" w:hAnsi="Verdana"/>
          <w:szCs w:val="20"/>
        </w:rPr>
      </w:pPr>
      <w:r w:rsidRPr="00F74141">
        <w:rPr>
          <w:rFonts w:ascii="Verdana" w:hAnsi="Verdana"/>
          <w:szCs w:val="20"/>
        </w:rPr>
        <w:t>(</w:t>
      </w:r>
      <w:proofErr w:type="spellStart"/>
      <w:r w:rsidRPr="00F74141">
        <w:rPr>
          <w:rFonts w:ascii="Verdana" w:hAnsi="Verdana"/>
          <w:szCs w:val="20"/>
        </w:rPr>
        <w:t>ii</w:t>
      </w:r>
      <w:proofErr w:type="spellEnd"/>
      <w:r w:rsidRPr="00F74141">
        <w:rPr>
          <w:rFonts w:ascii="Verdana" w:hAnsi="Verdana"/>
          <w:szCs w:val="20"/>
        </w:rPr>
        <w:t>) alienação fiduciária (a) dos aerogeradores listados no “</w:t>
      </w:r>
      <w:r w:rsidRPr="00F74141">
        <w:rPr>
          <w:rFonts w:ascii="Verdana" w:hAnsi="Verdana"/>
          <w:i/>
          <w:szCs w:val="20"/>
        </w:rPr>
        <w:t>Instrumento Particular de Alienação Fiduciária de Equipamentos e Outras Avenças</w:t>
      </w:r>
      <w:r w:rsidRPr="00F74141">
        <w:rPr>
          <w:rFonts w:ascii="Verdana" w:hAnsi="Verdana"/>
          <w:szCs w:val="20"/>
        </w:rPr>
        <w:t>”, a ser celebrado entre a Emissora e o Agente Fiduciário (“</w:t>
      </w:r>
      <w:r w:rsidRPr="00F74141">
        <w:rPr>
          <w:rFonts w:ascii="Verdana" w:hAnsi="Verdana"/>
          <w:b/>
          <w:szCs w:val="20"/>
        </w:rPr>
        <w:t>Contrato de Alienação Fiduciária de Equipamentos</w:t>
      </w:r>
      <w:r w:rsidRPr="00F74141">
        <w:rPr>
          <w:rFonts w:ascii="Verdana" w:hAnsi="Verdana"/>
          <w:szCs w:val="20"/>
        </w:rPr>
        <w:t xml:space="preserve">”), </w:t>
      </w:r>
      <w:r w:rsidRPr="00F74141">
        <w:rPr>
          <w:rFonts w:ascii="Verdana" w:hAnsi="Verdana"/>
          <w:bCs/>
          <w:szCs w:val="20"/>
        </w:rPr>
        <w:t>completamente livres e desembaraçados de quaisquer ônus, dívidas ou dúvidas, tributos, impostos e taxas em atraso, ou encargos (“</w:t>
      </w:r>
      <w:r w:rsidRPr="00F74141">
        <w:rPr>
          <w:rFonts w:ascii="Verdana" w:hAnsi="Verdana"/>
          <w:b/>
          <w:bCs/>
          <w:szCs w:val="20"/>
        </w:rPr>
        <w:t>Aerogeradores</w:t>
      </w:r>
      <w:r w:rsidRPr="00F74141">
        <w:rPr>
          <w:rFonts w:ascii="Verdana" w:hAnsi="Verdana"/>
          <w:bCs/>
          <w:szCs w:val="20"/>
        </w:rPr>
        <w:t xml:space="preserve">”) e (b) todos e quaisquer direitos, privilégios, preferências, prerrogativas e ações relacionados com os Aerogeradores, incluindo, sem qualquer limitação, aqueles Aerogeradores cuja </w:t>
      </w:r>
      <w:r w:rsidRPr="00F74141">
        <w:rPr>
          <w:rFonts w:ascii="Verdana" w:hAnsi="Verdana"/>
          <w:szCs w:val="20"/>
        </w:rPr>
        <w:t xml:space="preserve">propriedade superveniente venha a ser adquirida pela Emissora, </w:t>
      </w:r>
      <w:r w:rsidRPr="00F74141">
        <w:rPr>
          <w:rFonts w:ascii="Verdana" w:hAnsi="Verdana"/>
          <w:bCs/>
          <w:szCs w:val="20"/>
        </w:rPr>
        <w:t xml:space="preserve">nos termos do artigo 1.361, parágrafo 3º, da </w:t>
      </w:r>
      <w:r w:rsidRPr="00F74141">
        <w:rPr>
          <w:rFonts w:ascii="Verdana" w:hAnsi="Verdana"/>
          <w:szCs w:val="20"/>
          <w:shd w:val="clear" w:color="auto" w:fill="FFFFFF"/>
        </w:rPr>
        <w:t>Lei nº 10.406, de 10 de janeiro de 2002, conforme alterada (“</w:t>
      </w:r>
      <w:r w:rsidRPr="00F74141">
        <w:rPr>
          <w:rFonts w:ascii="Verdana" w:hAnsi="Verdana"/>
          <w:b/>
          <w:szCs w:val="20"/>
          <w:shd w:val="clear" w:color="auto" w:fill="FFFFFF"/>
        </w:rPr>
        <w:t>Código Civil</w:t>
      </w:r>
      <w:r w:rsidRPr="00F74141">
        <w:rPr>
          <w:rFonts w:ascii="Verdana" w:hAnsi="Verdana"/>
          <w:szCs w:val="20"/>
          <w:shd w:val="clear" w:color="auto" w:fill="FFFFFF"/>
        </w:rPr>
        <w:t xml:space="preserve">”) </w:t>
      </w:r>
      <w:r w:rsidRPr="00F74141">
        <w:rPr>
          <w:rFonts w:ascii="Verdana" w:hAnsi="Verdana"/>
          <w:szCs w:val="20"/>
        </w:rPr>
        <w:t xml:space="preserve">(sendo os direitos listados neste item (b) em conjunto com os </w:t>
      </w:r>
      <w:r w:rsidRPr="00F74141">
        <w:rPr>
          <w:rFonts w:ascii="Verdana" w:hAnsi="Verdana"/>
          <w:bCs/>
          <w:szCs w:val="20"/>
        </w:rPr>
        <w:t>Aerogeradores, “</w:t>
      </w:r>
      <w:r w:rsidRPr="00F74141">
        <w:rPr>
          <w:rFonts w:ascii="Verdana" w:hAnsi="Verdana"/>
          <w:b/>
          <w:bCs/>
          <w:szCs w:val="20"/>
        </w:rPr>
        <w:t>Bens Alienados Fiduciariamente</w:t>
      </w:r>
      <w:r w:rsidRPr="00F74141">
        <w:rPr>
          <w:rFonts w:ascii="Verdana" w:hAnsi="Verdana"/>
          <w:bCs/>
          <w:szCs w:val="20"/>
        </w:rPr>
        <w:t>”)</w:t>
      </w:r>
      <w:r w:rsidRPr="00F74141">
        <w:rPr>
          <w:rFonts w:ascii="Verdana" w:hAnsi="Verdana"/>
          <w:szCs w:val="20"/>
        </w:rPr>
        <w:t>, observado ainda que incorporar-se-ão automaticamente à Alienação Fiduciária de Equipamentos, passando, para todos os fins de direito, conforme o caso, a integrar a definição de Bens Alienados Fiduciariamente, todos e quaisquer aerogeradores que sejam comprados, adquiridos, obtidos, conferidos, transferidos ou alienados à Emissora no âmbito dos Projetos após a data de assinatura do Contrato de Alienação Fiduciária de Equipamentos, incluindo os aerogeradores que venham a substituir os já existentes ou ainda que a Emissora passe a ter direito de dispor, incluindo respectivas pertenças, nos termos do Contrato de Alienação Fiduciária de Equipamentos</w:t>
      </w:r>
      <w:r w:rsidRPr="00F74141">
        <w:rPr>
          <w:rFonts w:ascii="Verdana" w:hAnsi="Verdana"/>
          <w:szCs w:val="20"/>
          <w:shd w:val="clear" w:color="auto" w:fill="FFFFFF"/>
        </w:rPr>
        <w:t xml:space="preserve"> (“</w:t>
      </w:r>
      <w:r w:rsidRPr="00F74141">
        <w:rPr>
          <w:rFonts w:ascii="Verdana" w:hAnsi="Verdana"/>
          <w:b/>
          <w:szCs w:val="20"/>
          <w:shd w:val="clear" w:color="auto" w:fill="FFFFFF"/>
        </w:rPr>
        <w:t>Alienação Fiduciária de Equipamentos</w:t>
      </w:r>
      <w:r w:rsidRPr="00F74141">
        <w:rPr>
          <w:rFonts w:ascii="Verdana" w:hAnsi="Verdana"/>
          <w:szCs w:val="20"/>
          <w:shd w:val="clear" w:color="auto" w:fill="FFFFFF"/>
        </w:rPr>
        <w:t>”); e</w:t>
      </w:r>
    </w:p>
    <w:p w:rsidR="00204B37" w:rsidRPr="00F74141" w:rsidRDefault="00706572">
      <w:pPr>
        <w:pStyle w:val="Level3"/>
        <w:numPr>
          <w:ilvl w:val="0"/>
          <w:numId w:val="0"/>
        </w:numPr>
        <w:spacing w:before="240" w:after="240" w:line="320" w:lineRule="exact"/>
        <w:ind w:left="1361"/>
        <w:outlineLvl w:val="3"/>
        <w:rPr>
          <w:rFonts w:ascii="Verdana" w:hAnsi="Verdana"/>
          <w:szCs w:val="20"/>
        </w:rPr>
      </w:pPr>
      <w:r w:rsidRPr="00F74141">
        <w:rPr>
          <w:rFonts w:ascii="Verdana" w:hAnsi="Verdana"/>
          <w:szCs w:val="20"/>
        </w:rPr>
        <w:t>(</w:t>
      </w:r>
      <w:proofErr w:type="spellStart"/>
      <w:r w:rsidRPr="00F74141">
        <w:rPr>
          <w:rFonts w:ascii="Verdana" w:hAnsi="Verdana"/>
          <w:szCs w:val="20"/>
        </w:rPr>
        <w:t>iii</w:t>
      </w:r>
      <w:proofErr w:type="spellEnd"/>
      <w:r w:rsidRPr="00F74141">
        <w:rPr>
          <w:rFonts w:ascii="Verdana" w:hAnsi="Verdana"/>
          <w:szCs w:val="20"/>
        </w:rPr>
        <w:t>) cessão fiduciária, sob condição suspensiva, nos termos da Cláusula 5.1.1.2 abaixo e do Contrato de Cessão Fiduciária (conforme definido abaixo), (a) da totalidade dos direitos creditórios, presentes e/ou futuros, provenientes da comercialização de energia elétrica no âmbito do Programa de Incentivo às Fontes Alternativas de Energia Elétrica – PROINFA, nos termos (1) do “</w:t>
      </w:r>
      <w:r w:rsidRPr="00F74141">
        <w:rPr>
          <w:rFonts w:ascii="Verdana" w:hAnsi="Verdana"/>
          <w:i/>
          <w:szCs w:val="20"/>
        </w:rPr>
        <w:t>Contrato de Compra e Venda de Energia Elétrica CT – PROINFA / Eólica 007/2004</w:t>
      </w:r>
      <w:r w:rsidRPr="00F74141">
        <w:rPr>
          <w:rFonts w:ascii="Verdana" w:hAnsi="Verdana"/>
          <w:szCs w:val="20"/>
        </w:rPr>
        <w:t xml:space="preserve">”, celebrado entre a Emissora (sob sua antiga denominação social </w:t>
      </w:r>
      <w:proofErr w:type="spellStart"/>
      <w:r w:rsidRPr="00F74141">
        <w:rPr>
          <w:rFonts w:ascii="Verdana" w:hAnsi="Verdana"/>
          <w:szCs w:val="20"/>
        </w:rPr>
        <w:t>Enerfin</w:t>
      </w:r>
      <w:proofErr w:type="spellEnd"/>
      <w:r w:rsidRPr="00F74141">
        <w:rPr>
          <w:rFonts w:ascii="Verdana" w:hAnsi="Verdana"/>
          <w:szCs w:val="20"/>
        </w:rPr>
        <w:t xml:space="preserve"> do Brasil – Produtora de Energia Ltda.) e a Centrais Elétricas Brasileiras S.A. – Eletrobrás (“</w:t>
      </w:r>
      <w:r w:rsidRPr="00F74141">
        <w:rPr>
          <w:rFonts w:ascii="Verdana" w:hAnsi="Verdana"/>
          <w:b/>
          <w:szCs w:val="20"/>
        </w:rPr>
        <w:t>Eletrobrás</w:t>
      </w:r>
      <w:r w:rsidRPr="00F74141">
        <w:rPr>
          <w:rFonts w:ascii="Verdana" w:hAnsi="Verdana"/>
          <w:szCs w:val="20"/>
        </w:rPr>
        <w:t>”) em 30 de junho de 2004, conforme alterado de tempos em tempos (“</w:t>
      </w:r>
      <w:r w:rsidRPr="00F74141">
        <w:rPr>
          <w:rFonts w:ascii="Verdana" w:hAnsi="Verdana"/>
          <w:b/>
          <w:szCs w:val="20"/>
        </w:rPr>
        <w:t>CCVE – Parque Eólico dos Índios</w:t>
      </w:r>
      <w:r w:rsidRPr="00F74141">
        <w:rPr>
          <w:rFonts w:ascii="Verdana" w:hAnsi="Verdana"/>
          <w:szCs w:val="20"/>
        </w:rPr>
        <w:t>”), (2) do “</w:t>
      </w:r>
      <w:r w:rsidRPr="00F74141">
        <w:rPr>
          <w:rFonts w:ascii="Verdana" w:hAnsi="Verdana"/>
          <w:i/>
          <w:szCs w:val="20"/>
        </w:rPr>
        <w:t>Contrato de Compra e Venda de Energia Elétrica CT – PROINFA / Eólica 008/2004</w:t>
      </w:r>
      <w:r w:rsidRPr="00F74141">
        <w:rPr>
          <w:rFonts w:ascii="Verdana" w:hAnsi="Verdana"/>
          <w:szCs w:val="20"/>
        </w:rPr>
        <w:t xml:space="preserve">”, celebrado entre a Emissora (sob sua antiga denominação social </w:t>
      </w:r>
      <w:proofErr w:type="spellStart"/>
      <w:r w:rsidRPr="00F74141">
        <w:rPr>
          <w:rFonts w:ascii="Verdana" w:hAnsi="Verdana"/>
          <w:szCs w:val="20"/>
        </w:rPr>
        <w:t>Enerfin</w:t>
      </w:r>
      <w:proofErr w:type="spellEnd"/>
      <w:r w:rsidRPr="00F74141">
        <w:rPr>
          <w:rFonts w:ascii="Verdana" w:hAnsi="Verdana"/>
          <w:szCs w:val="20"/>
        </w:rPr>
        <w:t xml:space="preserve"> do Brasil – Produtora de Energia Ltda.) e a Eletrobrás em 30 de junho de 2004, conforme alterado de tempos em tempos (“</w:t>
      </w:r>
      <w:r w:rsidRPr="00F74141">
        <w:rPr>
          <w:rFonts w:ascii="Verdana" w:hAnsi="Verdana"/>
          <w:b/>
          <w:szCs w:val="20"/>
        </w:rPr>
        <w:t>CCVE – Parque Eólico Sangradouro</w:t>
      </w:r>
      <w:r w:rsidRPr="00F74141">
        <w:rPr>
          <w:rFonts w:ascii="Verdana" w:hAnsi="Verdana"/>
          <w:szCs w:val="20"/>
        </w:rPr>
        <w:t>”), e (3) do “</w:t>
      </w:r>
      <w:r w:rsidRPr="00F74141">
        <w:rPr>
          <w:rFonts w:ascii="Verdana" w:hAnsi="Verdana"/>
          <w:i/>
          <w:szCs w:val="20"/>
        </w:rPr>
        <w:t>Contrato de Compra e Venda de Energia Elétrica CT – PROINFA / Eólica 009/2004</w:t>
      </w:r>
      <w:r w:rsidRPr="00F74141">
        <w:rPr>
          <w:rFonts w:ascii="Verdana" w:hAnsi="Verdana"/>
          <w:szCs w:val="20"/>
        </w:rPr>
        <w:t xml:space="preserve">”, celebrado entre a Emissora (sob sua antiga denominação social </w:t>
      </w:r>
      <w:proofErr w:type="spellStart"/>
      <w:r w:rsidRPr="00F74141">
        <w:rPr>
          <w:rFonts w:ascii="Verdana" w:hAnsi="Verdana"/>
          <w:szCs w:val="20"/>
        </w:rPr>
        <w:t>Enerfin</w:t>
      </w:r>
      <w:proofErr w:type="spellEnd"/>
      <w:r w:rsidRPr="00F74141">
        <w:rPr>
          <w:rFonts w:ascii="Verdana" w:hAnsi="Verdana"/>
          <w:szCs w:val="20"/>
        </w:rPr>
        <w:t xml:space="preserve"> do Brasil – Produtora de Energia Ltda.) e a Eletrobrás em 30 de junho de 2004, conforme alterado de tempos em tempos (“</w:t>
      </w:r>
      <w:r w:rsidRPr="00F74141">
        <w:rPr>
          <w:rFonts w:ascii="Verdana" w:hAnsi="Verdana"/>
          <w:b/>
          <w:szCs w:val="20"/>
        </w:rPr>
        <w:t>CCVE – Parque Eólico de Osório</w:t>
      </w:r>
      <w:r w:rsidRPr="00F74141">
        <w:rPr>
          <w:rFonts w:ascii="Verdana" w:hAnsi="Verdana"/>
          <w:szCs w:val="20"/>
        </w:rPr>
        <w:t>” e, em conjunto com o CCVE – Parque Eólico dos Índios e o CCVE – Parque Eólico Sangradouro, “</w:t>
      </w:r>
      <w:proofErr w:type="spellStart"/>
      <w:r w:rsidRPr="00F74141">
        <w:rPr>
          <w:rFonts w:ascii="Verdana" w:hAnsi="Verdana"/>
          <w:b/>
          <w:szCs w:val="20"/>
        </w:rPr>
        <w:t>CCVEs</w:t>
      </w:r>
      <w:proofErr w:type="spellEnd"/>
      <w:r w:rsidRPr="00F74141">
        <w:rPr>
          <w:rFonts w:ascii="Verdana" w:hAnsi="Verdana"/>
          <w:szCs w:val="20"/>
        </w:rPr>
        <w:t>”), bem como quaisquer aditivos e/ou instrumentos que venham a complementá-los e/ou substituí-los (“</w:t>
      </w:r>
      <w:r w:rsidRPr="00F74141">
        <w:rPr>
          <w:rFonts w:ascii="Verdana" w:hAnsi="Verdana"/>
          <w:b/>
          <w:szCs w:val="20"/>
        </w:rPr>
        <w:t>Direitos Creditórios</w:t>
      </w:r>
      <w:r w:rsidRPr="00F74141">
        <w:rPr>
          <w:rFonts w:ascii="Verdana" w:hAnsi="Verdana"/>
          <w:szCs w:val="20"/>
        </w:rPr>
        <w:t>”); (b) da totalidade dos direitos emergentes, presentes e/ou futuros, das autorizações emitidas pela Agência Nacional de Energia Elétrica (“</w:t>
      </w:r>
      <w:r w:rsidRPr="00F74141">
        <w:rPr>
          <w:rFonts w:ascii="Verdana" w:hAnsi="Verdana"/>
          <w:b/>
          <w:szCs w:val="20"/>
        </w:rPr>
        <w:t>ANEEL</w:t>
      </w:r>
      <w:r w:rsidRPr="00F74141">
        <w:rPr>
          <w:rFonts w:ascii="Verdana" w:hAnsi="Verdana"/>
          <w:szCs w:val="20"/>
        </w:rPr>
        <w:t>”) para que a Emissora se estabeleça como produtor independente de energia elétrica, nos termos (1) da Resolução nº 690, de 17 de dezembro de 2002, publicada no Diário Oficial da União em 18 de dezembro de 2002, conforme alterada de tempos em tempos (“</w:t>
      </w:r>
      <w:r w:rsidRPr="00F74141">
        <w:rPr>
          <w:rFonts w:ascii="Verdana" w:hAnsi="Verdana"/>
          <w:b/>
          <w:szCs w:val="20"/>
        </w:rPr>
        <w:t>Autorização - Parque Eólico dos Índios</w:t>
      </w:r>
      <w:r w:rsidRPr="00F74141">
        <w:rPr>
          <w:rFonts w:ascii="Verdana" w:hAnsi="Verdana"/>
          <w:szCs w:val="20"/>
        </w:rPr>
        <w:t>”), (2) da Resolução nº 691, de 17 de dezembro de 2002, publicada no Diário Oficial da União em 18 de dezembro de 2002, conforme alterada de tempos em tempos (“</w:t>
      </w:r>
      <w:r w:rsidRPr="00F74141">
        <w:rPr>
          <w:rFonts w:ascii="Verdana" w:hAnsi="Verdana"/>
          <w:b/>
          <w:szCs w:val="20"/>
        </w:rPr>
        <w:t>Autorização - Parque Eólico Sangradouro</w:t>
      </w:r>
      <w:r w:rsidRPr="00F74141">
        <w:rPr>
          <w:rFonts w:ascii="Verdana" w:hAnsi="Verdana"/>
          <w:szCs w:val="20"/>
        </w:rPr>
        <w:t>”), e (3) da Resolução nº 692, de 17 de dezembro de 2002, publicada no Diário Oficial da União em 18 de dezembro de 2002, conforme alterada de tempos em tempos (“</w:t>
      </w:r>
      <w:r w:rsidRPr="00F74141">
        <w:rPr>
          <w:rFonts w:ascii="Verdana" w:hAnsi="Verdana"/>
          <w:b/>
          <w:szCs w:val="20"/>
        </w:rPr>
        <w:t>Autorização - Parque Eólico de Osório</w:t>
      </w:r>
      <w:r w:rsidRPr="00F74141">
        <w:rPr>
          <w:rFonts w:ascii="Verdana" w:hAnsi="Verdana"/>
          <w:szCs w:val="20"/>
        </w:rPr>
        <w:t>” e, em conjunto com a Autorização - Parque Eólico dos Índios e a Autorização - Parque Eólico Sangradouro, “</w:t>
      </w:r>
      <w:r w:rsidRPr="00F74141">
        <w:rPr>
          <w:rFonts w:ascii="Verdana" w:hAnsi="Verdana"/>
          <w:b/>
          <w:szCs w:val="20"/>
        </w:rPr>
        <w:t>Autorizações</w:t>
      </w:r>
      <w:r w:rsidRPr="00F74141">
        <w:rPr>
          <w:rFonts w:ascii="Verdana" w:hAnsi="Verdana"/>
          <w:szCs w:val="20"/>
        </w:rPr>
        <w:t>”), bem como eventuais resoluções e/ou despachos do Ministério de Minas e Energia (“</w:t>
      </w:r>
      <w:r w:rsidRPr="00F74141">
        <w:rPr>
          <w:rFonts w:ascii="Verdana" w:hAnsi="Verdana"/>
          <w:b/>
          <w:szCs w:val="20"/>
        </w:rPr>
        <w:t>MME</w:t>
      </w:r>
      <w:r w:rsidRPr="00F74141">
        <w:rPr>
          <w:rFonts w:ascii="Verdana" w:hAnsi="Verdana"/>
          <w:szCs w:val="20"/>
        </w:rPr>
        <w:t>”) que venham a ser emitidos, incluindo as subsequentes alterações, inclusive o direito de receber todos e quaisquer valores que, efetiva ou potencialmente, sejam ou venham a se tornar exigíveis e pendentes de pagamento pela ANEEL e/ou pelo MME à Emissora, incluindo o direito de receber todas as indenizações pela extinção das autorizações outorgadas nos termos das Autorizações (“</w:t>
      </w:r>
      <w:r w:rsidRPr="00F74141">
        <w:rPr>
          <w:rFonts w:ascii="Verdana" w:hAnsi="Verdana"/>
          <w:b/>
          <w:szCs w:val="20"/>
        </w:rPr>
        <w:t>Direitos Emergentes</w:t>
      </w:r>
      <w:r w:rsidRPr="00F74141">
        <w:rPr>
          <w:rFonts w:ascii="Verdana" w:hAnsi="Verdana"/>
          <w:szCs w:val="20"/>
        </w:rPr>
        <w:t>”); (c) da totalidade dos direitos creditórios (incluindo receitas), presentes e/ou futuros, recebidos pela Emissora a qualquer tempo nas contas bancárias de titularidade da Emissora mantidas junto ao Itaú Unibanco S.A., na qualidade de banco depositário (“</w:t>
      </w:r>
      <w:r w:rsidRPr="00F74141">
        <w:rPr>
          <w:rFonts w:ascii="Verdana" w:hAnsi="Verdana"/>
          <w:b/>
          <w:szCs w:val="20"/>
        </w:rPr>
        <w:t>Banco Depositário</w:t>
      </w:r>
      <w:r w:rsidRPr="00F74141">
        <w:rPr>
          <w:rFonts w:ascii="Verdana" w:hAnsi="Verdana"/>
          <w:szCs w:val="20"/>
        </w:rPr>
        <w:t>”), constituídas exclusivamente para a arrecadação, distribuição e retenção dos recursos decorrentes dos Direitos Cedidos Fiduciariamente (conforme definido abaixo), nas quais serão creditados e retidos, conforme aplicável, os recebíveis decorrentes dos Direitos Creditórios, dos Direitos Emergentes e, conforme o caso, dos Direitos Adicionais (conforme definido no Contrato de Cessão Fiduciária), bem como todos e quaisquer valores e recursos que venham a ser depositados nas Contas do Projeto (conforme definido no Contrato de Cessão Fiduciária)</w:t>
      </w:r>
      <w:r w:rsidRPr="00F74141">
        <w:rPr>
          <w:rFonts w:ascii="Verdana" w:hAnsi="Verdana" w:cs="Tahoma"/>
        </w:rPr>
        <w:t xml:space="preserve">, ainda que em trânsito ou em processo de compensação bancária </w:t>
      </w:r>
      <w:r w:rsidRPr="00F74141">
        <w:rPr>
          <w:rFonts w:ascii="Verdana" w:hAnsi="Verdana"/>
          <w:szCs w:val="20"/>
        </w:rPr>
        <w:t>(“</w:t>
      </w:r>
      <w:r w:rsidRPr="00F74141">
        <w:rPr>
          <w:rFonts w:ascii="Verdana" w:hAnsi="Verdana"/>
          <w:b/>
          <w:szCs w:val="20"/>
        </w:rPr>
        <w:t>Créditos Bancários – Contas do Projeto</w:t>
      </w:r>
      <w:r w:rsidRPr="00F74141">
        <w:rPr>
          <w:rFonts w:ascii="Verdana" w:hAnsi="Verdana"/>
          <w:szCs w:val="20"/>
        </w:rPr>
        <w:t>”)</w:t>
      </w:r>
      <w:r w:rsidRPr="00F74141">
        <w:rPr>
          <w:rFonts w:ascii="Verdana" w:hAnsi="Verdana"/>
          <w:bCs/>
          <w:szCs w:val="20"/>
        </w:rPr>
        <w:t xml:space="preserve">; e (d) a totalidade dos direitos creditórios decorrentes dos Investimentos Permitidos </w:t>
      </w:r>
      <w:r w:rsidRPr="00F74141">
        <w:rPr>
          <w:rFonts w:ascii="Verdana" w:hAnsi="Verdana"/>
          <w:szCs w:val="20"/>
        </w:rPr>
        <w:t xml:space="preserve">(conforme definido no Contrato de Cessão Fiduciária) </w:t>
      </w:r>
      <w:r w:rsidRPr="00F74141">
        <w:rPr>
          <w:rFonts w:ascii="Verdana" w:hAnsi="Verdana"/>
          <w:bCs/>
          <w:szCs w:val="20"/>
        </w:rPr>
        <w:t xml:space="preserve">realizados com os recursos creditados e retidos na Conta Reserva </w:t>
      </w:r>
      <w:r w:rsidRPr="00F74141">
        <w:rPr>
          <w:rFonts w:ascii="Verdana" w:hAnsi="Verdana"/>
          <w:szCs w:val="20"/>
        </w:rPr>
        <w:t>(conforme definido no Contrato de Cessão Fiduciária)</w:t>
      </w:r>
      <w:r w:rsidRPr="00F74141">
        <w:rPr>
          <w:rFonts w:ascii="Verdana" w:hAnsi="Verdana"/>
          <w:bCs/>
          <w:szCs w:val="20"/>
        </w:rPr>
        <w:t xml:space="preserve">, incluindo aplicações financeiras, rendimentos, direitos, proventos, distribuições e demais valores recebidos ou a serem recebidos ou de qualquer outra forma distribuídos ou a serem distribuídos à Emissora, conforme aplicável, </w:t>
      </w:r>
      <w:r w:rsidRPr="00F74141">
        <w:rPr>
          <w:rFonts w:ascii="Verdana" w:hAnsi="Verdana" w:cs="Tahoma"/>
        </w:rPr>
        <w:t>ainda que em trânsito ou em processo de compensação bancária</w:t>
      </w:r>
      <w:r w:rsidRPr="00F74141">
        <w:rPr>
          <w:rFonts w:ascii="Verdana" w:hAnsi="Verdana"/>
          <w:bCs/>
          <w:szCs w:val="20"/>
        </w:rPr>
        <w:t xml:space="preserve"> </w:t>
      </w:r>
      <w:r w:rsidRPr="00F74141">
        <w:rPr>
          <w:rFonts w:ascii="Verdana" w:hAnsi="Verdana"/>
          <w:szCs w:val="20"/>
        </w:rPr>
        <w:t>(“</w:t>
      </w:r>
      <w:r w:rsidRPr="00F74141">
        <w:rPr>
          <w:rFonts w:ascii="Verdana" w:hAnsi="Verdana"/>
          <w:b/>
          <w:szCs w:val="20"/>
        </w:rPr>
        <w:t>Créditos Bancários – Investimentos Permitidos</w:t>
      </w:r>
      <w:r w:rsidRPr="00F74141">
        <w:rPr>
          <w:rFonts w:ascii="Verdana" w:hAnsi="Verdana"/>
          <w:szCs w:val="20"/>
        </w:rPr>
        <w:t>” e, em conjunto com os Créditos Bancários – Contas do Projeto, “</w:t>
      </w:r>
      <w:r w:rsidRPr="00F74141">
        <w:rPr>
          <w:rFonts w:ascii="Verdana" w:hAnsi="Verdana"/>
          <w:b/>
          <w:szCs w:val="20"/>
        </w:rPr>
        <w:t>Créditos Bancários</w:t>
      </w:r>
      <w:r w:rsidRPr="00F74141">
        <w:rPr>
          <w:rFonts w:ascii="Verdana" w:hAnsi="Verdana"/>
          <w:szCs w:val="20"/>
        </w:rPr>
        <w:t>” e, ainda, os Créditos Bancários, em conjunto com os Direitos Creditórios e os Direitos Emergentes, “</w:t>
      </w:r>
      <w:r w:rsidRPr="00F74141">
        <w:rPr>
          <w:rFonts w:ascii="Verdana" w:hAnsi="Verdana"/>
          <w:b/>
          <w:szCs w:val="20"/>
        </w:rPr>
        <w:t>Direitos Cedidos Fiduciariamente</w:t>
      </w:r>
      <w:r w:rsidRPr="00F74141">
        <w:rPr>
          <w:rFonts w:ascii="Verdana" w:hAnsi="Verdana"/>
          <w:szCs w:val="20"/>
        </w:rPr>
        <w:t>”), observado, ainda, que incorporar-se-ão automaticamente à Cessão Fiduciária de Direitos, passando, para todos os fins de direito, conforme o caso, a integrar a definição de Direitos Cedidos Fiduciariamente, quaisquer novos direitos creditórios relacionados e/ou decorrentes dos Direitos Cedidos Fiduciariamente que se tornem de titularidade da Emissora após a data de assinatura do Contrato de Cessão Fiduciária (conforme definido abaixo)</w:t>
      </w:r>
      <w:r w:rsidRPr="00F74141">
        <w:rPr>
          <w:rFonts w:ascii="Verdana" w:hAnsi="Verdana"/>
          <w:bCs/>
          <w:szCs w:val="20"/>
        </w:rPr>
        <w:t xml:space="preserve"> (“</w:t>
      </w:r>
      <w:r w:rsidRPr="00F74141">
        <w:rPr>
          <w:rFonts w:ascii="Verdana" w:hAnsi="Verdana"/>
          <w:b/>
          <w:szCs w:val="20"/>
        </w:rPr>
        <w:t>Cessão Fiduciária de Direitos</w:t>
      </w:r>
      <w:r w:rsidRPr="00F74141">
        <w:rPr>
          <w:rFonts w:ascii="Verdana" w:hAnsi="Verdana"/>
          <w:szCs w:val="20"/>
        </w:rPr>
        <w:t>”, sendo esta última quando em conjunto com a Alienação Fiduciária de Ações e a Alienação Fiduciária de Equipamento, as “</w:t>
      </w:r>
      <w:r w:rsidRPr="00F74141">
        <w:rPr>
          <w:rFonts w:ascii="Verdana" w:hAnsi="Verdana"/>
          <w:b/>
          <w:szCs w:val="20"/>
        </w:rPr>
        <w:t>Garantias Reais</w:t>
      </w:r>
      <w:r w:rsidRPr="00F74141">
        <w:rPr>
          <w:rFonts w:ascii="Verdana" w:hAnsi="Verdana"/>
          <w:szCs w:val="20"/>
        </w:rPr>
        <w:t>”), nos termos do “</w:t>
      </w:r>
      <w:r w:rsidRPr="00F74141">
        <w:rPr>
          <w:rFonts w:ascii="Verdana" w:hAnsi="Verdana"/>
          <w:i/>
          <w:szCs w:val="20"/>
        </w:rPr>
        <w:t>Instrumento Particular de Cessão Fiduciária de Direitos Creditórios, Direitos Emergentes e Contas Bancárias e Outras Avenças</w:t>
      </w:r>
      <w:r w:rsidRPr="00F74141">
        <w:rPr>
          <w:rFonts w:ascii="Verdana" w:hAnsi="Verdana"/>
          <w:szCs w:val="20"/>
        </w:rPr>
        <w:t>”, a ser celebrado entre a Emissora e o Agente Fiduciário (“</w:t>
      </w:r>
      <w:r w:rsidRPr="00F74141">
        <w:rPr>
          <w:rFonts w:ascii="Verdana" w:hAnsi="Verdana"/>
          <w:b/>
          <w:szCs w:val="20"/>
        </w:rPr>
        <w:t>Contrato de Cessão Fiduciária</w:t>
      </w:r>
      <w:r w:rsidRPr="00F74141">
        <w:rPr>
          <w:rFonts w:ascii="Verdana" w:hAnsi="Verdana"/>
          <w:szCs w:val="20"/>
        </w:rPr>
        <w:t>”), e do respectivo instrumento contratual a ser celebrado entre a Emissora e o Banco Depositário para contratação do Banco Depositário para prestação de serviços de administração de contas no âmbito da Emissão (“</w:t>
      </w:r>
      <w:r w:rsidRPr="00F74141">
        <w:rPr>
          <w:rFonts w:ascii="Verdana" w:hAnsi="Verdana"/>
          <w:b/>
          <w:szCs w:val="20"/>
        </w:rPr>
        <w:t>Contrato do Banco Depositário</w:t>
      </w:r>
      <w:r w:rsidRPr="00F74141">
        <w:rPr>
          <w:rFonts w:ascii="Verdana" w:hAnsi="Verdana"/>
          <w:szCs w:val="20"/>
        </w:rPr>
        <w:t>” e, quando em conjunto com o Contrato de Alienação Fiduciária de Ações, Contrato de Alienação Fiduciária de Equipamentos e o Contrato de Cessão Fiduciária, os “</w:t>
      </w:r>
      <w:r w:rsidRPr="00F74141">
        <w:rPr>
          <w:rFonts w:ascii="Verdana" w:hAnsi="Verdana"/>
          <w:b/>
          <w:szCs w:val="20"/>
        </w:rPr>
        <w:t>Contratos de Garantias</w:t>
      </w:r>
      <w:r w:rsidRPr="00F74141">
        <w:rPr>
          <w:rFonts w:ascii="Verdana" w:hAnsi="Verdana"/>
          <w:szCs w:val="20"/>
        </w:rPr>
        <w:t>”).</w:t>
      </w:r>
    </w:p>
    <w:p w:rsidR="00204B37" w:rsidRPr="00F74141" w:rsidRDefault="00706572">
      <w:pPr>
        <w:pStyle w:val="Level4"/>
        <w:numPr>
          <w:ilvl w:val="3"/>
          <w:numId w:val="9"/>
        </w:numPr>
        <w:tabs>
          <w:tab w:val="clear" w:pos="3941"/>
        </w:tabs>
        <w:spacing w:before="240" w:after="240" w:line="320" w:lineRule="exact"/>
        <w:ind w:left="1400" w:hanging="720"/>
        <w:rPr>
          <w:rFonts w:ascii="Verdana" w:hAnsi="Verdana"/>
          <w:szCs w:val="20"/>
        </w:rPr>
      </w:pPr>
      <w:r w:rsidRPr="00F74141">
        <w:rPr>
          <w:rFonts w:ascii="Verdana" w:hAnsi="Verdana"/>
        </w:rPr>
        <w:t xml:space="preserve">Nos termos do Contrato de Alienação Fiduciária de Ações, a eficácia da </w:t>
      </w:r>
      <w:r w:rsidRPr="00F74141">
        <w:rPr>
          <w:rFonts w:ascii="Verdana" w:hAnsi="Verdana"/>
          <w:szCs w:val="20"/>
        </w:rPr>
        <w:t xml:space="preserve">Alienação Fiduciária de Ações, exclusivamente no que diz respeito à alienação fiduciária das Ações detidas pela CEEE-GT, </w:t>
      </w:r>
      <w:r w:rsidRPr="00F74141">
        <w:rPr>
          <w:rFonts w:ascii="Verdana" w:hAnsi="Verdana"/>
        </w:rPr>
        <w:t xml:space="preserve">está condicionada, nos termos do artigo 125 do Código Civil, à obtenção, pela </w:t>
      </w:r>
      <w:r w:rsidR="00EB0230">
        <w:rPr>
          <w:rFonts w:ascii="Verdana" w:hAnsi="Verdana"/>
        </w:rPr>
        <w:t>C</w:t>
      </w:r>
      <w:bookmarkStart w:id="49" w:name="_GoBack"/>
      <w:bookmarkEnd w:id="49"/>
      <w:r w:rsidR="00EB0230">
        <w:rPr>
          <w:rFonts w:ascii="Verdana" w:hAnsi="Verdana"/>
        </w:rPr>
        <w:t>EEE-GT</w:t>
      </w:r>
      <w:r w:rsidRPr="00F74141">
        <w:rPr>
          <w:rFonts w:ascii="Verdana" w:hAnsi="Verdana"/>
        </w:rPr>
        <w:t xml:space="preserve">, </w:t>
      </w:r>
      <w:r w:rsidRPr="00F74141">
        <w:rPr>
          <w:rFonts w:ascii="Verdana" w:hAnsi="Verdana"/>
          <w:szCs w:val="20"/>
        </w:rPr>
        <w:t>de anuência do Banco Nacional de Desenvolvimento Econômico e Social – BNDES (“</w:t>
      </w:r>
      <w:r w:rsidRPr="00F74141">
        <w:rPr>
          <w:rFonts w:ascii="Verdana" w:hAnsi="Verdana"/>
          <w:b/>
          <w:szCs w:val="20"/>
        </w:rPr>
        <w:t>BNDES</w:t>
      </w:r>
      <w:r w:rsidRPr="00F74141">
        <w:rPr>
          <w:rFonts w:ascii="Verdana" w:hAnsi="Verdana"/>
          <w:szCs w:val="20"/>
        </w:rPr>
        <w:t>”) para alienação fiduciária das Ações detidas pela CEEE-GT, conforme exigido nos termos do “</w:t>
      </w:r>
      <w:r w:rsidRPr="00F74141">
        <w:rPr>
          <w:rFonts w:ascii="Verdana" w:hAnsi="Verdana"/>
          <w:i/>
          <w:szCs w:val="20"/>
        </w:rPr>
        <w:t>Contrato de Financiamento Mediante Abertura de Crédito nº 12.2.1391.1</w:t>
      </w:r>
      <w:r w:rsidRPr="00F74141">
        <w:rPr>
          <w:rFonts w:ascii="Verdana" w:hAnsi="Verdana"/>
          <w:szCs w:val="20"/>
        </w:rPr>
        <w:t>”, celebrado entre a CEEE-GT e o BNDES em 27 de dezembro de 2012, conforme alterado (“</w:t>
      </w:r>
      <w:r w:rsidRPr="00F74141">
        <w:rPr>
          <w:rFonts w:ascii="Verdana" w:hAnsi="Verdana"/>
          <w:b/>
          <w:szCs w:val="20"/>
        </w:rPr>
        <w:t>Condição Suspensiva – BNDES</w:t>
      </w:r>
      <w:r w:rsidRPr="00F74141">
        <w:rPr>
          <w:rFonts w:ascii="Verdana" w:hAnsi="Verdana"/>
          <w:szCs w:val="20"/>
        </w:rPr>
        <w:t>”).</w:t>
      </w:r>
    </w:p>
    <w:p w:rsidR="00204B37" w:rsidRPr="00F74141" w:rsidRDefault="00706572">
      <w:pPr>
        <w:pStyle w:val="Level4"/>
        <w:numPr>
          <w:ilvl w:val="3"/>
          <w:numId w:val="9"/>
        </w:numPr>
        <w:tabs>
          <w:tab w:val="clear" w:pos="3941"/>
        </w:tabs>
        <w:spacing w:before="240" w:after="240" w:line="320" w:lineRule="exact"/>
        <w:ind w:left="1400" w:hanging="720"/>
        <w:rPr>
          <w:rFonts w:ascii="Verdana" w:hAnsi="Verdana"/>
          <w:szCs w:val="20"/>
        </w:rPr>
      </w:pPr>
      <w:r w:rsidRPr="00F74141">
        <w:rPr>
          <w:rFonts w:ascii="Verdana" w:hAnsi="Verdana"/>
        </w:rPr>
        <w:t xml:space="preserve">Nos termos do Contrato de Cessão Fiduciária, a eficácia da Cessão Fiduciária de Direitos está condicionada, nos termos do artigo 125 do Código Civil, à obtenção, pela Emissora, de anuência da Eletrobrás para cessão e oneração dos direitos creditórios decorrentes dos </w:t>
      </w:r>
      <w:proofErr w:type="spellStart"/>
      <w:r w:rsidRPr="00F74141">
        <w:rPr>
          <w:rFonts w:ascii="Verdana" w:hAnsi="Verdana"/>
        </w:rPr>
        <w:t>CCVEs</w:t>
      </w:r>
      <w:proofErr w:type="spellEnd"/>
      <w:r w:rsidRPr="00F74141">
        <w:rPr>
          <w:rFonts w:ascii="Verdana" w:hAnsi="Verdana"/>
        </w:rPr>
        <w:t xml:space="preserve">, conforme exigido nos termos da Cláusula 20 dos </w:t>
      </w:r>
      <w:proofErr w:type="spellStart"/>
      <w:r w:rsidRPr="00F74141">
        <w:rPr>
          <w:rFonts w:ascii="Verdana" w:hAnsi="Verdana"/>
        </w:rPr>
        <w:t>CCVEs</w:t>
      </w:r>
      <w:proofErr w:type="spellEnd"/>
      <w:r w:rsidRPr="00F74141">
        <w:rPr>
          <w:rFonts w:ascii="Verdana" w:hAnsi="Verdana"/>
        </w:rPr>
        <w:t xml:space="preserve"> (“</w:t>
      </w:r>
      <w:r w:rsidRPr="00F74141">
        <w:rPr>
          <w:rFonts w:ascii="Verdana" w:hAnsi="Verdana"/>
          <w:b/>
        </w:rPr>
        <w:t>Condição Suspensiva – Eletrobrás</w:t>
      </w:r>
      <w:r w:rsidRPr="00F74141">
        <w:rPr>
          <w:rFonts w:ascii="Verdana" w:hAnsi="Verdana"/>
        </w:rPr>
        <w:t>”)</w:t>
      </w:r>
      <w:r w:rsidRPr="00F74141">
        <w:rPr>
          <w:rFonts w:ascii="Verdana" w:hAnsi="Verdana"/>
          <w:szCs w:val="20"/>
        </w:rPr>
        <w:t>.</w:t>
      </w:r>
    </w:p>
    <w:p w:rsidR="00204B37" w:rsidRPr="00F74141" w:rsidRDefault="00706572">
      <w:pPr>
        <w:pStyle w:val="Level4"/>
        <w:numPr>
          <w:ilvl w:val="3"/>
          <w:numId w:val="9"/>
        </w:numPr>
        <w:tabs>
          <w:tab w:val="clear" w:pos="3941"/>
        </w:tabs>
        <w:spacing w:before="240" w:after="240" w:line="320" w:lineRule="exact"/>
        <w:ind w:left="1400" w:hanging="720"/>
        <w:rPr>
          <w:rFonts w:ascii="Verdana" w:hAnsi="Verdana"/>
          <w:szCs w:val="20"/>
        </w:rPr>
      </w:pPr>
      <w:r w:rsidRPr="00F74141">
        <w:rPr>
          <w:rFonts w:ascii="Verdana" w:hAnsi="Verdana"/>
          <w:szCs w:val="20"/>
        </w:rPr>
        <w:t>Para todos os fins da presente Escritura de Emissão, do Contrato de Alienação Fiduciária de Ações e do Contrato de Cessão Fiduciária: (i) a implementação da Condição Suspensiva – BNDES será comprovada pela Emissora por meio da apresentação ao Agente Fiduciário de cópia eletrônica (PDF) do instrumento por meio do qual o BNDES venha a formalizar sua concordância com a alienação fiduciária das Ações detidas pela CEEE-GT, e (</w:t>
      </w:r>
      <w:proofErr w:type="spellStart"/>
      <w:r w:rsidRPr="00F74141">
        <w:rPr>
          <w:rFonts w:ascii="Verdana" w:hAnsi="Verdana"/>
          <w:szCs w:val="20"/>
        </w:rPr>
        <w:t>ii</w:t>
      </w:r>
      <w:proofErr w:type="spellEnd"/>
      <w:r w:rsidRPr="00F74141">
        <w:rPr>
          <w:rFonts w:ascii="Verdana" w:hAnsi="Verdana"/>
          <w:szCs w:val="20"/>
        </w:rPr>
        <w:t xml:space="preserve">) a implementação da Condição Suspensiva – Eletrobrás será comprovada pela Emissora por meio da apresentação ao Agente Fiduciário de cópia eletrônica (PDF) do instrumento por meio do qual a Eletrobrás venha a formalizar sua concordância com a </w:t>
      </w:r>
      <w:r w:rsidRPr="00F74141">
        <w:rPr>
          <w:rFonts w:ascii="Verdana" w:hAnsi="Verdana"/>
        </w:rPr>
        <w:t xml:space="preserve">cessão e oneração dos direitos creditórios decorrentes dos </w:t>
      </w:r>
      <w:proofErr w:type="spellStart"/>
      <w:r w:rsidRPr="00F74141">
        <w:rPr>
          <w:rFonts w:ascii="Verdana" w:hAnsi="Verdana"/>
        </w:rPr>
        <w:t>CCVEs</w:t>
      </w:r>
      <w:proofErr w:type="spellEnd"/>
      <w:r w:rsidRPr="00F74141">
        <w:rPr>
          <w:rFonts w:ascii="Verdana" w:hAnsi="Verdana"/>
        </w:rPr>
        <w:t>.</w:t>
      </w:r>
    </w:p>
    <w:bookmarkEnd w:id="45"/>
    <w:p w:rsidR="00204B37" w:rsidRPr="00F74141" w:rsidRDefault="00706572">
      <w:pPr>
        <w:pStyle w:val="Level2"/>
        <w:keepNext/>
        <w:numPr>
          <w:ilvl w:val="1"/>
          <w:numId w:val="9"/>
        </w:numPr>
        <w:spacing w:before="240" w:after="240" w:line="320" w:lineRule="exact"/>
        <w:ind w:left="1389"/>
        <w:rPr>
          <w:rFonts w:ascii="Verdana" w:hAnsi="Verdana"/>
          <w:b/>
          <w:szCs w:val="20"/>
        </w:rPr>
      </w:pPr>
      <w:r w:rsidRPr="00F74141">
        <w:rPr>
          <w:rFonts w:ascii="Verdana" w:hAnsi="Verdana"/>
          <w:b/>
          <w:szCs w:val="20"/>
        </w:rPr>
        <w:t>Disposições Comuns às Garantias</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As disposições relativas às garantias aqui estabelecidas estão descritas nos Contratos de Garantias, que, quando celebrados, serão parte integrante, complementar e inseparável desta Escritura de Emissão.</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As garantias referidas acima serão outorgadas em caráter irrevogável e irretratável pela Emissora, vigendo até a integral liquidação das Debêntures, nos termos dos Contratos de Garantias, desta Escritura de Emissão e dos demais instrumentos jurídicos competentes à formalização das garantias.</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 xml:space="preserve">Todas as formalidades necessárias à constituição das garantias serão realizadas até a Data da Primeira Integralização, nos termos dos Contratos de Garantias e do artigo 290 do </w:t>
      </w:r>
      <w:r w:rsidRPr="00F74141">
        <w:rPr>
          <w:rFonts w:ascii="Verdana" w:hAnsi="Verdana"/>
          <w:szCs w:val="20"/>
          <w:shd w:val="clear" w:color="auto" w:fill="FFFFFF"/>
        </w:rPr>
        <w:t>Código Civil</w:t>
      </w:r>
      <w:r w:rsidRPr="00F74141">
        <w:rPr>
          <w:rFonts w:ascii="Verdana" w:hAnsi="Verdana"/>
          <w:szCs w:val="20"/>
        </w:rPr>
        <w:t>, conforme aplicável.</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Fica certo e ajustado o caráter não excludente, mas cumulativo entre si, das garantias prestadas nos termos desta Escritura de Emissão e dos Contratos de Garantias, podendo o Agente Fiduciário executar ou excutir todas ou cada uma delas indiscriminadamente, para os fins de amortizar ou quitar as Obrigações Garantidas, sem que seja necessária qualquer medida adicional por parte do Agente Fiduciário para tanto.</w:t>
      </w:r>
    </w:p>
    <w:p w:rsidR="00204B37" w:rsidRPr="00F74141" w:rsidRDefault="00706572">
      <w:pPr>
        <w:pStyle w:val="Level1"/>
        <w:numPr>
          <w:ilvl w:val="0"/>
          <w:numId w:val="9"/>
        </w:numPr>
        <w:spacing w:before="240" w:after="240" w:line="320" w:lineRule="exact"/>
        <w:rPr>
          <w:rFonts w:ascii="Verdana" w:eastAsia="TT108t00" w:hAnsi="Verdana"/>
          <w:sz w:val="20"/>
          <w:szCs w:val="20"/>
        </w:rPr>
      </w:pPr>
      <w:r w:rsidRPr="00F74141">
        <w:rPr>
          <w:rFonts w:ascii="Verdana" w:eastAsia="TT108t00" w:hAnsi="Verdana"/>
          <w:sz w:val="20"/>
          <w:szCs w:val="20"/>
        </w:rPr>
        <w:t>EVENTOS DE VENCIMENTO ANTECIPADO</w:t>
      </w:r>
      <w:bookmarkEnd w:id="46"/>
      <w:bookmarkEnd w:id="47"/>
    </w:p>
    <w:p w:rsidR="00204B37" w:rsidRPr="00F74141" w:rsidRDefault="00706572">
      <w:pPr>
        <w:pStyle w:val="Level2"/>
        <w:keepNext/>
        <w:numPr>
          <w:ilvl w:val="1"/>
          <w:numId w:val="9"/>
        </w:numPr>
        <w:spacing w:before="240" w:after="240" w:line="320" w:lineRule="exact"/>
        <w:rPr>
          <w:rFonts w:ascii="Verdana" w:hAnsi="Verdana"/>
          <w:b/>
          <w:szCs w:val="20"/>
        </w:rPr>
      </w:pPr>
      <w:bookmarkStart w:id="50" w:name="_Ref428809726"/>
      <w:r w:rsidRPr="00F74141">
        <w:rPr>
          <w:rFonts w:ascii="Verdana" w:hAnsi="Verdana"/>
          <w:b/>
          <w:szCs w:val="20"/>
        </w:rPr>
        <w:t>Vencimento Antecipado de Declaração Automática</w:t>
      </w:r>
      <w:bookmarkEnd w:id="50"/>
    </w:p>
    <w:p w:rsidR="00204B37" w:rsidRPr="00F74141" w:rsidRDefault="00706572">
      <w:pPr>
        <w:pStyle w:val="Level3"/>
        <w:numPr>
          <w:ilvl w:val="2"/>
          <w:numId w:val="9"/>
        </w:numPr>
        <w:spacing w:before="240" w:after="240" w:line="320" w:lineRule="exact"/>
        <w:rPr>
          <w:rFonts w:ascii="Verdana" w:hAnsi="Verdana"/>
          <w:szCs w:val="20"/>
        </w:rPr>
      </w:pPr>
      <w:bookmarkStart w:id="51" w:name="_Ref420336741"/>
      <w:r w:rsidRPr="00F74141">
        <w:rPr>
          <w:rFonts w:ascii="Verdana" w:hAnsi="Verdana"/>
          <w:szCs w:val="20"/>
        </w:rPr>
        <w:t xml:space="preserve">O Agente Fiduciário deverá, automaticamente, considerar antecipadamente vencidas e imediatamente exigíveis, observados os prazos de cura estabelecidos individualmente nos subitens abaixo, quando for o caso, independentemente de aviso, notificação ou interpelação judicial ou extrajudicial, todas as obrigações da Emissora referentes às Debêntures e exigirá da Emissora o pagamento imediato do saldo do Valor Nominal Unitário das Debêntures da Primeira Série e do Valor Nominal Unitário Atualizado das Debêntures da Segunda Série, conforme o caso, acrescidos dos respectivos Juros Remuneratórios, calculados </w:t>
      </w:r>
      <w:r w:rsidRPr="00F74141">
        <w:rPr>
          <w:rFonts w:ascii="Verdana" w:hAnsi="Verdana"/>
          <w:i/>
          <w:iCs/>
          <w:szCs w:val="20"/>
        </w:rPr>
        <w:t xml:space="preserve">pro rata </w:t>
      </w:r>
      <w:proofErr w:type="spellStart"/>
      <w:r w:rsidRPr="00F74141">
        <w:rPr>
          <w:rFonts w:ascii="Verdana" w:hAnsi="Verdana"/>
          <w:i/>
          <w:iCs/>
          <w:szCs w:val="20"/>
        </w:rPr>
        <w:t>temporis</w:t>
      </w:r>
      <w:proofErr w:type="spellEnd"/>
      <w:r w:rsidRPr="00F74141">
        <w:rPr>
          <w:rFonts w:ascii="Verdana" w:hAnsi="Verdana"/>
          <w:i/>
          <w:iCs/>
          <w:szCs w:val="20"/>
        </w:rPr>
        <w:t xml:space="preserve"> </w:t>
      </w:r>
      <w:r w:rsidRPr="00F74141">
        <w:rPr>
          <w:rFonts w:ascii="Verdana" w:hAnsi="Verdana"/>
          <w:iCs/>
          <w:szCs w:val="20"/>
        </w:rPr>
        <w:t xml:space="preserve">desde a </w:t>
      </w:r>
      <w:r w:rsidRPr="00F74141">
        <w:rPr>
          <w:rFonts w:ascii="Verdana" w:hAnsi="Verdana"/>
          <w:szCs w:val="20"/>
        </w:rPr>
        <w:t>Data da Primeira Integralização</w:t>
      </w:r>
      <w:r w:rsidRPr="00F74141">
        <w:rPr>
          <w:rFonts w:ascii="Verdana" w:hAnsi="Verdana"/>
          <w:iCs/>
          <w:szCs w:val="20"/>
        </w:rPr>
        <w:t xml:space="preserve"> (ou </w:t>
      </w:r>
      <w:r w:rsidRPr="00F74141">
        <w:rPr>
          <w:rFonts w:ascii="Verdana" w:hAnsi="Verdana"/>
        </w:rPr>
        <w:t xml:space="preserve">a última Data de Pagamento dos Juros Remuneratórios, conforme aplicável) </w:t>
      </w:r>
      <w:r w:rsidRPr="00F74141">
        <w:rPr>
          <w:rFonts w:ascii="Verdana" w:hAnsi="Verdana"/>
          <w:iCs/>
          <w:szCs w:val="20"/>
        </w:rPr>
        <w:t xml:space="preserve">até a </w:t>
      </w:r>
      <w:r w:rsidRPr="00F74141">
        <w:rPr>
          <w:rFonts w:ascii="Verdana" w:hAnsi="Verdana"/>
          <w:szCs w:val="20"/>
        </w:rPr>
        <w:t>data do efetivo pagamento, conforme o disposto nesta Escritura de Emissão, dos Encargos Moratórios, se houver, e de quaisquer outros valores eventualmente devidos pela Emissora nos termos desta Escritura de Emissão, na data em que tomar ciência da ocorrência de qualquer uma das seguintes hipóteses (“</w:t>
      </w:r>
      <w:r w:rsidRPr="00F74141">
        <w:rPr>
          <w:rFonts w:ascii="Verdana" w:hAnsi="Verdana"/>
          <w:b/>
          <w:szCs w:val="20"/>
        </w:rPr>
        <w:t>Eventos de Vencimento Antecipado de Declaração Automática</w:t>
      </w:r>
      <w:r w:rsidRPr="00F74141">
        <w:rPr>
          <w:rFonts w:ascii="Verdana" w:hAnsi="Verdana"/>
          <w:szCs w:val="20"/>
        </w:rPr>
        <w:t>”):</w:t>
      </w:r>
      <w:bookmarkEnd w:id="51"/>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52" w:name="_Ref164238998"/>
      <w:bookmarkStart w:id="53" w:name="_Ref149033996"/>
      <w:bookmarkStart w:id="54" w:name="_Ref137475231"/>
      <w:bookmarkStart w:id="55" w:name="_Ref130283570"/>
      <w:bookmarkStart w:id="56" w:name="_Ref130301134"/>
      <w:bookmarkStart w:id="57" w:name="_Ref137104995"/>
      <w:bookmarkStart w:id="58" w:name="_Ref137475230"/>
      <w:r w:rsidRPr="00F74141">
        <w:rPr>
          <w:rFonts w:ascii="Verdana" w:hAnsi="Verdana"/>
          <w:szCs w:val="20"/>
        </w:rPr>
        <w:t xml:space="preserve">inadimplemento, pela Emissora, de qualquer obrigação pecuniária relativa </w:t>
      </w:r>
      <w:bookmarkStart w:id="59" w:name="_DV_C491"/>
      <w:bookmarkStart w:id="60" w:name="_DV_X496"/>
      <w:r w:rsidRPr="00F74141">
        <w:rPr>
          <w:rFonts w:ascii="Verdana" w:hAnsi="Verdana"/>
          <w:szCs w:val="20"/>
        </w:rPr>
        <w:t>às Debêntures e/ou prevista nesta Escritura de Emissão</w:t>
      </w:r>
      <w:bookmarkEnd w:id="59"/>
      <w:bookmarkEnd w:id="60"/>
      <w:r w:rsidRPr="00F74141">
        <w:rPr>
          <w:rFonts w:ascii="Verdana" w:hAnsi="Verdana"/>
          <w:szCs w:val="20"/>
        </w:rPr>
        <w:t>, na respectiva data de pagamento prevista nesta Escritura de Emissão, desde que não devidamente sanado no prazo de 2 (dois) Dias Úteis contados da data do respectivo inadimplemento;</w:t>
      </w:r>
      <w:bookmarkEnd w:id="52"/>
      <w:bookmarkEnd w:id="53"/>
      <w:bookmarkEnd w:id="54"/>
      <w:r w:rsidRPr="00F74141">
        <w:rPr>
          <w:rFonts w:ascii="Verdana" w:hAnsi="Verdana"/>
          <w:szCs w:val="20"/>
        </w:rPr>
        <w:t xml:space="preserve"> </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61" w:name="_Ref273672022"/>
      <w:bookmarkStart w:id="62" w:name="_Ref272253565"/>
      <w:bookmarkStart w:id="63" w:name="_Ref328666820"/>
      <w:bookmarkStart w:id="64" w:name="_Ref137104988"/>
      <w:bookmarkStart w:id="65" w:name="_Ref149034057"/>
      <w:bookmarkStart w:id="66" w:name="_Ref264563274"/>
      <w:bookmarkStart w:id="67" w:name="_Ref164238959"/>
      <w:bookmarkStart w:id="68" w:name="_Ref137105000"/>
      <w:bookmarkStart w:id="69" w:name="_Ref164238965"/>
      <w:bookmarkStart w:id="70" w:name="_Ref152389657"/>
      <w:bookmarkStart w:id="71" w:name="_Ref164238994"/>
      <w:bookmarkStart w:id="72" w:name="_Ref149034055"/>
      <w:bookmarkStart w:id="73" w:name="_Ref264657534"/>
      <w:r w:rsidRPr="00F74141">
        <w:rPr>
          <w:rFonts w:ascii="Verdana" w:hAnsi="Verdana"/>
          <w:szCs w:val="20"/>
        </w:rPr>
        <w:t>se esta Escritura e/ou qualquer dos Contratos de Garantias ou qualquer uma de suas respectivas disposições substanciais e/ou seus aditamentos forem declarados inválidos, nulos, ineficazes ou inexequíveis conforme decisão judicial de exigibilidade imediata, sendo certo que não será considerado um descumprimento desta Cláusula somente (a) se o efeito suspensivo for obtido em até 15 (quinze) Dias Úteis contados da data de publicação da respectiva decisão judicial; e (b) enquanto perdurar tal efeito suspensivo;</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74" w:name="_Ref282594913"/>
      <w:bookmarkEnd w:id="61"/>
      <w:r w:rsidRPr="00F74141">
        <w:rPr>
          <w:rFonts w:ascii="Verdana" w:hAnsi="Verdana"/>
          <w:szCs w:val="20"/>
        </w:rPr>
        <w:t>questionamento judicial, pela Emissora, pelos Acionistas, por qualquer sociedade controlada pela Emissora (conforme definição de controle prevista no artigo 116 da Lei das Sociedades por Ações) (“</w:t>
      </w:r>
      <w:r w:rsidRPr="00F74141">
        <w:rPr>
          <w:rFonts w:ascii="Verdana" w:hAnsi="Verdana"/>
          <w:b/>
          <w:szCs w:val="20"/>
        </w:rPr>
        <w:t>Controlada</w:t>
      </w:r>
      <w:r w:rsidRPr="00F74141">
        <w:rPr>
          <w:rFonts w:ascii="Verdana" w:hAnsi="Verdana"/>
          <w:szCs w:val="20"/>
        </w:rPr>
        <w:t>”), e/ou por qualquer coligada da Emissora, sobre a validade e/ou exequibilidade desta Escritura de Emissão e/ou dos Contratos de Garantias;</w:t>
      </w:r>
      <w:bookmarkEnd w:id="74"/>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75" w:name="_Ref328666560"/>
      <w:r w:rsidRPr="00F74141">
        <w:rPr>
          <w:rFonts w:ascii="Verdana" w:hAnsi="Verdana"/>
          <w:szCs w:val="20"/>
        </w:rPr>
        <w:t xml:space="preserve">qualquer forma de transferência ou qualquer forma de cessão ou promessa de cessão a terceiros, no todo ou em parte, pela Emissora das obrigações assumidas nesta Escritura de Emissão e/ou nos Contratos de Garantias, sem a prévia anuência de Debenturistas nos termos da Cláusula </w:t>
      </w:r>
      <w:r w:rsidRPr="00F74141">
        <w:rPr>
          <w:rFonts w:ascii="Verdana" w:hAnsi="Verdana"/>
          <w:szCs w:val="20"/>
        </w:rPr>
        <w:fldChar w:fldCharType="begin"/>
      </w:r>
      <w:r w:rsidRPr="00F74141">
        <w:rPr>
          <w:rFonts w:ascii="Verdana" w:hAnsi="Verdana"/>
          <w:szCs w:val="20"/>
        </w:rPr>
        <w:instrText xml:space="preserve"> REF _Ref474858914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9.10</w:t>
      </w:r>
      <w:r w:rsidRPr="00F74141">
        <w:rPr>
          <w:rFonts w:ascii="Verdana" w:hAnsi="Verdana"/>
          <w:szCs w:val="20"/>
        </w:rPr>
        <w:fldChar w:fldCharType="end"/>
      </w:r>
      <w:r w:rsidRPr="00F74141">
        <w:rPr>
          <w:rFonts w:ascii="Verdana" w:hAnsi="Verdana"/>
          <w:szCs w:val="20"/>
        </w:rPr>
        <w:t xml:space="preserve"> </w:t>
      </w:r>
      <w:r w:rsidRPr="00F74141">
        <w:rPr>
          <w:rFonts w:ascii="Verdana" w:hAnsi="Verdana"/>
          <w:szCs w:val="20"/>
        </w:rPr>
        <w:fldChar w:fldCharType="begin"/>
      </w:r>
      <w:r w:rsidRPr="00F74141">
        <w:rPr>
          <w:rFonts w:ascii="Verdana" w:hAnsi="Verdana"/>
          <w:szCs w:val="20"/>
        </w:rPr>
        <w:instrText xml:space="preserve"> REF _Ref420594287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iii</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w:t>
      </w:r>
      <w:bookmarkEnd w:id="75"/>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r w:rsidRPr="00F74141">
        <w:rPr>
          <w:rFonts w:ascii="Verdana" w:hAnsi="Verdana"/>
          <w:szCs w:val="20"/>
        </w:rPr>
        <w:t>(a) liquidação, dissolução ou extinção da Emissora e/ou da Rio Sul; (b) decretação de falência da Emissora e/ou da Rio Sul; (c) pedido de autofalência formulado pela Emissora e/ou pela da Rio Sul; (d) pedido de falência da Emissora e/ou Rio Sul, formulado por terceiros, não elidido no prazo legal; ou (e) pedido de recuperação judicial ou de recuperação extrajudicial da Emissora e/ou dos Acionistas independentemente do deferimento do respectivo pedido</w:t>
      </w:r>
      <w:bookmarkEnd w:id="62"/>
      <w:r w:rsidRPr="00F74141">
        <w:rPr>
          <w:rFonts w:ascii="Verdana" w:hAnsi="Verdana"/>
          <w:szCs w:val="20"/>
        </w:rPr>
        <w:t>;</w:t>
      </w:r>
      <w:bookmarkEnd w:id="63"/>
      <w:r w:rsidRPr="00F74141">
        <w:rPr>
          <w:rFonts w:ascii="Verdana" w:hAnsi="Verdana"/>
          <w:szCs w:val="20"/>
        </w:rPr>
        <w:t xml:space="preserve"> e (f) submissão e/ou proposta a qualquer credor ou classe de credores de pedido de negociação de plano de recuperação extrajudicial (ou procedimento equivalente em qualquer outra jurisdição) formulado pela Emissora e/ou pelos Acionistas, independentemente de ter sido requerida ou obtida homologação judicial do referido plano;</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76" w:name="_Ref328666840"/>
      <w:bookmarkEnd w:id="64"/>
      <w:r w:rsidRPr="00F74141">
        <w:rPr>
          <w:rFonts w:ascii="Verdana" w:hAnsi="Verdana"/>
          <w:szCs w:val="20"/>
        </w:rPr>
        <w:t>transformação da forma societária da Emissora de modo que ela deixe de ser uma sociedade por ações, nos termos dos artigos 220 a 222 da Lei das Sociedades por Ações</w:t>
      </w:r>
      <w:bookmarkEnd w:id="65"/>
      <w:bookmarkEnd w:id="66"/>
      <w:bookmarkEnd w:id="67"/>
      <w:bookmarkEnd w:id="76"/>
      <w:r w:rsidRPr="00F74141">
        <w:rPr>
          <w:rFonts w:ascii="Verdana" w:hAnsi="Verdana"/>
          <w:szCs w:val="20"/>
        </w:rPr>
        <w:t>;</w:t>
      </w:r>
    </w:p>
    <w:p w:rsidR="00204B37" w:rsidRPr="00F74141" w:rsidRDefault="00706572">
      <w:pPr>
        <w:pStyle w:val="Level4"/>
        <w:numPr>
          <w:ilvl w:val="3"/>
          <w:numId w:val="11"/>
        </w:numPr>
        <w:tabs>
          <w:tab w:val="clear" w:pos="3941"/>
        </w:tabs>
        <w:spacing w:before="240" w:after="240" w:line="320" w:lineRule="exact"/>
        <w:ind w:left="1843"/>
        <w:rPr>
          <w:rFonts w:ascii="Verdana" w:hAnsi="Verdana" w:cs="Tahoma"/>
          <w:szCs w:val="20"/>
        </w:rPr>
      </w:pPr>
      <w:bookmarkStart w:id="77" w:name="_Ref456387856"/>
      <w:r w:rsidRPr="00F74141">
        <w:rPr>
          <w:rFonts w:ascii="Verdana" w:eastAsia="Arial Unicode MS" w:hAnsi="Verdana" w:cs="Tahoma"/>
          <w:szCs w:val="20"/>
        </w:rPr>
        <w:t xml:space="preserve">celebração de contratos de mútuo pela Emissora, nos quais a Emissora figure na qualidade de mutuante, </w:t>
      </w:r>
      <w:r w:rsidRPr="00F74141">
        <w:rPr>
          <w:rFonts w:ascii="Verdana" w:hAnsi="Verdana"/>
          <w:szCs w:val="20"/>
        </w:rPr>
        <w:t xml:space="preserve">sem a prévia anuência de Debenturistas nos termos da Cláusula </w:t>
      </w:r>
      <w:r w:rsidRPr="00F74141">
        <w:rPr>
          <w:rFonts w:ascii="Verdana" w:hAnsi="Verdana"/>
          <w:szCs w:val="20"/>
        </w:rPr>
        <w:fldChar w:fldCharType="begin"/>
      </w:r>
      <w:r w:rsidRPr="00F74141">
        <w:rPr>
          <w:rFonts w:ascii="Verdana" w:hAnsi="Verdana"/>
          <w:szCs w:val="20"/>
        </w:rPr>
        <w:instrText xml:space="preserve"> REF _Ref474858914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9.10</w:t>
      </w:r>
      <w:r w:rsidRPr="00F74141">
        <w:rPr>
          <w:rFonts w:ascii="Verdana" w:hAnsi="Verdana"/>
          <w:szCs w:val="20"/>
        </w:rPr>
        <w:fldChar w:fldCharType="end"/>
      </w:r>
      <w:r w:rsidRPr="00F74141">
        <w:rPr>
          <w:rFonts w:ascii="Verdana" w:hAnsi="Verdana"/>
          <w:szCs w:val="20"/>
        </w:rPr>
        <w:t xml:space="preserve"> </w:t>
      </w:r>
      <w:r w:rsidRPr="00F74141">
        <w:rPr>
          <w:rFonts w:ascii="Verdana" w:hAnsi="Verdana"/>
          <w:szCs w:val="20"/>
        </w:rPr>
        <w:fldChar w:fldCharType="begin"/>
      </w:r>
      <w:r w:rsidRPr="00F74141">
        <w:rPr>
          <w:rFonts w:ascii="Verdana" w:hAnsi="Verdana"/>
          <w:szCs w:val="20"/>
        </w:rPr>
        <w:instrText xml:space="preserve"> REF _Ref420594287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iii</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w:t>
      </w:r>
      <w:r w:rsidRPr="00F74141">
        <w:rPr>
          <w:rFonts w:ascii="Verdana" w:eastAsia="Arial Unicode MS" w:hAnsi="Verdana" w:cs="Tahoma"/>
          <w:szCs w:val="20"/>
        </w:rPr>
        <w:t xml:space="preserve"> exceto caso o mútuo seja concedido aos Acionistas e não supere, em conjunto com eventuais </w:t>
      </w:r>
      <w:r w:rsidRPr="00F74141">
        <w:rPr>
          <w:rFonts w:ascii="Verdana" w:hAnsi="Verdana"/>
          <w:szCs w:val="20"/>
        </w:rPr>
        <w:t>distribuições de lucros ou dividendos aos Acionistas, Reduções de Capital Previamente Aprovadas e cancelamentos de adiantamento a futuro aporte de capital, o montante agregado de R$325.000.000,00 (trezentos e vinte e cinco milhões de reais)</w:t>
      </w:r>
      <w:bookmarkEnd w:id="77"/>
      <w:r w:rsidRPr="00F74141">
        <w:rPr>
          <w:rFonts w:ascii="Verdana" w:eastAsia="Arial Unicode MS" w:hAnsi="Verdana" w:cs="Tahoma"/>
          <w:szCs w:val="20"/>
        </w:rPr>
        <w:t>;</w:t>
      </w:r>
    </w:p>
    <w:p w:rsidR="00204B37" w:rsidRPr="00F74141" w:rsidRDefault="00706572">
      <w:pPr>
        <w:pStyle w:val="Level4"/>
        <w:numPr>
          <w:ilvl w:val="3"/>
          <w:numId w:val="11"/>
        </w:numPr>
        <w:tabs>
          <w:tab w:val="clear" w:pos="3941"/>
        </w:tabs>
        <w:spacing w:before="240" w:after="240" w:line="320" w:lineRule="exact"/>
        <w:ind w:left="1843"/>
        <w:rPr>
          <w:rFonts w:ascii="Verdana" w:eastAsia="Arial Unicode MS" w:hAnsi="Verdana" w:cs="Tahoma"/>
          <w:szCs w:val="20"/>
        </w:rPr>
      </w:pPr>
      <w:bookmarkStart w:id="78" w:name="_Ref456388448"/>
      <w:r w:rsidRPr="00F74141">
        <w:rPr>
          <w:rFonts w:ascii="Verdana" w:eastAsia="Arial Unicode MS" w:hAnsi="Verdana" w:cs="Tahoma"/>
          <w:szCs w:val="20"/>
        </w:rPr>
        <w:t>constituição, a qualquer tempo, de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 (“</w:t>
      </w:r>
      <w:r w:rsidRPr="00F74141">
        <w:rPr>
          <w:rFonts w:ascii="Verdana" w:eastAsia="Arial Unicode MS" w:hAnsi="Verdana" w:cs="Tahoma"/>
          <w:b/>
          <w:szCs w:val="20"/>
        </w:rPr>
        <w:t>Ônus</w:t>
      </w:r>
      <w:r w:rsidRPr="00F74141">
        <w:rPr>
          <w:rFonts w:ascii="Verdana" w:eastAsia="Arial Unicode MS" w:hAnsi="Verdana" w:cs="Tahoma"/>
          <w:szCs w:val="20"/>
        </w:rPr>
        <w:t xml:space="preserve">”) sobre (a) os bens ou direitos objeto das Garantias Reais constituídas em favor dos Debenturistas, (b) os ativos da Emissora necessários à plena operação e adequada manutenção dos Projetos, ainda que não onerados expressamente no âmbito dos instrumentos contratuais das Garantias Reais, (c) </w:t>
      </w:r>
      <w:r w:rsidRPr="00F74141">
        <w:rPr>
          <w:rFonts w:ascii="Verdana" w:hAnsi="Verdana"/>
          <w:szCs w:val="20"/>
        </w:rPr>
        <w:t xml:space="preserve">os direitos da Emissora decorrentes dos contratos de arrendamento e exploração da superfície na qual estão localizados os Projetos, (d) os direitos creditórios decorrentes de quaisquer contratos de operação e manutenção celebrados pela Emissora em relação aos Projetos, e (e) os direitos creditórios decorrentes de quaisquer seguros contratados pela Emissora em relação aos Projetos, </w:t>
      </w:r>
      <w:r w:rsidRPr="00F74141">
        <w:rPr>
          <w:rFonts w:ascii="Verdana" w:eastAsia="Arial Unicode MS" w:hAnsi="Verdana" w:cs="Tahoma"/>
          <w:szCs w:val="20"/>
        </w:rPr>
        <w:t xml:space="preserve">ainda que sob condição suspensiva, </w:t>
      </w:r>
      <w:r w:rsidRPr="00F74141">
        <w:rPr>
          <w:rFonts w:ascii="Verdana" w:hAnsi="Verdana"/>
          <w:szCs w:val="20"/>
        </w:rPr>
        <w:t xml:space="preserve">sem a prévia anuência de Debenturistas nos termos da Cláusula </w:t>
      </w:r>
      <w:r w:rsidRPr="00F74141">
        <w:rPr>
          <w:rFonts w:ascii="Verdana" w:hAnsi="Verdana"/>
          <w:szCs w:val="20"/>
        </w:rPr>
        <w:fldChar w:fldCharType="begin"/>
      </w:r>
      <w:r w:rsidRPr="00F74141">
        <w:rPr>
          <w:rFonts w:ascii="Verdana" w:hAnsi="Verdana"/>
          <w:szCs w:val="20"/>
        </w:rPr>
        <w:instrText xml:space="preserve"> REF _Ref474858914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9.10</w:t>
      </w:r>
      <w:r w:rsidRPr="00F74141">
        <w:rPr>
          <w:rFonts w:ascii="Verdana" w:hAnsi="Verdana"/>
          <w:szCs w:val="20"/>
        </w:rPr>
        <w:fldChar w:fldCharType="end"/>
      </w:r>
      <w:r w:rsidRPr="00F74141">
        <w:rPr>
          <w:rFonts w:ascii="Verdana" w:hAnsi="Verdana"/>
          <w:szCs w:val="20"/>
        </w:rPr>
        <w:t xml:space="preserve"> </w:t>
      </w:r>
      <w:r w:rsidRPr="00F74141">
        <w:rPr>
          <w:rFonts w:ascii="Verdana" w:hAnsi="Verdana"/>
          <w:szCs w:val="20"/>
        </w:rPr>
        <w:fldChar w:fldCharType="begin"/>
      </w:r>
      <w:r w:rsidRPr="00F74141">
        <w:rPr>
          <w:rFonts w:ascii="Verdana" w:hAnsi="Verdana"/>
          <w:szCs w:val="20"/>
        </w:rPr>
        <w:instrText xml:space="preserve"> REF _Ref420594287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iii</w:t>
      </w:r>
      <w:proofErr w:type="spellEnd"/>
      <w:r w:rsidRPr="00F74141">
        <w:rPr>
          <w:rFonts w:ascii="Verdana" w:hAnsi="Verdana"/>
          <w:szCs w:val="20"/>
        </w:rPr>
        <w:t>)</w:t>
      </w:r>
      <w:r w:rsidRPr="00F74141">
        <w:rPr>
          <w:rFonts w:ascii="Verdana" w:hAnsi="Verdana"/>
          <w:szCs w:val="20"/>
        </w:rPr>
        <w:fldChar w:fldCharType="end"/>
      </w:r>
      <w:r w:rsidRPr="00F74141">
        <w:rPr>
          <w:rFonts w:ascii="Verdana" w:eastAsia="Arial Unicode MS" w:hAnsi="Verdana" w:cs="Tahoma"/>
          <w:szCs w:val="20"/>
        </w:rPr>
        <w:t>;</w:t>
      </w:r>
      <w:bookmarkEnd w:id="78"/>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79" w:name="_DV_M45"/>
      <w:bookmarkStart w:id="80" w:name="_Ref428809848"/>
      <w:bookmarkEnd w:id="55"/>
      <w:bookmarkEnd w:id="56"/>
      <w:bookmarkEnd w:id="57"/>
      <w:bookmarkEnd w:id="58"/>
      <w:bookmarkEnd w:id="68"/>
      <w:bookmarkEnd w:id="69"/>
      <w:bookmarkEnd w:id="70"/>
      <w:bookmarkEnd w:id="71"/>
      <w:bookmarkEnd w:id="72"/>
      <w:bookmarkEnd w:id="73"/>
      <w:bookmarkEnd w:id="79"/>
      <w:r w:rsidRPr="00F74141">
        <w:rPr>
          <w:rFonts w:ascii="Verdana" w:hAnsi="Verdana" w:cs="Verdana"/>
          <w:szCs w:val="20"/>
        </w:rPr>
        <w:t xml:space="preserve">distribuição de </w:t>
      </w:r>
      <w:r w:rsidRPr="00F74141">
        <w:rPr>
          <w:rFonts w:ascii="Verdana" w:hAnsi="Verdana"/>
          <w:szCs w:val="20"/>
        </w:rPr>
        <w:t>dividendos</w:t>
      </w:r>
      <w:r w:rsidRPr="00F74141">
        <w:rPr>
          <w:rFonts w:ascii="Verdana" w:hAnsi="Verdana" w:cs="Verdana"/>
          <w:szCs w:val="20"/>
        </w:rPr>
        <w:t xml:space="preserve"> e/ou pagamento de juros sobre capital próprio, pela Emissora, em valor superior ao do dividendo mínimo obrigatório </w:t>
      </w:r>
      <w:r w:rsidRPr="00F74141">
        <w:rPr>
          <w:rFonts w:ascii="Verdana" w:eastAsia="Arial Unicode MS" w:hAnsi="Verdana" w:cs="Tahoma"/>
          <w:szCs w:val="20"/>
        </w:rPr>
        <w:t>previsto</w:t>
      </w:r>
      <w:r w:rsidRPr="00F74141">
        <w:rPr>
          <w:rFonts w:ascii="Verdana" w:hAnsi="Verdana" w:cs="Verdana"/>
          <w:szCs w:val="20"/>
        </w:rPr>
        <w:t xml:space="preserve"> no artigo 202 da Lei das Sociedades por Ações, e os juros sobre capital próprio imputados aos dividendos obrigatórios caso: (a) a Emissora esteja inadimplente com qualquer das obrigações pecuniárias estabelecidas nesta Escritura de Emissão e/ou nos Contratos de Garantias; e/ou (b) a Emissora não esteja cumprindo o ICSD (conforme abaixo definido) de, no mínimo, </w:t>
      </w:r>
      <w:r w:rsidRPr="00F74141">
        <w:rPr>
          <w:rFonts w:ascii="Verdana" w:eastAsia="Arial Unicode MS" w:hAnsi="Verdana" w:cs="Tahoma"/>
          <w:szCs w:val="20"/>
        </w:rPr>
        <w:t xml:space="preserve">1,2 (um inteiro e dois décimos), observado que, em qualquer caso, (y) o ICSD será calculado pela Emissora e acompanhado anualmente pelo </w:t>
      </w:r>
      <w:r w:rsidRPr="00F74141">
        <w:rPr>
          <w:rFonts w:ascii="Verdana" w:hAnsi="Verdana" w:cs="Verdana"/>
          <w:szCs w:val="20"/>
        </w:rPr>
        <w:t xml:space="preserve">Agente Fiduciário, com base nas demonstrações </w:t>
      </w:r>
      <w:r w:rsidRPr="00F74141">
        <w:rPr>
          <w:rFonts w:ascii="Verdana" w:eastAsia="Arial Unicode MS" w:hAnsi="Verdana" w:cs="Tahoma"/>
          <w:szCs w:val="20"/>
        </w:rPr>
        <w:t xml:space="preserve">financeiras anuais divulgadas pela Emissora, e (z) a Emissora poderá, caso seja assim definido, ainda no exercício de 2019, distribuir lucros ou dividendos a seus Acionistas desde que os lucros e dividendos distribuídos aos Acionistas, em conjunto com eventuais </w:t>
      </w:r>
      <w:r w:rsidRPr="00F74141">
        <w:rPr>
          <w:rFonts w:ascii="Verdana" w:hAnsi="Verdana"/>
          <w:szCs w:val="20"/>
        </w:rPr>
        <w:t>Reduções de Capital Previamente Aprovadas, cancelamentos de adiantamento a futuro aporte de capital e mútuos concedidos aos Acionistas, não superem o</w:t>
      </w:r>
      <w:r w:rsidRPr="00F74141">
        <w:rPr>
          <w:rFonts w:ascii="Verdana" w:eastAsia="Arial Unicode MS" w:hAnsi="Verdana" w:cs="Tahoma"/>
          <w:szCs w:val="20"/>
        </w:rPr>
        <w:t xml:space="preserve"> montante </w:t>
      </w:r>
      <w:r w:rsidRPr="00F74141">
        <w:rPr>
          <w:rFonts w:ascii="Verdana" w:hAnsi="Verdana"/>
          <w:szCs w:val="20"/>
        </w:rPr>
        <w:t>agregado de R$325.000.000,00 (trezentos e vinte e cinco milhões de reais)</w:t>
      </w:r>
      <w:r w:rsidRPr="00F74141">
        <w:rPr>
          <w:rFonts w:ascii="Verdana" w:eastAsia="Arial Unicode MS" w:hAnsi="Verdana" w:cs="Tahoma"/>
          <w:szCs w:val="20"/>
        </w:rPr>
        <w:t>;</w:t>
      </w:r>
      <w:bookmarkStart w:id="81" w:name="_Ref272360045"/>
      <w:bookmarkStart w:id="82" w:name="_Ref278402643"/>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r w:rsidRPr="00F74141">
        <w:rPr>
          <w:rFonts w:ascii="Verdana" w:hAnsi="Verdana"/>
          <w:szCs w:val="20"/>
        </w:rPr>
        <w:t xml:space="preserve">cisão, fusão, incorporação (incluindo incorporação de ações), aquisição, constituição ou qualquer forma de reorganização societária que implique (a) alteração do controle da Emissora e/ou dos Acionistas, bem como (b) a participação da Emissora em outras sociedades, para a qual não tenha sido obtida a prévia e expressa anuência dos Debenturistas, nos termos da Cláusula </w:t>
      </w:r>
      <w:r w:rsidRPr="00F74141">
        <w:rPr>
          <w:rFonts w:ascii="Verdana" w:hAnsi="Verdana"/>
          <w:szCs w:val="20"/>
        </w:rPr>
        <w:fldChar w:fldCharType="begin"/>
      </w:r>
      <w:r w:rsidRPr="00F74141">
        <w:rPr>
          <w:rFonts w:ascii="Verdana" w:hAnsi="Verdana"/>
          <w:szCs w:val="20"/>
        </w:rPr>
        <w:instrText xml:space="preserve"> REF _Ref474858914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9.10</w:t>
      </w:r>
      <w:r w:rsidRPr="00F74141">
        <w:rPr>
          <w:rFonts w:ascii="Verdana" w:hAnsi="Verdana"/>
          <w:szCs w:val="20"/>
        </w:rPr>
        <w:fldChar w:fldCharType="end"/>
      </w:r>
      <w:r w:rsidRPr="00F74141">
        <w:rPr>
          <w:rFonts w:ascii="Verdana" w:hAnsi="Verdana"/>
          <w:szCs w:val="20"/>
        </w:rPr>
        <w:t xml:space="preserve"> </w:t>
      </w:r>
      <w:r w:rsidRPr="00F74141">
        <w:rPr>
          <w:rFonts w:ascii="Verdana" w:hAnsi="Verdana"/>
          <w:szCs w:val="20"/>
        </w:rPr>
        <w:fldChar w:fldCharType="begin"/>
      </w:r>
      <w:r w:rsidRPr="00F74141">
        <w:rPr>
          <w:rFonts w:ascii="Verdana" w:hAnsi="Verdana"/>
          <w:szCs w:val="20"/>
        </w:rPr>
        <w:instrText xml:space="preserve"> REF _Ref420594287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iii</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w:t>
      </w:r>
      <w:bookmarkStart w:id="83" w:name="_Ref517892192"/>
      <w:bookmarkStart w:id="84" w:name="_Ref475695981"/>
      <w:bookmarkEnd w:id="81"/>
      <w:bookmarkEnd w:id="82"/>
      <w:r w:rsidRPr="00F74141">
        <w:rPr>
          <w:rFonts w:ascii="Verdana" w:hAnsi="Verdana"/>
          <w:szCs w:val="20"/>
        </w:rPr>
        <w:t xml:space="preserve"> </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r w:rsidRPr="00F74141">
        <w:rPr>
          <w:rFonts w:ascii="Verdana" w:hAnsi="Verdana"/>
          <w:szCs w:val="20"/>
        </w:rPr>
        <w:t>declaração de vencimento antecipado, de qualquer dívida ou obrigação da Emissora (ainda que na qualidade de devedora, garantidora e/ou coobrigada), em valor, individual ou agregado, igual ou superior a R$5.000.000,00 (cinco milhões de reais), ou seu equivalente em outras moedas;</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85" w:name="_Ref520371797"/>
      <w:r w:rsidRPr="00F74141">
        <w:rPr>
          <w:rFonts w:ascii="Verdana" w:hAnsi="Verdana"/>
          <w:szCs w:val="20"/>
        </w:rPr>
        <w:t xml:space="preserve">redução de capital social da Emissora, conforme disposto no artigo 174, parágrafo 3º, da Lei das Sociedades por Ações, cancelamento de adiantamento a futuro aporte de capital e/ou pagamento de mútuos nos quais a Emissora figure como </w:t>
      </w:r>
      <w:proofErr w:type="spellStart"/>
      <w:r w:rsidRPr="00F74141">
        <w:rPr>
          <w:rFonts w:ascii="Verdana" w:hAnsi="Verdana"/>
          <w:szCs w:val="20"/>
        </w:rPr>
        <w:t>mutuária</w:t>
      </w:r>
      <w:proofErr w:type="spellEnd"/>
      <w:r w:rsidRPr="00F74141">
        <w:rPr>
          <w:rFonts w:ascii="Verdana" w:hAnsi="Verdana"/>
          <w:szCs w:val="20"/>
        </w:rPr>
        <w:t>, exceto (a) se para absorção de prejuízos da Emissora, em qualquer valor, nos termos da lei</w:t>
      </w:r>
      <w:bookmarkEnd w:id="85"/>
      <w:r w:rsidRPr="00F74141">
        <w:rPr>
          <w:rFonts w:ascii="Verdana" w:hAnsi="Verdana"/>
          <w:szCs w:val="20"/>
        </w:rPr>
        <w:t xml:space="preserve">; (b) as Reduções de Capital Previamente Aprovadas e (c) resgate de ações da Emissora ou cancelamento de adiantamento a futuro aporte de capital, sendo certo que, em qualquer caso, eventuais reduções de capital social da Emissora e cancelamentos de adiantamento a futuro aporte de capital, em conjunto com eventuais lucros e dividendos distribuídos aos Acionistas e mútuos concedidos aos Acionistas, não poderão superar o montante agregado de R$325.000.000,00 (trezentos e vinte e cinco milhões de reais); </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86" w:name="_Ref517892222"/>
      <w:bookmarkEnd w:id="83"/>
      <w:r w:rsidRPr="00F74141">
        <w:rPr>
          <w:rFonts w:ascii="Verdana" w:hAnsi="Verdana"/>
          <w:szCs w:val="20"/>
        </w:rPr>
        <w:t>não utilização, pela Emissora, dos recursos líquidos obtidos com a Emissão estritamente nos termos desta Escritura de Emissão;</w:t>
      </w:r>
      <w:bookmarkEnd w:id="86"/>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r w:rsidRPr="00F74141">
        <w:rPr>
          <w:rFonts w:ascii="Verdana" w:hAnsi="Verdana"/>
          <w:szCs w:val="20"/>
        </w:rPr>
        <w:t>perda, extinção, descontinuidade, decretação de intervenção e/ou a não renovação de qualquer das concessões, permissões e autorizações para a exploração dos serviços de transmissão ou geração de energia pela Emissora;</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r w:rsidRPr="00F74141">
        <w:rPr>
          <w:rFonts w:ascii="Verdana" w:hAnsi="Verdana"/>
          <w:szCs w:val="20"/>
        </w:rPr>
        <w:t>se ocorrer qualquer mudança, transferência ou a cessão, direta ou indireta, do controle acionário da Emissora, de forma direta ou indireta, sem a prévia e expressa anuência dos Debenturistas nos termos da Cláusula 9.10</w:t>
      </w:r>
      <w:r w:rsidRPr="00F74141">
        <w:rPr>
          <w:rFonts w:ascii="Verdana" w:hAnsi="Verdana"/>
          <w:szCs w:val="20"/>
        </w:rPr>
        <w:fldChar w:fldCharType="begin"/>
      </w:r>
      <w:r w:rsidRPr="00F74141">
        <w:rPr>
          <w:rFonts w:ascii="Verdana" w:hAnsi="Verdana"/>
          <w:szCs w:val="20"/>
        </w:rPr>
        <w:instrText xml:space="preserve"> REF _Ref420594287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iii</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r w:rsidRPr="00F74141">
        <w:rPr>
          <w:rFonts w:ascii="Verdana" w:hAnsi="Verdana"/>
          <w:szCs w:val="20"/>
        </w:rPr>
        <w:t xml:space="preserve">se houver alteração do objeto social da Emissora de forma a alterar as suas atividades preponderantes ou a agregar a essas atividades novos negócios que possam representar desvios relevantes em relação às atividades atualmente desenvolvidas, sem a prévia e expressa anuência dos Debenturistas nos termos da Cláusula </w:t>
      </w:r>
      <w:r w:rsidRPr="00F74141">
        <w:rPr>
          <w:rFonts w:ascii="Verdana" w:hAnsi="Verdana"/>
          <w:szCs w:val="20"/>
        </w:rPr>
        <w:fldChar w:fldCharType="begin"/>
      </w:r>
      <w:r w:rsidRPr="00F74141">
        <w:rPr>
          <w:rFonts w:ascii="Verdana" w:hAnsi="Verdana"/>
          <w:szCs w:val="20"/>
        </w:rPr>
        <w:instrText xml:space="preserve"> REF _Ref474858914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9.10</w:t>
      </w:r>
      <w:r w:rsidRPr="00F74141">
        <w:rPr>
          <w:rFonts w:ascii="Verdana" w:hAnsi="Verdana"/>
          <w:szCs w:val="20"/>
        </w:rPr>
        <w:fldChar w:fldCharType="end"/>
      </w:r>
      <w:r w:rsidRPr="00F74141">
        <w:rPr>
          <w:rFonts w:ascii="Verdana" w:hAnsi="Verdana"/>
          <w:szCs w:val="20"/>
        </w:rPr>
        <w:t xml:space="preserve"> </w:t>
      </w:r>
      <w:r w:rsidRPr="00F74141">
        <w:rPr>
          <w:rFonts w:ascii="Verdana" w:hAnsi="Verdana"/>
          <w:szCs w:val="20"/>
        </w:rPr>
        <w:fldChar w:fldCharType="begin"/>
      </w:r>
      <w:r w:rsidRPr="00F74141">
        <w:rPr>
          <w:rFonts w:ascii="Verdana" w:hAnsi="Verdana"/>
          <w:szCs w:val="20"/>
        </w:rPr>
        <w:instrText xml:space="preserve"> REF _Ref420594287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iii</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w:t>
      </w:r>
    </w:p>
    <w:p w:rsidR="00204B37" w:rsidRPr="00F74141" w:rsidRDefault="00706572">
      <w:pPr>
        <w:pStyle w:val="Level4"/>
        <w:numPr>
          <w:ilvl w:val="3"/>
          <w:numId w:val="11"/>
        </w:numPr>
        <w:tabs>
          <w:tab w:val="clear" w:pos="3941"/>
        </w:tabs>
        <w:spacing w:before="240" w:after="240" w:line="320" w:lineRule="exact"/>
        <w:ind w:left="1843"/>
        <w:rPr>
          <w:rFonts w:ascii="Verdana" w:hAnsi="Verdana" w:cs="Verdana"/>
          <w:szCs w:val="20"/>
        </w:rPr>
      </w:pPr>
      <w:r w:rsidRPr="00F74141">
        <w:rPr>
          <w:rFonts w:ascii="Verdana" w:hAnsi="Verdana"/>
          <w:szCs w:val="20"/>
        </w:rPr>
        <w:t>prestação de garantia fidejussória pela Emissora</w:t>
      </w:r>
      <w:r w:rsidRPr="00F74141">
        <w:rPr>
          <w:rFonts w:ascii="Verdana" w:hAnsi="Verdana" w:cs="Verdana"/>
          <w:szCs w:val="20"/>
        </w:rPr>
        <w:t xml:space="preserve"> em valor individual ou agregado superior a R$1.000.000,00 (um milhão de reais)</w:t>
      </w:r>
      <w:r w:rsidRPr="00F74141">
        <w:rPr>
          <w:rFonts w:ascii="Verdana" w:hAnsi="Verdana"/>
          <w:szCs w:val="20"/>
        </w:rPr>
        <w:t xml:space="preserve"> sem a prévia e expressa anuência dos Debenturistas nos termos da Cláusula 9.10 (</w:t>
      </w:r>
      <w:proofErr w:type="spellStart"/>
      <w:r w:rsidRPr="00F74141">
        <w:rPr>
          <w:rFonts w:ascii="Verdana" w:hAnsi="Verdana"/>
          <w:szCs w:val="20"/>
        </w:rPr>
        <w:t>iii</w:t>
      </w:r>
      <w:proofErr w:type="spellEnd"/>
      <w:r w:rsidRPr="00F74141">
        <w:rPr>
          <w:rFonts w:ascii="Verdana" w:hAnsi="Verdana"/>
          <w:szCs w:val="20"/>
        </w:rPr>
        <w:t>);</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r w:rsidRPr="00F74141">
        <w:rPr>
          <w:rFonts w:ascii="Verdana" w:hAnsi="Verdana"/>
          <w:szCs w:val="20"/>
        </w:rPr>
        <w:t>realização de quaisquer investimentos que não sejam relacionados aos Projetos sem a prévia e expressa anuência dos Debenturistas nos termos da Cláusula 9.10 (</w:t>
      </w:r>
      <w:proofErr w:type="spellStart"/>
      <w:r w:rsidRPr="00F74141">
        <w:rPr>
          <w:rFonts w:ascii="Verdana" w:hAnsi="Verdana"/>
          <w:szCs w:val="20"/>
        </w:rPr>
        <w:t>iii</w:t>
      </w:r>
      <w:proofErr w:type="spellEnd"/>
      <w:r w:rsidRPr="00F74141">
        <w:rPr>
          <w:rFonts w:ascii="Verdana" w:hAnsi="Verdana"/>
          <w:szCs w:val="20"/>
        </w:rPr>
        <w:t xml:space="preserve">); </w:t>
      </w:r>
    </w:p>
    <w:p w:rsidR="00204B37" w:rsidRPr="00F74141" w:rsidRDefault="00706572">
      <w:pPr>
        <w:pStyle w:val="Level4"/>
        <w:numPr>
          <w:ilvl w:val="3"/>
          <w:numId w:val="11"/>
        </w:numPr>
        <w:tabs>
          <w:tab w:val="clear" w:pos="3941"/>
        </w:tabs>
        <w:spacing w:before="240" w:after="240" w:line="320" w:lineRule="exact"/>
        <w:ind w:left="1843"/>
        <w:rPr>
          <w:rFonts w:ascii="Verdana" w:eastAsia="Calibri" w:hAnsi="Verdana"/>
          <w:szCs w:val="20"/>
          <w:lang w:eastAsia="en-US"/>
        </w:rPr>
      </w:pPr>
      <w:bookmarkStart w:id="87" w:name="_Ref512527201"/>
      <w:r w:rsidRPr="00F74141">
        <w:rPr>
          <w:rFonts w:ascii="Verdana" w:eastAsia="Calibri" w:hAnsi="Verdana"/>
          <w:szCs w:val="20"/>
          <w:lang w:eastAsia="en-US"/>
        </w:rPr>
        <w:t xml:space="preserve">subordinação da dívida representada pelas Debêntures, conforme o caso, a </w:t>
      </w:r>
      <w:r w:rsidRPr="00F74141">
        <w:rPr>
          <w:rFonts w:ascii="Verdana" w:hAnsi="Verdana"/>
          <w:szCs w:val="20"/>
        </w:rPr>
        <w:t>qualquer</w:t>
      </w:r>
      <w:r w:rsidRPr="00F74141">
        <w:rPr>
          <w:rFonts w:ascii="Verdana" w:eastAsia="Calibri" w:hAnsi="Verdana"/>
          <w:szCs w:val="20"/>
          <w:lang w:eastAsia="en-US"/>
        </w:rPr>
        <w:t xml:space="preserve"> outra dívida;</w:t>
      </w:r>
      <w:bookmarkEnd w:id="87"/>
      <w:r w:rsidRPr="00F74141">
        <w:rPr>
          <w:rFonts w:ascii="Verdana" w:eastAsia="Calibri" w:hAnsi="Verdana"/>
          <w:szCs w:val="20"/>
          <w:lang w:eastAsia="en-US"/>
        </w:rPr>
        <w:t xml:space="preserve"> e</w:t>
      </w:r>
    </w:p>
    <w:p w:rsidR="00204B37" w:rsidRPr="00F74141" w:rsidRDefault="00706572">
      <w:pPr>
        <w:pStyle w:val="Level4"/>
        <w:numPr>
          <w:ilvl w:val="3"/>
          <w:numId w:val="11"/>
        </w:numPr>
        <w:tabs>
          <w:tab w:val="clear" w:pos="3941"/>
        </w:tabs>
        <w:spacing w:before="240" w:after="240" w:line="320" w:lineRule="exact"/>
        <w:ind w:left="1843"/>
        <w:rPr>
          <w:rFonts w:ascii="Verdana" w:hAnsi="Verdana"/>
          <w:szCs w:val="20"/>
        </w:rPr>
      </w:pPr>
      <w:bookmarkStart w:id="88" w:name="_Ref512527296"/>
      <w:bookmarkEnd w:id="84"/>
      <w:r w:rsidRPr="00F74141">
        <w:rPr>
          <w:rFonts w:ascii="Verdana" w:eastAsia="Arial Unicode MS" w:hAnsi="Verdana"/>
          <w:szCs w:val="20"/>
        </w:rPr>
        <w:t xml:space="preserve">se, após a respectiva formalização nos termos previstos nesta Escritura de Emissão e nos Contratos de Garantias, </w:t>
      </w:r>
      <w:r w:rsidRPr="00F74141">
        <w:rPr>
          <w:rFonts w:ascii="Verdana" w:hAnsi="Verdana"/>
          <w:szCs w:val="20"/>
        </w:rPr>
        <w:t>qualquer</w:t>
      </w:r>
      <w:r w:rsidRPr="00F74141">
        <w:rPr>
          <w:rFonts w:ascii="Verdana" w:eastAsia="Arial Unicode MS" w:hAnsi="Verdana"/>
          <w:szCs w:val="20"/>
        </w:rPr>
        <w:t xml:space="preserve"> das </w:t>
      </w:r>
      <w:r w:rsidRPr="00F74141">
        <w:rPr>
          <w:rFonts w:ascii="Verdana" w:hAnsi="Verdana"/>
          <w:szCs w:val="20"/>
        </w:rPr>
        <w:t xml:space="preserve">garantias </w:t>
      </w:r>
      <w:r w:rsidRPr="00F74141">
        <w:rPr>
          <w:rFonts w:ascii="Verdana" w:eastAsia="Arial Unicode MS" w:hAnsi="Verdana"/>
          <w:szCs w:val="20"/>
        </w:rPr>
        <w:t xml:space="preserve">tornar-se ineficaz, inexequível, inválida, nula ou insuficiente, seja em função da degradação dos bens e direitos dados em garantia aos Debenturistas, ou qualquer outra razão, conforme previsto nos Contratos de Garantias, bem como ocorrência de quaisquer </w:t>
      </w:r>
      <w:r w:rsidRPr="00F74141">
        <w:rPr>
          <w:rFonts w:ascii="Verdana" w:hAnsi="Verdana"/>
          <w:szCs w:val="20"/>
        </w:rPr>
        <w:t>eventos</w:t>
      </w:r>
      <w:r w:rsidRPr="00F74141">
        <w:rPr>
          <w:rFonts w:ascii="Verdana" w:eastAsia="Arial Unicode MS" w:hAnsi="Verdana"/>
          <w:szCs w:val="20"/>
        </w:rPr>
        <w:t xml:space="preserve"> que resulte em (a) </w:t>
      </w:r>
      <w:r w:rsidRPr="00F74141">
        <w:rPr>
          <w:rFonts w:ascii="Verdana" w:hAnsi="Verdana"/>
          <w:szCs w:val="20"/>
        </w:rPr>
        <w:t>qualquer efeito adverso na situação (financeira ou de outra natureza), nos negócios, nos bens, nos resultados operacionais e/ou nas perspectivas da Emissora; e/ou (b) qualquer efeito adverso na capacidade da Emissora de cumprir qualquer de suas obrigações pecuniárias nos termos desta Escritura de Emissão e dos Contratos de Garantias ((a) e (b), em conjunto, “</w:t>
      </w:r>
      <w:r w:rsidRPr="00F74141">
        <w:rPr>
          <w:rFonts w:ascii="Verdana" w:hAnsi="Verdana"/>
          <w:b/>
          <w:szCs w:val="20"/>
        </w:rPr>
        <w:t>Efeito Adverso Relevante</w:t>
      </w:r>
      <w:r w:rsidRPr="00F74141">
        <w:rPr>
          <w:rFonts w:ascii="Verdana" w:hAnsi="Verdana"/>
          <w:szCs w:val="20"/>
        </w:rPr>
        <w:t>”).</w:t>
      </w:r>
    </w:p>
    <w:bookmarkEnd w:id="88"/>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 xml:space="preserve">Caso a Emissora não efetue o pagamento previsto na forma estipulada na Cláusula </w:t>
      </w:r>
      <w:r w:rsidRPr="00F74141">
        <w:rPr>
          <w:rFonts w:ascii="Verdana" w:hAnsi="Verdana"/>
          <w:szCs w:val="20"/>
        </w:rPr>
        <w:fldChar w:fldCharType="begin"/>
      </w:r>
      <w:r w:rsidRPr="00F74141">
        <w:rPr>
          <w:rFonts w:ascii="Verdana" w:hAnsi="Verdana"/>
          <w:szCs w:val="20"/>
        </w:rPr>
        <w:instrText xml:space="preserve"> REF _Ref420336741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6.1.1 acima</w:t>
      </w:r>
      <w:r w:rsidRPr="00F74141">
        <w:rPr>
          <w:rFonts w:ascii="Verdana" w:hAnsi="Verdana"/>
          <w:szCs w:val="20"/>
        </w:rPr>
        <w:fldChar w:fldCharType="end"/>
      </w:r>
      <w:r w:rsidRPr="00F74141">
        <w:rPr>
          <w:rFonts w:ascii="Verdana" w:hAnsi="Verdana"/>
          <w:szCs w:val="20"/>
        </w:rPr>
        <w:t>, além dos Juros Remuneratórios devidos, os Encargos Moratórios serão devidos desde a data de vencimento da obrigação descumprida e acrescidos ao saldo do Valor Nominal Unitário das Debêntures da Primeira Série ou ao Valor Nominal Unitário Atualizado das Debêntures da Segunda Série, conforme o caso, incidentes a partir do Dia Útil seguinte à ocorrência do Evento de Vencimento Antecipado de Declaração Automática até a data de seu efetivo pagamento.</w:t>
      </w:r>
      <w:bookmarkEnd w:id="80"/>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O Agente Fiduciário deverá comunicar, por escrito, eventual vencimento antecipado das Debêntures à Emissora, à B3 e ao Agente de Liquidação (i) por meio de correio eletrônico imediatamente após a ciência do vencimento antecipado e (</w:t>
      </w:r>
      <w:proofErr w:type="spellStart"/>
      <w:r w:rsidRPr="00F74141">
        <w:rPr>
          <w:rFonts w:ascii="Verdana" w:hAnsi="Verdana"/>
          <w:szCs w:val="20"/>
        </w:rPr>
        <w:t>ii</w:t>
      </w:r>
      <w:proofErr w:type="spellEnd"/>
      <w:r w:rsidRPr="00F74141">
        <w:rPr>
          <w:rFonts w:ascii="Verdana" w:hAnsi="Verdana"/>
          <w:szCs w:val="20"/>
        </w:rPr>
        <w:t>) mediante carta protocolada ou com aviso de recebimento (“</w:t>
      </w:r>
      <w:r w:rsidRPr="00F74141">
        <w:rPr>
          <w:rFonts w:ascii="Verdana" w:hAnsi="Verdana"/>
          <w:b/>
          <w:szCs w:val="20"/>
        </w:rPr>
        <w:t>AR</w:t>
      </w:r>
      <w:r w:rsidRPr="00F74141">
        <w:rPr>
          <w:rFonts w:ascii="Verdana" w:hAnsi="Verdana"/>
          <w:szCs w:val="20"/>
        </w:rPr>
        <w:t xml:space="preserve">”) expedido pelos Correios, no prazo máximo de 2 (dois) Dias Úteis contados da data da ciência do vencimento antecipado das Debêntures. </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A B3 deverá ser comunicada imediatamente após a declaração do vencimento antecipado e de acordo com os termos e condições previstos no manual de operações.</w:t>
      </w:r>
    </w:p>
    <w:p w:rsidR="00204B37" w:rsidRPr="00F74141" w:rsidRDefault="00706572">
      <w:pPr>
        <w:pStyle w:val="Level2"/>
        <w:numPr>
          <w:ilvl w:val="1"/>
          <w:numId w:val="9"/>
        </w:numPr>
        <w:spacing w:before="240" w:after="240" w:line="320" w:lineRule="exact"/>
        <w:rPr>
          <w:rFonts w:ascii="Verdana" w:hAnsi="Verdana"/>
          <w:b/>
          <w:szCs w:val="20"/>
        </w:rPr>
      </w:pPr>
      <w:bookmarkStart w:id="89" w:name="_Ref420591978"/>
      <w:bookmarkStart w:id="90" w:name="_Ref468381781"/>
      <w:r w:rsidRPr="00F74141">
        <w:rPr>
          <w:rFonts w:ascii="Verdana" w:hAnsi="Verdana"/>
          <w:b/>
          <w:szCs w:val="20"/>
        </w:rPr>
        <w:t>Vencimento Antecipado Mediante Assembleia Geral de Debenturistas</w:t>
      </w:r>
      <w:bookmarkEnd w:id="89"/>
      <w:bookmarkEnd w:id="90"/>
    </w:p>
    <w:p w:rsidR="00204B37" w:rsidRPr="00F74141" w:rsidRDefault="00706572">
      <w:pPr>
        <w:pStyle w:val="Level3"/>
        <w:numPr>
          <w:ilvl w:val="2"/>
          <w:numId w:val="9"/>
        </w:numPr>
        <w:spacing w:before="240" w:after="240" w:line="320" w:lineRule="exact"/>
        <w:rPr>
          <w:rFonts w:ascii="Verdana" w:hAnsi="Verdana"/>
          <w:szCs w:val="20"/>
        </w:rPr>
      </w:pPr>
      <w:bookmarkStart w:id="91" w:name="_Ref420336721"/>
      <w:bookmarkStart w:id="92" w:name="_Ref420336782"/>
      <w:bookmarkStart w:id="93" w:name="_Ref468382152"/>
      <w:r w:rsidRPr="00F74141">
        <w:rPr>
          <w:rFonts w:ascii="Verdana" w:hAnsi="Verdana"/>
          <w:szCs w:val="20"/>
        </w:rPr>
        <w:t xml:space="preserve">O Agente Fiduciário (i) deverá convocar Assembleia Geral de Debenturistas (nos termos da Cláusula </w:t>
      </w:r>
      <w:r w:rsidRPr="00F74141">
        <w:rPr>
          <w:rFonts w:ascii="Verdana" w:hAnsi="Verdana"/>
          <w:szCs w:val="20"/>
        </w:rPr>
        <w:fldChar w:fldCharType="begin"/>
      </w:r>
      <w:r w:rsidRPr="00F74141">
        <w:rPr>
          <w:rFonts w:ascii="Verdana" w:hAnsi="Verdana"/>
          <w:szCs w:val="20"/>
        </w:rPr>
        <w:instrText xml:space="preserve"> REF _Ref468386700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w:t>
      </w:r>
      <w:r w:rsidRPr="00F74141">
        <w:rPr>
          <w:rFonts w:ascii="Verdana" w:hAnsi="Verdana"/>
          <w:szCs w:val="20"/>
        </w:rPr>
        <w:fldChar w:fldCharType="end"/>
      </w:r>
      <w:r w:rsidRPr="00F74141">
        <w:rPr>
          <w:rFonts w:ascii="Verdana" w:hAnsi="Verdana"/>
          <w:szCs w:val="20"/>
        </w:rPr>
        <w:t xml:space="preserve"> abaixo), e comunicar à Emissora a ocorrência do evento que possa ensejar a decretação do vencimento antecipado, no prazo de até 3 (três) Dias Úteis contados da data em que houver tomado ciência de quaisquer dos eventos listados abaixo, caso não tenha sido comunicado pela Emissora, para que os Debenturistas, reunidos em assembleia, possam deliberar a respeito de eventual não declaração do vencimento antecipado das obrigações da Emissora referentes às Debêntures; e, (</w:t>
      </w:r>
      <w:proofErr w:type="spellStart"/>
      <w:r w:rsidRPr="00F74141">
        <w:rPr>
          <w:rFonts w:ascii="Verdana" w:hAnsi="Verdana"/>
          <w:szCs w:val="20"/>
        </w:rPr>
        <w:t>ii</w:t>
      </w:r>
      <w:proofErr w:type="spellEnd"/>
      <w:r w:rsidRPr="00F74141">
        <w:rPr>
          <w:rFonts w:ascii="Verdana" w:hAnsi="Verdana"/>
          <w:szCs w:val="20"/>
        </w:rPr>
        <w:t xml:space="preserve">) caso declarado o vencimento antecipado, exigirá da Emissora o pagamento do saldo do Valor Nominal Unitário das Debêntures da Primeira Série e do Valor Nominal Unitário Atualizado das Debêntures da Segunda Série, conforme o caso, acrescidos dos respectivos Juros Remuneratórios, calculados </w:t>
      </w:r>
      <w:r w:rsidRPr="00F74141">
        <w:rPr>
          <w:rFonts w:ascii="Verdana" w:hAnsi="Verdana"/>
          <w:i/>
          <w:iCs/>
          <w:szCs w:val="20"/>
        </w:rPr>
        <w:t xml:space="preserve">pro rata </w:t>
      </w:r>
      <w:proofErr w:type="spellStart"/>
      <w:r w:rsidRPr="00F74141">
        <w:rPr>
          <w:rFonts w:ascii="Verdana" w:hAnsi="Verdana"/>
          <w:i/>
          <w:iCs/>
          <w:szCs w:val="20"/>
        </w:rPr>
        <w:t>temporis</w:t>
      </w:r>
      <w:proofErr w:type="spellEnd"/>
      <w:r w:rsidRPr="00F74141">
        <w:rPr>
          <w:rFonts w:ascii="Verdana" w:hAnsi="Verdana"/>
          <w:iCs/>
          <w:szCs w:val="20"/>
        </w:rPr>
        <w:t>,</w:t>
      </w:r>
      <w:r w:rsidRPr="00F74141">
        <w:rPr>
          <w:rFonts w:ascii="Verdana" w:hAnsi="Verdana"/>
          <w:i/>
          <w:iCs/>
          <w:szCs w:val="20"/>
        </w:rPr>
        <w:t xml:space="preserve"> </w:t>
      </w:r>
      <w:r w:rsidRPr="00F74141">
        <w:rPr>
          <w:rFonts w:ascii="Verdana" w:hAnsi="Verdana"/>
          <w:iCs/>
          <w:szCs w:val="20"/>
        </w:rPr>
        <w:t xml:space="preserve">desde a Data da Primeira Integralização (ou </w:t>
      </w:r>
      <w:r w:rsidRPr="00F74141">
        <w:rPr>
          <w:rFonts w:ascii="Verdana" w:hAnsi="Verdana"/>
        </w:rPr>
        <w:t xml:space="preserve">a última Data de Pagamento dos Juros Remuneratórios, conforme aplicável) </w:t>
      </w:r>
      <w:r w:rsidRPr="00F74141">
        <w:rPr>
          <w:rFonts w:ascii="Verdana" w:hAnsi="Verdana"/>
          <w:iCs/>
          <w:szCs w:val="20"/>
        </w:rPr>
        <w:t>até a data do efetivo pagamento, conforme disposto nesta Escritura de Emissão,</w:t>
      </w:r>
      <w:r w:rsidRPr="00F74141">
        <w:rPr>
          <w:rFonts w:ascii="Verdana" w:hAnsi="Verdana"/>
          <w:szCs w:val="20"/>
        </w:rPr>
        <w:t xml:space="preserve"> dos Encargos Moratórios, se houver, e de quaisquer outros valores eventualmente devidos pela Emissora, nos termos desta Escritura de Emissão (“</w:t>
      </w:r>
      <w:r w:rsidRPr="00F74141">
        <w:rPr>
          <w:rFonts w:ascii="Verdana" w:hAnsi="Verdana"/>
          <w:b/>
          <w:szCs w:val="20"/>
        </w:rPr>
        <w:t>Eventos de Vencimento Antecipado Mediante AGD</w:t>
      </w:r>
      <w:r w:rsidRPr="00F74141">
        <w:rPr>
          <w:rFonts w:ascii="Verdana" w:hAnsi="Verdana"/>
          <w:szCs w:val="20"/>
        </w:rPr>
        <w:t>” e, em conjunto com os Eventos de Vencimento Antecipado de Declaração Automática, os “</w:t>
      </w:r>
      <w:r w:rsidRPr="00F74141">
        <w:rPr>
          <w:rFonts w:ascii="Verdana" w:hAnsi="Verdana"/>
          <w:b/>
          <w:szCs w:val="20"/>
        </w:rPr>
        <w:t>Eventos de Vencimento Antecipado</w:t>
      </w:r>
      <w:r w:rsidRPr="00F74141">
        <w:rPr>
          <w:rFonts w:ascii="Verdana" w:hAnsi="Verdana"/>
          <w:szCs w:val="20"/>
        </w:rPr>
        <w:t>”):</w:t>
      </w:r>
      <w:bookmarkEnd w:id="91"/>
      <w:bookmarkEnd w:id="92"/>
      <w:bookmarkEnd w:id="93"/>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r w:rsidRPr="00F74141">
        <w:rPr>
          <w:rFonts w:ascii="Verdana" w:hAnsi="Verdana"/>
          <w:szCs w:val="20"/>
        </w:rPr>
        <w:t>inadimplemento, pela Emissora, de obrigação não pecuniária prevista nesta Escritura de Emissão, não sanado no prazo de 10 (dez) dias contados da data do respectivo inadimplemento;</w:t>
      </w:r>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bookmarkStart w:id="94" w:name="_Ref328666920"/>
      <w:r w:rsidRPr="00F74141">
        <w:rPr>
          <w:rFonts w:ascii="Verdana" w:hAnsi="Verdana"/>
          <w:szCs w:val="20"/>
        </w:rPr>
        <w:t>não obtenção, não renovação, cancelamento, revogação ou suspensão das autorizações, concessões, alvarás e/ou licenças relevantes para a atividade da Emissora, exceto por aquelas que estejam sendo ou que venham a ser questionadas ou contestadas, no prazo legal, pela Emissora na esfera judicial ou administrativa com obtenção de efeito suspensivo, ou ainda, aquelas em processo tempestivo de obtenção ou renovação;</w:t>
      </w:r>
    </w:p>
    <w:bookmarkEnd w:id="94"/>
    <w:p w:rsidR="00204B37" w:rsidRPr="00F74141" w:rsidRDefault="00706572">
      <w:pPr>
        <w:pStyle w:val="Level4"/>
        <w:numPr>
          <w:ilvl w:val="3"/>
          <w:numId w:val="12"/>
        </w:numPr>
        <w:tabs>
          <w:tab w:val="clear" w:pos="3941"/>
        </w:tabs>
        <w:spacing w:before="240" w:after="240" w:line="320" w:lineRule="exact"/>
        <w:ind w:left="1843"/>
        <w:rPr>
          <w:rFonts w:ascii="Verdana" w:hAnsi="Verdana"/>
          <w:b/>
          <w:i/>
          <w:szCs w:val="20"/>
        </w:rPr>
      </w:pPr>
      <w:r w:rsidRPr="00F74141">
        <w:rPr>
          <w:rFonts w:ascii="Verdana" w:hAnsi="Verdana"/>
          <w:szCs w:val="20"/>
        </w:rPr>
        <w:t>caso seja apurado que qualquer das declarações prestadas pela Emissora nesta Escritura de Emissão é falsa, enganosa, insuficiente ou incorreta;</w:t>
      </w:r>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bookmarkStart w:id="95" w:name="_Ref430008262"/>
      <w:bookmarkStart w:id="96" w:name="_Ref474859206"/>
      <w:r w:rsidRPr="00F74141">
        <w:rPr>
          <w:rFonts w:ascii="Verdana" w:hAnsi="Verdana"/>
          <w:szCs w:val="20"/>
        </w:rPr>
        <w:t>protesto de títulos cujo valor individual ou agregado ultrapasse R$5.000.000,00 (cinco milhões de reais), ou seu equivalente em moeda estrangeira, contra a Emissora</w:t>
      </w:r>
      <w:bookmarkEnd w:id="95"/>
      <w:r w:rsidRPr="00F74141">
        <w:rPr>
          <w:rFonts w:ascii="Verdana" w:hAnsi="Verdana"/>
          <w:szCs w:val="20"/>
        </w:rPr>
        <w:t>, salvo se no prazo legal a Emissora tiver tomado medidas cabíveis para comprovar ao Agente Fiduciário que: (a) o protesto foi efetuado por erro ou má-fé de terceiro ou era ilegítimo, (b) o protesto seja cancelado, ou, ainda, (c) o protesto tenha a sua exigibilidade suspensa por sentença judicial;</w:t>
      </w:r>
      <w:bookmarkEnd w:id="96"/>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bookmarkStart w:id="97" w:name="_Ref474859209"/>
      <w:r w:rsidRPr="00F74141">
        <w:rPr>
          <w:rFonts w:ascii="Verdana" w:hAnsi="Verdana"/>
          <w:szCs w:val="20"/>
        </w:rPr>
        <w:t>inadimplemento, pela Emissora, de qualquer decisão judicial e/ou de qualquer decisão arbitral, a partir do momento em que se tornar(em) exequível(eis) contra a Emissora, cujo valor individual ou agregado seja igual ou superior a R$5.000.000,00 (cinco milhões de reais);</w:t>
      </w:r>
      <w:bookmarkEnd w:id="97"/>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r w:rsidRPr="00F74141">
        <w:rPr>
          <w:rFonts w:ascii="Verdana" w:hAnsi="Verdana" w:cs="Verdana"/>
          <w:szCs w:val="20"/>
        </w:rPr>
        <w:t>caso a Emissora descumpra o índice financeiro do ICSD de</w:t>
      </w:r>
      <w:r w:rsidR="009059EE" w:rsidRPr="00F74141">
        <w:rPr>
          <w:rFonts w:ascii="Verdana" w:hAnsi="Verdana" w:cs="Verdana"/>
          <w:szCs w:val="20"/>
        </w:rPr>
        <w:t>,</w:t>
      </w:r>
      <w:r w:rsidRPr="00F74141">
        <w:rPr>
          <w:rFonts w:ascii="Verdana" w:hAnsi="Verdana" w:cs="Verdana"/>
          <w:szCs w:val="20"/>
        </w:rPr>
        <w:t xml:space="preserve"> no mínimo</w:t>
      </w:r>
      <w:r w:rsidR="009059EE" w:rsidRPr="00F74141">
        <w:rPr>
          <w:rFonts w:ascii="Verdana" w:hAnsi="Verdana" w:cs="Verdana"/>
          <w:szCs w:val="20"/>
        </w:rPr>
        <w:t>,</w:t>
      </w:r>
      <w:r w:rsidRPr="00F74141">
        <w:rPr>
          <w:rFonts w:ascii="Verdana" w:hAnsi="Verdana" w:cs="Verdana"/>
          <w:szCs w:val="20"/>
        </w:rPr>
        <w:t xml:space="preserve"> </w:t>
      </w:r>
      <w:r w:rsidRPr="00F74141">
        <w:rPr>
          <w:rFonts w:ascii="Verdana" w:eastAsia="Arial Unicode MS" w:hAnsi="Verdana" w:cs="Tahoma"/>
          <w:szCs w:val="20"/>
        </w:rPr>
        <w:t xml:space="preserve">1,2 (um inteiro e </w:t>
      </w:r>
      <w:r w:rsidR="00F35A3B" w:rsidRPr="00F74141">
        <w:rPr>
          <w:rFonts w:ascii="Verdana" w:eastAsia="Arial Unicode MS" w:hAnsi="Verdana" w:cs="Tahoma"/>
          <w:szCs w:val="20"/>
        </w:rPr>
        <w:t>dois décimos</w:t>
      </w:r>
      <w:r w:rsidRPr="00F74141">
        <w:rPr>
          <w:rFonts w:ascii="Verdana" w:eastAsia="Arial Unicode MS" w:hAnsi="Verdana" w:cs="Tahoma"/>
          <w:szCs w:val="20"/>
        </w:rPr>
        <w:t xml:space="preserve">), </w:t>
      </w:r>
      <w:r w:rsidRPr="00F74141">
        <w:rPr>
          <w:rFonts w:ascii="Verdana" w:hAnsi="Verdana" w:cs="Verdana"/>
          <w:szCs w:val="20"/>
        </w:rPr>
        <w:t>observado que o</w:t>
      </w:r>
      <w:r w:rsidRPr="00F74141">
        <w:rPr>
          <w:rFonts w:ascii="Verdana" w:eastAsia="Arial Unicode MS" w:hAnsi="Verdana" w:cs="Tahoma"/>
          <w:szCs w:val="20"/>
        </w:rPr>
        <w:t xml:space="preserve"> índice financeiro objeto deste item será acompanhado anualmente pelo </w:t>
      </w:r>
      <w:r w:rsidRPr="00F74141">
        <w:rPr>
          <w:rFonts w:ascii="Verdana" w:hAnsi="Verdana" w:cs="Verdana"/>
          <w:szCs w:val="20"/>
        </w:rPr>
        <w:t>Agente Fiduciário, com base nas demonstrações financeiras auditadas anuais divulgadas pela Emissora.</w:t>
      </w:r>
      <w:bookmarkStart w:id="98" w:name="_Ref474859219"/>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r w:rsidRPr="00F74141">
        <w:rPr>
          <w:rFonts w:ascii="Verdana" w:hAnsi="Verdana"/>
          <w:szCs w:val="20"/>
        </w:rPr>
        <w:t>existência de restrições cadastrais em órgãos de proteção ao crédito (SERASA, SPC, CCF, CADIN, dentre outros, inclusive de caráter fiscal), que venham a recair sobre a Emissora em valor, individual ou agregado, superior a R$5.000.000,00 (cinco milhões de reais);</w:t>
      </w:r>
      <w:bookmarkEnd w:id="98"/>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r w:rsidRPr="00F74141">
        <w:rPr>
          <w:rFonts w:ascii="Verdana" w:hAnsi="Verdana"/>
          <w:szCs w:val="20"/>
        </w:rPr>
        <w:t xml:space="preserve">instauração de procedimento administrativo ou judicial por autoridade competente em face da Emissora e/ou dos Acionistas, em razão da atuação em desconformidade com as normas que lhe são aplicáveis, sejam locais ou internacionais, que versem sobre atos de corrupção e atos lesivos contra a administração pública, incluindo, mas não se limitando, </w:t>
      </w:r>
      <w:bookmarkStart w:id="99" w:name="_DV_C586"/>
      <w:r w:rsidRPr="00F74141">
        <w:rPr>
          <w:rFonts w:ascii="Verdana" w:hAnsi="Verdana"/>
          <w:szCs w:val="20"/>
        </w:rPr>
        <w:t>à Lei nº 6.385, de 7 de dezembro de 1976, Lei nº 7.492, de 16 de junho de 1986, Lei nº 8.137, de 27 de dezembro de 1990, Lei nº 8.429, de 2 de junho de 1992, Lei nº 8.666, de 21 de junho de 1993 (ou outras normas de licitações e contratos da administração pública), Lei nº 9.613, de 3 de março de 1998, Lei nº 12.529, de 30 de novembro de 2011,</w:t>
      </w:r>
      <w:bookmarkEnd w:id="99"/>
      <w:r w:rsidRPr="00F74141">
        <w:rPr>
          <w:rFonts w:ascii="Verdana" w:hAnsi="Verdana"/>
          <w:szCs w:val="20"/>
        </w:rPr>
        <w:t xml:space="preserve"> à Lei nº 12.846, de 1º de agosto de 2013, conforme alterada e do Decreto nº 8.420, de 18 de março de 2015, à </w:t>
      </w:r>
      <w:r w:rsidRPr="00F74141">
        <w:rPr>
          <w:rFonts w:ascii="Verdana" w:hAnsi="Verdana"/>
          <w:i/>
          <w:szCs w:val="20"/>
        </w:rPr>
        <w:t xml:space="preserve">U.S. </w:t>
      </w:r>
      <w:proofErr w:type="spellStart"/>
      <w:r w:rsidRPr="00F74141">
        <w:rPr>
          <w:rFonts w:ascii="Verdana" w:hAnsi="Verdana"/>
          <w:i/>
          <w:szCs w:val="20"/>
        </w:rPr>
        <w:t>Foreign</w:t>
      </w:r>
      <w:proofErr w:type="spellEnd"/>
      <w:r w:rsidRPr="00F74141">
        <w:rPr>
          <w:rFonts w:ascii="Verdana" w:hAnsi="Verdana"/>
          <w:i/>
          <w:szCs w:val="20"/>
        </w:rPr>
        <w:t xml:space="preserve"> </w:t>
      </w:r>
      <w:proofErr w:type="spellStart"/>
      <w:r w:rsidRPr="00F74141">
        <w:rPr>
          <w:rFonts w:ascii="Verdana" w:hAnsi="Verdana"/>
          <w:i/>
          <w:szCs w:val="20"/>
        </w:rPr>
        <w:t>Corrupt</w:t>
      </w:r>
      <w:proofErr w:type="spellEnd"/>
      <w:r w:rsidRPr="00F74141">
        <w:rPr>
          <w:rFonts w:ascii="Verdana" w:hAnsi="Verdana"/>
          <w:i/>
          <w:szCs w:val="20"/>
        </w:rPr>
        <w:t xml:space="preserve"> </w:t>
      </w:r>
      <w:proofErr w:type="spellStart"/>
      <w:r w:rsidRPr="00F74141">
        <w:rPr>
          <w:rFonts w:ascii="Verdana" w:hAnsi="Verdana"/>
          <w:i/>
          <w:szCs w:val="20"/>
        </w:rPr>
        <w:t>Practices</w:t>
      </w:r>
      <w:proofErr w:type="spellEnd"/>
      <w:r w:rsidRPr="00F74141">
        <w:rPr>
          <w:rFonts w:ascii="Verdana" w:hAnsi="Verdana"/>
          <w:i/>
          <w:szCs w:val="20"/>
        </w:rPr>
        <w:t xml:space="preserve"> </w:t>
      </w:r>
      <w:proofErr w:type="spellStart"/>
      <w:r w:rsidRPr="00F74141">
        <w:rPr>
          <w:rFonts w:ascii="Verdana" w:hAnsi="Verdana"/>
          <w:i/>
          <w:szCs w:val="20"/>
        </w:rPr>
        <w:t>Act</w:t>
      </w:r>
      <w:proofErr w:type="spellEnd"/>
      <w:r w:rsidRPr="00F74141">
        <w:rPr>
          <w:rFonts w:ascii="Verdana" w:hAnsi="Verdana"/>
          <w:i/>
          <w:szCs w:val="20"/>
        </w:rPr>
        <w:t xml:space="preserve"> </w:t>
      </w:r>
      <w:proofErr w:type="spellStart"/>
      <w:r w:rsidRPr="00F74141">
        <w:rPr>
          <w:rFonts w:ascii="Verdana" w:hAnsi="Verdana"/>
          <w:i/>
          <w:szCs w:val="20"/>
        </w:rPr>
        <w:t>of</w:t>
      </w:r>
      <w:proofErr w:type="spellEnd"/>
      <w:r w:rsidRPr="00F74141">
        <w:rPr>
          <w:rFonts w:ascii="Verdana" w:hAnsi="Verdana"/>
          <w:i/>
          <w:szCs w:val="20"/>
        </w:rPr>
        <w:t xml:space="preserve"> 1977</w:t>
      </w:r>
      <w:r w:rsidRPr="00F74141">
        <w:rPr>
          <w:rFonts w:ascii="Verdana" w:hAnsi="Verdana"/>
          <w:szCs w:val="20"/>
        </w:rPr>
        <w:t xml:space="preserve"> e ao </w:t>
      </w:r>
      <w:r w:rsidRPr="00F74141">
        <w:rPr>
          <w:rFonts w:ascii="Verdana" w:hAnsi="Verdana"/>
          <w:i/>
          <w:szCs w:val="20"/>
        </w:rPr>
        <w:t xml:space="preserve">UK </w:t>
      </w:r>
      <w:proofErr w:type="spellStart"/>
      <w:r w:rsidRPr="00F74141">
        <w:rPr>
          <w:rFonts w:ascii="Verdana" w:hAnsi="Verdana"/>
          <w:i/>
          <w:szCs w:val="20"/>
        </w:rPr>
        <w:t>Bribery</w:t>
      </w:r>
      <w:proofErr w:type="spellEnd"/>
      <w:r w:rsidRPr="00F74141">
        <w:rPr>
          <w:rFonts w:ascii="Verdana" w:hAnsi="Verdana"/>
          <w:i/>
          <w:szCs w:val="20"/>
        </w:rPr>
        <w:t xml:space="preserve"> </w:t>
      </w:r>
      <w:proofErr w:type="spellStart"/>
      <w:r w:rsidRPr="00F74141">
        <w:rPr>
          <w:rFonts w:ascii="Verdana" w:hAnsi="Verdana"/>
          <w:i/>
          <w:szCs w:val="20"/>
        </w:rPr>
        <w:t>Act</w:t>
      </w:r>
      <w:proofErr w:type="spellEnd"/>
      <w:r w:rsidRPr="00F74141">
        <w:rPr>
          <w:rFonts w:ascii="Verdana" w:hAnsi="Verdana"/>
          <w:i/>
          <w:szCs w:val="20"/>
        </w:rPr>
        <w:t xml:space="preserve"> 2010,</w:t>
      </w:r>
      <w:r w:rsidRPr="00F74141">
        <w:rPr>
          <w:rFonts w:ascii="Verdana" w:hAnsi="Verdana"/>
          <w:szCs w:val="20"/>
        </w:rPr>
        <w:t xml:space="preserve"> conforme aplicável (em conjunto “</w:t>
      </w:r>
      <w:r w:rsidRPr="00F74141">
        <w:rPr>
          <w:rFonts w:ascii="Verdana" w:hAnsi="Verdana"/>
          <w:b/>
          <w:szCs w:val="20"/>
        </w:rPr>
        <w:t>Leis Anticorrupção</w:t>
      </w:r>
      <w:r w:rsidRPr="00F74141">
        <w:rPr>
          <w:rFonts w:ascii="Verdana" w:hAnsi="Verdana"/>
          <w:szCs w:val="20"/>
        </w:rPr>
        <w:t xml:space="preserve">”); </w:t>
      </w:r>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bookmarkStart w:id="100" w:name="_Ref474859225"/>
      <w:bookmarkStart w:id="101" w:name="_Ref328666997"/>
      <w:bookmarkStart w:id="102" w:name="_Ref522003023"/>
      <w:bookmarkStart w:id="103" w:name="_Hlk518588012"/>
      <w:r w:rsidRPr="00F74141">
        <w:rPr>
          <w:rFonts w:ascii="Verdana" w:hAnsi="Verdana"/>
          <w:szCs w:val="20"/>
        </w:rPr>
        <w:t>cessão, venda, alienação e/ou qualquer forma de transferência de ativos, pela Emissora, por qualquer meio, de forma gratuita ou onerosa</w:t>
      </w:r>
      <w:bookmarkEnd w:id="100"/>
      <w:bookmarkEnd w:id="101"/>
      <w:bookmarkEnd w:id="102"/>
      <w:r w:rsidRPr="00F74141">
        <w:rPr>
          <w:rFonts w:ascii="Verdana" w:hAnsi="Verdana"/>
          <w:szCs w:val="20"/>
        </w:rPr>
        <w:t>;</w:t>
      </w:r>
    </w:p>
    <w:bookmarkEnd w:id="103"/>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r w:rsidRPr="00F74141">
        <w:rPr>
          <w:rFonts w:ascii="Verdana" w:hAnsi="Verdana"/>
          <w:szCs w:val="20"/>
        </w:rPr>
        <w:t>inobservância da legislação ambiental e trabalhista vigentes, relativa à saúde e segurança ocupacional, inclusive, mas não limitado, ao que se refere à inexistência de trabalho análogo ao escravo e infantil, e das condicionantes das licenças ambientais da Emissora;</w:t>
      </w:r>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r w:rsidRPr="00F74141">
        <w:rPr>
          <w:rFonts w:ascii="Verdana" w:hAnsi="Verdana"/>
          <w:szCs w:val="20"/>
        </w:rPr>
        <w:t>se for apurado descumprimento, incorreção material ou omissão de fato imputável à Emissora em qualquer declaração, informação ou documento que houver sido firmado, prestado ou entregue pela Emissora relativo à esta Escritura de Emissão, aos Contratos de Garantias, e demais documentos da Emissão, e que possa causar um Efeito Adverso Relevante;</w:t>
      </w:r>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bookmarkStart w:id="104" w:name="_Ref522003036"/>
      <w:r w:rsidRPr="00F74141">
        <w:rPr>
          <w:rFonts w:ascii="Verdana" w:hAnsi="Verdana"/>
          <w:szCs w:val="20"/>
        </w:rPr>
        <w:t xml:space="preserve">inadimplemento, pela Emissora (ainda que na qualidade de devedora, garantidora e/ou coobrigada) de qualquer dívida ou obrigação da Emissora (ainda que na qualidade de devedora, garantidora e/ou coobrigada), em valor, individual ou agregado, igual ou superior a R$5.000.000,00 (cinco milhões de reais), ou seu equivalente em outras moedas; </w:t>
      </w:r>
      <w:bookmarkEnd w:id="104"/>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r w:rsidRPr="00F74141">
        <w:rPr>
          <w:rFonts w:ascii="Verdana" w:hAnsi="Verdana"/>
          <w:szCs w:val="20"/>
        </w:rPr>
        <w:t>ato de qualquer autoridade governamental com o objetivo de sequestrar, expropriar, nacionalizar, confiscar, desapropriar ou de qualquer modo adquirir compulsoriamente a totalidade ou parte substancial dos ativos, das propriedades e/ou das posses diretas ou indiretas e/ou das ações representativas do capital social da Emissora;</w:t>
      </w:r>
    </w:p>
    <w:p w:rsidR="00204B37" w:rsidRPr="00F74141" w:rsidRDefault="00706572">
      <w:pPr>
        <w:pStyle w:val="Level4"/>
        <w:numPr>
          <w:ilvl w:val="3"/>
          <w:numId w:val="12"/>
        </w:numPr>
        <w:tabs>
          <w:tab w:val="clear" w:pos="3941"/>
        </w:tabs>
        <w:spacing w:before="240" w:after="240" w:line="320" w:lineRule="exact"/>
        <w:ind w:left="1843"/>
        <w:rPr>
          <w:rFonts w:ascii="Verdana" w:hAnsi="Verdana" w:cs="Tahoma"/>
          <w:szCs w:val="20"/>
        </w:rPr>
      </w:pPr>
      <w:r w:rsidRPr="00F74141">
        <w:rPr>
          <w:rFonts w:ascii="Verdana" w:eastAsia="Arial Unicode MS" w:hAnsi="Verdana" w:cs="Tahoma"/>
          <w:szCs w:val="20"/>
        </w:rPr>
        <w:t xml:space="preserve">assunção de novas dívidas e/ou emissão de valores mobiliários (exceto por emissões de ações) pela Emissora em valor individual ou agregado superior a R$1.000.000,00 (um milhão de reais), </w:t>
      </w:r>
      <w:r w:rsidRPr="00F74141">
        <w:rPr>
          <w:rFonts w:ascii="Verdana" w:hAnsi="Verdana"/>
          <w:szCs w:val="20"/>
        </w:rPr>
        <w:t xml:space="preserve">sem a prévia anuência de Debenturistas nos termos da Cláusula </w:t>
      </w:r>
      <w:r w:rsidRPr="00F74141">
        <w:rPr>
          <w:rFonts w:ascii="Verdana" w:hAnsi="Verdana"/>
          <w:szCs w:val="20"/>
        </w:rPr>
        <w:fldChar w:fldCharType="begin"/>
      </w:r>
      <w:r w:rsidRPr="00F74141">
        <w:rPr>
          <w:rFonts w:ascii="Verdana" w:hAnsi="Verdana"/>
          <w:szCs w:val="20"/>
        </w:rPr>
        <w:instrText xml:space="preserve"> REF _Ref474858914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9.10</w:t>
      </w:r>
      <w:r w:rsidRPr="00F74141">
        <w:rPr>
          <w:rFonts w:ascii="Verdana" w:hAnsi="Verdana"/>
          <w:szCs w:val="20"/>
        </w:rPr>
        <w:fldChar w:fldCharType="end"/>
      </w:r>
      <w:r w:rsidRPr="00F74141">
        <w:rPr>
          <w:rFonts w:ascii="Verdana" w:hAnsi="Verdana"/>
          <w:szCs w:val="20"/>
        </w:rPr>
        <w:t xml:space="preserve"> </w:t>
      </w:r>
      <w:r w:rsidRPr="00F74141">
        <w:rPr>
          <w:rFonts w:ascii="Verdana" w:hAnsi="Verdana"/>
          <w:szCs w:val="20"/>
        </w:rPr>
        <w:fldChar w:fldCharType="begin"/>
      </w:r>
      <w:r w:rsidRPr="00F74141">
        <w:rPr>
          <w:rFonts w:ascii="Verdana" w:hAnsi="Verdana"/>
          <w:szCs w:val="20"/>
        </w:rPr>
        <w:instrText xml:space="preserve"> REF _Ref420594287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iii</w:t>
      </w:r>
      <w:proofErr w:type="spellEnd"/>
      <w:r w:rsidRPr="00F74141">
        <w:rPr>
          <w:rFonts w:ascii="Verdana" w:hAnsi="Verdana"/>
          <w:szCs w:val="20"/>
        </w:rPr>
        <w:t>)</w:t>
      </w:r>
      <w:r w:rsidRPr="00F74141">
        <w:rPr>
          <w:rFonts w:ascii="Verdana" w:hAnsi="Verdana"/>
          <w:szCs w:val="20"/>
        </w:rPr>
        <w:fldChar w:fldCharType="end"/>
      </w:r>
      <w:r w:rsidRPr="00F74141">
        <w:rPr>
          <w:rFonts w:ascii="Verdana" w:eastAsia="Arial Unicode MS" w:hAnsi="Verdana" w:cs="Tahoma"/>
          <w:szCs w:val="20"/>
        </w:rPr>
        <w:t xml:space="preserve">; e </w:t>
      </w:r>
    </w:p>
    <w:p w:rsidR="00204B37" w:rsidRPr="00F74141" w:rsidRDefault="00706572">
      <w:pPr>
        <w:pStyle w:val="Level4"/>
        <w:numPr>
          <w:ilvl w:val="3"/>
          <w:numId w:val="12"/>
        </w:numPr>
        <w:tabs>
          <w:tab w:val="clear" w:pos="3941"/>
        </w:tabs>
        <w:spacing w:before="240" w:after="240" w:line="320" w:lineRule="exact"/>
        <w:ind w:left="1843"/>
        <w:rPr>
          <w:rFonts w:ascii="Verdana" w:hAnsi="Verdana"/>
          <w:szCs w:val="20"/>
        </w:rPr>
      </w:pPr>
      <w:r w:rsidRPr="00F74141">
        <w:rPr>
          <w:rFonts w:ascii="Verdana" w:hAnsi="Verdana"/>
          <w:szCs w:val="20"/>
        </w:rPr>
        <w:t>não observância pela Emissora e/ou pelos Acionistas das respectivas obrigações previstas nos Contratos de Garantias.</w:t>
      </w:r>
    </w:p>
    <w:p w:rsidR="00204B37" w:rsidRPr="00F74141" w:rsidRDefault="00706572">
      <w:pPr>
        <w:pStyle w:val="Level3"/>
        <w:numPr>
          <w:ilvl w:val="2"/>
          <w:numId w:val="9"/>
        </w:numPr>
        <w:spacing w:before="240" w:after="240" w:line="320" w:lineRule="exact"/>
        <w:rPr>
          <w:rFonts w:ascii="Verdana" w:hAnsi="Verdana"/>
          <w:szCs w:val="20"/>
        </w:rPr>
      </w:pPr>
      <w:bookmarkStart w:id="105" w:name="_Ref420593943"/>
      <w:bookmarkStart w:id="106" w:name="_Ref420337144"/>
      <w:r w:rsidRPr="00F74141">
        <w:rPr>
          <w:rFonts w:ascii="Verdana" w:hAnsi="Verdana"/>
          <w:szCs w:val="20"/>
        </w:rPr>
        <w:t xml:space="preserve">Os valores mencionados na Cláusula </w:t>
      </w:r>
      <w:r w:rsidRPr="00F74141">
        <w:rPr>
          <w:rFonts w:ascii="Verdana" w:hAnsi="Verdana"/>
          <w:szCs w:val="20"/>
        </w:rPr>
        <w:fldChar w:fldCharType="begin"/>
      </w:r>
      <w:r w:rsidRPr="00F74141">
        <w:rPr>
          <w:rFonts w:ascii="Verdana" w:hAnsi="Verdana"/>
          <w:szCs w:val="20"/>
        </w:rPr>
        <w:instrText xml:space="preserve"> REF _Ref420336741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6.1.1</w:t>
      </w:r>
      <w:r w:rsidRPr="00F74141">
        <w:rPr>
          <w:rFonts w:ascii="Verdana" w:hAnsi="Verdana"/>
          <w:szCs w:val="20"/>
        </w:rPr>
        <w:fldChar w:fldCharType="end"/>
      </w:r>
      <w:r w:rsidRPr="00F74141">
        <w:rPr>
          <w:rFonts w:ascii="Verdana" w:hAnsi="Verdana"/>
          <w:szCs w:val="20"/>
        </w:rPr>
        <w:t xml:space="preserve">, inciso (xi), e na Cláusula </w:t>
      </w:r>
      <w:r w:rsidRPr="00F74141">
        <w:rPr>
          <w:rFonts w:ascii="Verdana" w:hAnsi="Verdana"/>
          <w:szCs w:val="20"/>
        </w:rPr>
        <w:fldChar w:fldCharType="begin"/>
      </w:r>
      <w:r w:rsidRPr="00F74141">
        <w:rPr>
          <w:rFonts w:ascii="Verdana" w:hAnsi="Verdana"/>
          <w:szCs w:val="20"/>
        </w:rPr>
        <w:instrText xml:space="preserve"> REF _Ref420336721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6.2.1</w:t>
      </w:r>
      <w:r w:rsidRPr="00F74141">
        <w:rPr>
          <w:rFonts w:ascii="Verdana" w:hAnsi="Verdana"/>
          <w:szCs w:val="20"/>
        </w:rPr>
        <w:fldChar w:fldCharType="end"/>
      </w:r>
      <w:r w:rsidRPr="00F74141">
        <w:rPr>
          <w:rFonts w:ascii="Verdana" w:hAnsi="Verdana"/>
          <w:szCs w:val="20"/>
        </w:rPr>
        <w:t xml:space="preserve">, incisos </w:t>
      </w:r>
      <w:r w:rsidRPr="00F74141">
        <w:rPr>
          <w:rFonts w:ascii="Verdana" w:hAnsi="Verdana"/>
          <w:szCs w:val="20"/>
        </w:rPr>
        <w:fldChar w:fldCharType="begin"/>
      </w:r>
      <w:r w:rsidRPr="00F74141">
        <w:rPr>
          <w:rFonts w:ascii="Verdana" w:hAnsi="Verdana"/>
          <w:szCs w:val="20"/>
        </w:rPr>
        <w:instrText xml:space="preserve"> REF _Ref474859206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iv</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 (v), (</w:t>
      </w:r>
      <w:proofErr w:type="spellStart"/>
      <w:r w:rsidRPr="00F74141">
        <w:rPr>
          <w:rFonts w:ascii="Verdana" w:hAnsi="Verdana"/>
          <w:szCs w:val="20"/>
        </w:rPr>
        <w:t>vii</w:t>
      </w:r>
      <w:proofErr w:type="spellEnd"/>
      <w:r w:rsidRPr="00F74141">
        <w:rPr>
          <w:rFonts w:ascii="Verdana" w:hAnsi="Verdana"/>
          <w:szCs w:val="20"/>
        </w:rPr>
        <w:t>) e (</w:t>
      </w:r>
      <w:proofErr w:type="spellStart"/>
      <w:r w:rsidRPr="00F74141">
        <w:rPr>
          <w:rFonts w:ascii="Verdana" w:hAnsi="Verdana"/>
          <w:szCs w:val="20"/>
        </w:rPr>
        <w:t>xii</w:t>
      </w:r>
      <w:proofErr w:type="spellEnd"/>
      <w:r w:rsidRPr="00F74141">
        <w:rPr>
          <w:rFonts w:ascii="Verdana" w:hAnsi="Verdana"/>
          <w:szCs w:val="20"/>
        </w:rPr>
        <w:t>), serão atualizados anualmente, a partir da Data de Emissão pelo IPCA.</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Para fins desta Escritura de Emissão, o termo “</w:t>
      </w:r>
      <w:r w:rsidRPr="00F74141">
        <w:rPr>
          <w:rFonts w:ascii="Verdana" w:hAnsi="Verdana"/>
          <w:b/>
          <w:szCs w:val="20"/>
        </w:rPr>
        <w:t>ICSD</w:t>
      </w:r>
      <w:r w:rsidRPr="00F74141">
        <w:rPr>
          <w:rFonts w:ascii="Verdana" w:hAnsi="Verdana"/>
          <w:szCs w:val="20"/>
        </w:rPr>
        <w:t xml:space="preserve">” significa o índice de cobertura do serviço da dívida, calculado de acordo com </w:t>
      </w:r>
      <w:r w:rsidRPr="00F74141">
        <w:rPr>
          <w:rFonts w:ascii="Verdana" w:hAnsi="Verdana" w:cs="Verdana"/>
          <w:szCs w:val="20"/>
        </w:rPr>
        <w:t xml:space="preserve">a divisão do </w:t>
      </w:r>
      <w:r w:rsidRPr="00F74141">
        <w:rPr>
          <w:rFonts w:ascii="Verdana" w:hAnsi="Verdana"/>
          <w:szCs w:val="20"/>
        </w:rPr>
        <w:t>Fluxo de Caixa Operacional pelo Serviço da Dívida, sendo</w:t>
      </w:r>
      <w:r w:rsidRPr="00F74141">
        <w:rPr>
          <w:rFonts w:ascii="Verdana" w:hAnsi="Verdana" w:cs="Verdana"/>
          <w:szCs w:val="20"/>
        </w:rPr>
        <w:t>:</w:t>
      </w:r>
    </w:p>
    <w:p w:rsidR="00204B37" w:rsidRPr="00F74141" w:rsidRDefault="00706572">
      <w:pPr>
        <w:pStyle w:val="Level1"/>
        <w:keepNext w:val="0"/>
        <w:numPr>
          <w:ilvl w:val="0"/>
          <w:numId w:val="0"/>
        </w:numPr>
        <w:spacing w:before="240" w:after="240" w:line="320" w:lineRule="exact"/>
        <w:ind w:left="1701"/>
        <w:rPr>
          <w:rFonts w:ascii="Verdana" w:hAnsi="Verdana" w:cs="Verdana"/>
          <w:b w:val="0"/>
          <w:sz w:val="20"/>
          <w:szCs w:val="20"/>
        </w:rPr>
      </w:pPr>
      <w:r w:rsidRPr="00F74141">
        <w:rPr>
          <w:rFonts w:ascii="Verdana" w:hAnsi="Verdana" w:cs="Verdana"/>
          <w:sz w:val="20"/>
          <w:szCs w:val="20"/>
        </w:rPr>
        <w:t>Fluxo de Caixa Operacional</w:t>
      </w:r>
      <w:r w:rsidRPr="00F74141">
        <w:rPr>
          <w:rFonts w:ascii="Verdana" w:hAnsi="Verdana" w:cs="Verdana"/>
          <w:b w:val="0"/>
          <w:sz w:val="20"/>
          <w:szCs w:val="20"/>
        </w:rPr>
        <w:t>: EBITDA - (Imposto de Renda e Contribuição Social (pagos) + Variação da Necessidade de Capital de Giro + CAPEX); e</w:t>
      </w:r>
    </w:p>
    <w:p w:rsidR="00204B37" w:rsidRPr="00F74141" w:rsidRDefault="00706572">
      <w:pPr>
        <w:pStyle w:val="Level1"/>
        <w:keepNext w:val="0"/>
        <w:numPr>
          <w:ilvl w:val="0"/>
          <w:numId w:val="0"/>
        </w:numPr>
        <w:spacing w:before="240" w:after="240" w:line="320" w:lineRule="exact"/>
        <w:ind w:left="1701"/>
        <w:rPr>
          <w:rFonts w:ascii="Verdana" w:hAnsi="Verdana" w:cs="Verdana"/>
          <w:b w:val="0"/>
          <w:sz w:val="20"/>
          <w:szCs w:val="20"/>
        </w:rPr>
      </w:pPr>
      <w:r w:rsidRPr="00F74141">
        <w:rPr>
          <w:rFonts w:ascii="Verdana" w:hAnsi="Verdana" w:cs="Verdana"/>
          <w:sz w:val="20"/>
          <w:szCs w:val="20"/>
        </w:rPr>
        <w:t>Serviço de Dívida</w:t>
      </w:r>
      <w:r w:rsidRPr="00F74141">
        <w:rPr>
          <w:rFonts w:ascii="Verdana" w:hAnsi="Verdana" w:cs="Verdana"/>
          <w:b w:val="0"/>
          <w:sz w:val="20"/>
          <w:szCs w:val="20"/>
        </w:rPr>
        <w:t>: pagamento de principal, correção monetária e juros devidos das dívidas onerosas da Emissora.</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 xml:space="preserve">Observado o disposto nas Cláusulas acima, a Assembleia Geral de Debenturistas mencionada na Cláusula </w:t>
      </w:r>
      <w:r w:rsidRPr="00F74141">
        <w:rPr>
          <w:rFonts w:ascii="Verdana" w:hAnsi="Verdana"/>
          <w:szCs w:val="20"/>
        </w:rPr>
        <w:fldChar w:fldCharType="begin"/>
      </w:r>
      <w:r w:rsidRPr="00F74141">
        <w:rPr>
          <w:rFonts w:ascii="Verdana" w:hAnsi="Verdana"/>
          <w:szCs w:val="20"/>
        </w:rPr>
        <w:instrText xml:space="preserve"> REF _Ref468382152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6.2.1 acima</w:t>
      </w:r>
      <w:r w:rsidRPr="00F74141">
        <w:rPr>
          <w:rFonts w:ascii="Verdana" w:hAnsi="Verdana"/>
          <w:szCs w:val="20"/>
        </w:rPr>
        <w:fldChar w:fldCharType="end"/>
      </w:r>
      <w:r w:rsidRPr="00F74141">
        <w:rPr>
          <w:rFonts w:ascii="Verdana" w:hAnsi="Verdana"/>
          <w:szCs w:val="20"/>
        </w:rPr>
        <w:t xml:space="preserve"> será instalada, em primeira convocação, com Debenturistas representando, no mínimo, a maioria simples das Debêntures em Circulação, definidas na Cláusula </w:t>
      </w:r>
      <w:r w:rsidRPr="00F74141">
        <w:rPr>
          <w:rFonts w:ascii="Verdana" w:hAnsi="Verdana"/>
          <w:szCs w:val="20"/>
        </w:rPr>
        <w:fldChar w:fldCharType="begin"/>
      </w:r>
      <w:r w:rsidRPr="00F74141">
        <w:rPr>
          <w:rFonts w:ascii="Verdana" w:hAnsi="Verdana"/>
          <w:szCs w:val="20"/>
        </w:rPr>
        <w:instrText xml:space="preserve"> REF _Ref11579110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9.13</w:t>
      </w:r>
      <w:r w:rsidRPr="00F74141">
        <w:rPr>
          <w:rFonts w:ascii="Verdana" w:hAnsi="Verdana"/>
          <w:szCs w:val="20"/>
        </w:rPr>
        <w:fldChar w:fldCharType="end"/>
      </w:r>
      <w:r w:rsidRPr="00F74141">
        <w:rPr>
          <w:rFonts w:ascii="Verdana" w:hAnsi="Verdana"/>
          <w:szCs w:val="20"/>
        </w:rPr>
        <w:t>, e, em segunda convocação, com qualquer número de Debenturistas.</w:t>
      </w:r>
      <w:bookmarkEnd w:id="105"/>
    </w:p>
    <w:p w:rsidR="00204B37" w:rsidRPr="00F74141" w:rsidRDefault="00706572">
      <w:pPr>
        <w:pStyle w:val="Level3"/>
        <w:numPr>
          <w:ilvl w:val="2"/>
          <w:numId w:val="9"/>
        </w:numPr>
        <w:spacing w:before="240" w:after="240" w:line="320" w:lineRule="exact"/>
        <w:rPr>
          <w:rFonts w:ascii="Verdana" w:hAnsi="Verdana"/>
          <w:szCs w:val="20"/>
        </w:rPr>
      </w:pPr>
      <w:bookmarkStart w:id="107" w:name="_Ref420594668"/>
      <w:r w:rsidRPr="00F74141">
        <w:rPr>
          <w:rFonts w:ascii="Verdana" w:hAnsi="Verdana"/>
          <w:szCs w:val="20"/>
        </w:rPr>
        <w:t xml:space="preserve">Na ocorrência de qualquer das hipóteses previstas na Cláusula </w:t>
      </w:r>
      <w:r w:rsidRPr="00F74141">
        <w:rPr>
          <w:rFonts w:ascii="Verdana" w:hAnsi="Verdana"/>
          <w:szCs w:val="20"/>
        </w:rPr>
        <w:fldChar w:fldCharType="begin"/>
      </w:r>
      <w:r w:rsidRPr="00F74141">
        <w:rPr>
          <w:rFonts w:ascii="Verdana" w:hAnsi="Verdana"/>
          <w:szCs w:val="20"/>
        </w:rPr>
        <w:instrText xml:space="preserve"> REF _Ref468382152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6.2.1 acima</w:t>
      </w:r>
      <w:r w:rsidRPr="00F74141">
        <w:rPr>
          <w:rFonts w:ascii="Verdana" w:hAnsi="Verdana"/>
          <w:szCs w:val="20"/>
        </w:rPr>
        <w:fldChar w:fldCharType="end"/>
      </w:r>
      <w:r w:rsidRPr="00F74141">
        <w:rPr>
          <w:rFonts w:ascii="Verdana" w:hAnsi="Verdana"/>
          <w:szCs w:val="20"/>
        </w:rPr>
        <w:t>, o Agente Fiduciário apenas não declarará o vencimento antecipado das obrigações assumidas pela Emissora, caso os Debenturistas, representando, no mínimo, 2/3 (dois terços) das Debêntures em Circulação, em primeira convocação, ou 50% (cinquenta por cento) mais 1 (uma) das Debêntures em Circulação, em segunda convocação, tenham deliberado pela não declaração do vencimento antecipado das Debêntures.</w:t>
      </w:r>
      <w:bookmarkEnd w:id="106"/>
      <w:bookmarkEnd w:id="107"/>
      <w:r w:rsidRPr="00F74141">
        <w:rPr>
          <w:rFonts w:ascii="Verdana" w:hAnsi="Verdana"/>
          <w:szCs w:val="20"/>
        </w:rPr>
        <w:t xml:space="preserve"> </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 xml:space="preserve">Caso a Assembleia Geral de Debenturistas mencionada na Cláusula </w:t>
      </w:r>
      <w:r w:rsidRPr="00F74141">
        <w:rPr>
          <w:rFonts w:ascii="Verdana" w:hAnsi="Verdana"/>
          <w:szCs w:val="20"/>
        </w:rPr>
        <w:fldChar w:fldCharType="begin"/>
      </w:r>
      <w:r w:rsidRPr="00F74141">
        <w:rPr>
          <w:rFonts w:ascii="Verdana" w:hAnsi="Verdana"/>
          <w:szCs w:val="20"/>
        </w:rPr>
        <w:instrText xml:space="preserve"> REF _Ref468382152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6.2.1</w:t>
      </w:r>
      <w:r w:rsidRPr="00F74141">
        <w:rPr>
          <w:rFonts w:ascii="Verdana" w:hAnsi="Verdana"/>
          <w:szCs w:val="20"/>
        </w:rPr>
        <w:fldChar w:fldCharType="end"/>
      </w:r>
      <w:r w:rsidRPr="00F74141">
        <w:rPr>
          <w:rFonts w:ascii="Verdana" w:hAnsi="Verdana"/>
          <w:szCs w:val="20"/>
        </w:rPr>
        <w:t xml:space="preserve"> não seja instalada em primeira convocação e caso não haja quórum para instalação e/ou deliberação em segunda convocação, o Agente Fiduciário deverá declarar o vencimento antecipado das obrigações assumidas pela Emissora nesta Escritura de Emissão. </w:t>
      </w:r>
    </w:p>
    <w:p w:rsidR="00204B37" w:rsidRPr="00F74141" w:rsidRDefault="00706572">
      <w:pPr>
        <w:pStyle w:val="Level3"/>
        <w:numPr>
          <w:ilvl w:val="2"/>
          <w:numId w:val="9"/>
        </w:numPr>
        <w:spacing w:before="240" w:after="240" w:line="320" w:lineRule="exact"/>
        <w:rPr>
          <w:rFonts w:ascii="Verdana" w:hAnsi="Verdana"/>
          <w:szCs w:val="20"/>
        </w:rPr>
      </w:pPr>
      <w:bookmarkStart w:id="108" w:name="_Ref420336801"/>
      <w:bookmarkStart w:id="109" w:name="_Ref474506393"/>
      <w:r w:rsidRPr="00F74141">
        <w:rPr>
          <w:rFonts w:ascii="Verdana" w:hAnsi="Verdana"/>
          <w:szCs w:val="20"/>
        </w:rPr>
        <w:t>Nos casos de Eventos de Vencimento Antecipado Mediante AGD, o Agente Fiduciário deverá comunicar, por escrito, eventual vencimento antecipado das Debêntures à Emissora, à B3 e ao Agente de Liquidação (i) por meio de correio eletrônico imediatamente após a realização da respectiva Assembleia Geral de Debenturistas, e (</w:t>
      </w:r>
      <w:proofErr w:type="spellStart"/>
      <w:r w:rsidRPr="00F74141">
        <w:rPr>
          <w:rFonts w:ascii="Verdana" w:hAnsi="Verdana"/>
          <w:szCs w:val="20"/>
        </w:rPr>
        <w:t>ii</w:t>
      </w:r>
      <w:proofErr w:type="spellEnd"/>
      <w:r w:rsidRPr="00F74141">
        <w:rPr>
          <w:rFonts w:ascii="Verdana" w:hAnsi="Verdana"/>
          <w:szCs w:val="20"/>
        </w:rPr>
        <w:t>) mediante carta protocolada ou com AR expedido pelos Correios, no prazo máximo de 2 (dois) Dias Úteis contados da realização da respectiva Assembleia Geral de Debenturistas.</w:t>
      </w:r>
      <w:bookmarkEnd w:id="108"/>
      <w:bookmarkEnd w:id="109"/>
      <w:r w:rsidRPr="00F74141">
        <w:rPr>
          <w:rFonts w:ascii="Verdana" w:hAnsi="Verdana"/>
          <w:szCs w:val="20"/>
        </w:rPr>
        <w:t xml:space="preserve"> </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 xml:space="preserve">Nos casos de Eventos de Vencimento Antecipado Mediante AGD, declarado o vencimento antecipado das Debêntures, o pagamento do saldo do Valor Nominal Unitário das Debêntures da Primeira Série e do Valor Nominal Unitário Atualizado das Debêntures da Segunda Série, conforme o caso, acrescidos dos respectivos Juros Remuneratórios, calculados </w:t>
      </w:r>
      <w:r w:rsidRPr="00F74141">
        <w:rPr>
          <w:rFonts w:ascii="Verdana" w:hAnsi="Verdana"/>
          <w:i/>
          <w:iCs/>
          <w:szCs w:val="20"/>
        </w:rPr>
        <w:t xml:space="preserve">pro rata </w:t>
      </w:r>
      <w:proofErr w:type="spellStart"/>
      <w:r w:rsidRPr="00F74141">
        <w:rPr>
          <w:rFonts w:ascii="Verdana" w:hAnsi="Verdana"/>
          <w:i/>
          <w:iCs/>
          <w:szCs w:val="20"/>
        </w:rPr>
        <w:t>temporis</w:t>
      </w:r>
      <w:proofErr w:type="spellEnd"/>
      <w:r w:rsidRPr="00F74141">
        <w:rPr>
          <w:rFonts w:ascii="Verdana" w:hAnsi="Verdana"/>
          <w:i/>
          <w:iCs/>
          <w:szCs w:val="20"/>
        </w:rPr>
        <w:t xml:space="preserve"> </w:t>
      </w:r>
      <w:r w:rsidRPr="00F74141">
        <w:rPr>
          <w:rFonts w:ascii="Verdana" w:hAnsi="Verdana"/>
          <w:iCs/>
          <w:szCs w:val="20"/>
        </w:rPr>
        <w:t xml:space="preserve">desde a </w:t>
      </w:r>
      <w:r w:rsidRPr="00F74141">
        <w:rPr>
          <w:rFonts w:ascii="Verdana" w:hAnsi="Verdana"/>
          <w:szCs w:val="20"/>
        </w:rPr>
        <w:t>Data da Primeira Integralização</w:t>
      </w:r>
      <w:r w:rsidRPr="00F74141">
        <w:rPr>
          <w:rFonts w:ascii="Verdana" w:hAnsi="Verdana"/>
          <w:iCs/>
          <w:szCs w:val="20"/>
        </w:rPr>
        <w:t xml:space="preserve"> (ou </w:t>
      </w:r>
      <w:r w:rsidRPr="00F74141">
        <w:rPr>
          <w:rFonts w:ascii="Verdana" w:hAnsi="Verdana"/>
        </w:rPr>
        <w:t xml:space="preserve">a Data de Pagamento dos Juros Remuneratórios imediatamente anterior, conforme aplicável) </w:t>
      </w:r>
      <w:r w:rsidRPr="00F74141">
        <w:rPr>
          <w:rFonts w:ascii="Verdana" w:hAnsi="Verdana"/>
          <w:iCs/>
          <w:szCs w:val="20"/>
        </w:rPr>
        <w:t xml:space="preserve">até a </w:t>
      </w:r>
      <w:r w:rsidRPr="00F74141">
        <w:rPr>
          <w:rFonts w:ascii="Verdana" w:hAnsi="Verdana"/>
          <w:szCs w:val="20"/>
        </w:rPr>
        <w:t xml:space="preserve">data do efetivo pagamento, conforme o disposto nesta Escritura de Emissão e de quaisquer outros valores eventualmente devidos pela Emissora nos termos desta Escritura de Emissão, deverá ser efetuado em até 2 (dois) Dias Úteis contados do recebimento pela Emissora do correio eletrônico mencionado na Cláusula </w:t>
      </w:r>
      <w:r w:rsidRPr="00F74141">
        <w:rPr>
          <w:rFonts w:ascii="Verdana" w:hAnsi="Verdana"/>
          <w:szCs w:val="20"/>
        </w:rPr>
        <w:fldChar w:fldCharType="begin"/>
      </w:r>
      <w:r w:rsidRPr="00F74141">
        <w:rPr>
          <w:rFonts w:ascii="Verdana" w:hAnsi="Verdana"/>
          <w:szCs w:val="20"/>
        </w:rPr>
        <w:instrText xml:space="preserve"> REF _Ref474506393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6.2.7</w:t>
      </w:r>
      <w:r w:rsidRPr="00F74141">
        <w:rPr>
          <w:rFonts w:ascii="Verdana" w:hAnsi="Verdana"/>
          <w:szCs w:val="20"/>
        </w:rPr>
        <w:fldChar w:fldCharType="end"/>
      </w:r>
      <w:r w:rsidRPr="00F74141">
        <w:rPr>
          <w:rFonts w:ascii="Verdana" w:hAnsi="Verdana"/>
          <w:szCs w:val="20"/>
        </w:rPr>
        <w:t xml:space="preserve"> acima.</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 xml:space="preserve">Caso a Emissora não efetue o pagamento previsto na Cláusula anterior no prazo estabelecido, serão devidos os Encargos Moratórios sobre o saldo do Valor Nominal Unitário das Debêntures da Primeira Série e o Valor Nominal Unitário Atualizado das Debêntures da Segunda Série, conforme o caso, acrescidos dos respectivos Juros Remuneratórios, incidentes desde a data de término do prazo acima referido até a data de seu efetivo pagamento. </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A B3 deverá ser comunicada imediatamente após a declaração do vencimento antecipado e de acordo com os termos e condições previstos no manual de operações.</w:t>
      </w:r>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 xml:space="preserve">Para os fins de que trata esta Escritura de Emissão, a data da declaração do vencimento antecipado das Debêntures será: </w:t>
      </w:r>
    </w:p>
    <w:p w:rsidR="00204B37" w:rsidRPr="00F74141" w:rsidRDefault="00706572">
      <w:pPr>
        <w:pStyle w:val="Level4"/>
        <w:numPr>
          <w:ilvl w:val="3"/>
          <w:numId w:val="18"/>
        </w:numPr>
        <w:tabs>
          <w:tab w:val="clear" w:pos="3941"/>
          <w:tab w:val="num" w:pos="3261"/>
        </w:tabs>
        <w:spacing w:before="240" w:after="240" w:line="320" w:lineRule="exact"/>
        <w:ind w:left="1701" w:hanging="567"/>
        <w:rPr>
          <w:rFonts w:ascii="Verdana" w:hAnsi="Verdana"/>
          <w:szCs w:val="20"/>
        </w:rPr>
      </w:pPr>
      <w:r w:rsidRPr="00F74141">
        <w:rPr>
          <w:rFonts w:ascii="Verdana" w:hAnsi="Verdana"/>
          <w:szCs w:val="20"/>
        </w:rPr>
        <w:t xml:space="preserve">a data de ocorrência dos Eventos de Vencimento Antecipado de Declaração Automática, previstos na Cláusula </w:t>
      </w:r>
      <w:r w:rsidRPr="00F74141">
        <w:rPr>
          <w:rFonts w:ascii="Verdana" w:hAnsi="Verdana"/>
          <w:szCs w:val="20"/>
        </w:rPr>
        <w:fldChar w:fldCharType="begin"/>
      </w:r>
      <w:r w:rsidRPr="00F74141">
        <w:rPr>
          <w:rFonts w:ascii="Verdana" w:hAnsi="Verdana"/>
          <w:szCs w:val="20"/>
        </w:rPr>
        <w:instrText xml:space="preserve"> REF _Ref420336741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6.1.1</w:t>
      </w:r>
      <w:r w:rsidRPr="00F74141">
        <w:rPr>
          <w:rFonts w:ascii="Verdana" w:hAnsi="Verdana"/>
          <w:szCs w:val="20"/>
        </w:rPr>
        <w:fldChar w:fldCharType="end"/>
      </w:r>
      <w:r w:rsidRPr="00F74141">
        <w:rPr>
          <w:rFonts w:ascii="Verdana" w:hAnsi="Verdana"/>
          <w:szCs w:val="20"/>
        </w:rPr>
        <w:t xml:space="preserve">, respeitados os eventuais prazos de cura, sendo certo que, nessas hipóteses, o vencimento antecipado das Debêntures será declarado automaticamente pelo Agente Fiduciário; e </w:t>
      </w:r>
    </w:p>
    <w:p w:rsidR="00204B37" w:rsidRPr="00F74141" w:rsidRDefault="00706572">
      <w:pPr>
        <w:pStyle w:val="Level4"/>
        <w:numPr>
          <w:ilvl w:val="3"/>
          <w:numId w:val="18"/>
        </w:numPr>
        <w:tabs>
          <w:tab w:val="clear" w:pos="3941"/>
          <w:tab w:val="num" w:pos="3261"/>
        </w:tabs>
        <w:spacing w:before="240" w:after="240" w:line="320" w:lineRule="exact"/>
        <w:ind w:left="1701" w:hanging="567"/>
        <w:rPr>
          <w:rFonts w:ascii="Verdana" w:hAnsi="Verdana"/>
          <w:szCs w:val="20"/>
        </w:rPr>
      </w:pPr>
      <w:r w:rsidRPr="00F74141">
        <w:rPr>
          <w:rFonts w:ascii="Verdana" w:hAnsi="Verdana"/>
          <w:szCs w:val="20"/>
        </w:rPr>
        <w:t xml:space="preserve">ocorrendo qualquer dos Eventos de Vencimento Antecipado Mediante AGD, previstos na Cláusula </w:t>
      </w:r>
      <w:r w:rsidRPr="00F74141">
        <w:rPr>
          <w:rFonts w:ascii="Verdana" w:hAnsi="Verdana"/>
          <w:szCs w:val="20"/>
        </w:rPr>
        <w:fldChar w:fldCharType="begin"/>
      </w:r>
      <w:r w:rsidRPr="00F74141">
        <w:rPr>
          <w:rFonts w:ascii="Verdana" w:hAnsi="Verdana"/>
          <w:szCs w:val="20"/>
        </w:rPr>
        <w:instrText xml:space="preserve"> REF _Ref468382152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6.2.1 acima</w:t>
      </w:r>
      <w:r w:rsidRPr="00F74141">
        <w:rPr>
          <w:rFonts w:ascii="Verdana" w:hAnsi="Verdana"/>
          <w:szCs w:val="20"/>
        </w:rPr>
        <w:fldChar w:fldCharType="end"/>
      </w:r>
      <w:r w:rsidRPr="00F74141">
        <w:rPr>
          <w:rFonts w:ascii="Verdana" w:hAnsi="Verdana"/>
          <w:szCs w:val="20"/>
        </w:rPr>
        <w:t>, será a data em que se realizar a Assembleia Geral de Debenturistas de que trata a referida Cláusula, na qual os Debenturistas tenham deliberado pela declaração de vencimento antecipado das Debêntures ou na data em que a Assembleia Geral de Debenturistas, em segunda convocação, deveria ter ocorrido, mas que não tenha sido verificado quórum para deliberação.</w:t>
      </w:r>
    </w:p>
    <w:p w:rsidR="00204B37" w:rsidRPr="00F74141" w:rsidRDefault="00706572">
      <w:pPr>
        <w:pStyle w:val="Level1"/>
        <w:keepNext w:val="0"/>
        <w:numPr>
          <w:ilvl w:val="0"/>
          <w:numId w:val="9"/>
        </w:numPr>
        <w:spacing w:before="240" w:after="240" w:line="320" w:lineRule="exact"/>
        <w:rPr>
          <w:rFonts w:ascii="Verdana" w:eastAsia="TT108t00" w:hAnsi="Verdana"/>
          <w:sz w:val="20"/>
          <w:szCs w:val="20"/>
        </w:rPr>
      </w:pPr>
      <w:r w:rsidRPr="00F74141">
        <w:rPr>
          <w:rFonts w:ascii="Verdana" w:eastAsia="TT108t00" w:hAnsi="Verdana"/>
          <w:sz w:val="20"/>
          <w:szCs w:val="20"/>
        </w:rPr>
        <w:t xml:space="preserve">DAS </w:t>
      </w:r>
      <w:r w:rsidRPr="00F74141">
        <w:rPr>
          <w:rFonts w:ascii="Verdana" w:hAnsi="Verdana"/>
          <w:sz w:val="20"/>
          <w:szCs w:val="20"/>
        </w:rPr>
        <w:t>OBRIGAÇÕES</w:t>
      </w:r>
      <w:r w:rsidRPr="00F74141">
        <w:rPr>
          <w:rFonts w:ascii="Verdana" w:eastAsia="TT108t00" w:hAnsi="Verdana"/>
          <w:sz w:val="20"/>
          <w:szCs w:val="20"/>
        </w:rPr>
        <w:t xml:space="preserve"> ADICIONAIS DA EMISSORA</w:t>
      </w:r>
    </w:p>
    <w:p w:rsidR="00204B37" w:rsidRPr="00F74141" w:rsidRDefault="00706572">
      <w:pPr>
        <w:pStyle w:val="Level2"/>
        <w:numPr>
          <w:ilvl w:val="1"/>
          <w:numId w:val="9"/>
        </w:numPr>
        <w:spacing w:before="240" w:after="240" w:line="320" w:lineRule="exact"/>
        <w:rPr>
          <w:rFonts w:ascii="Verdana" w:hAnsi="Verdana"/>
          <w:szCs w:val="20"/>
        </w:rPr>
      </w:pPr>
      <w:bookmarkStart w:id="110" w:name="_Ref420594999"/>
      <w:bookmarkStart w:id="111" w:name="_Ref474777156"/>
      <w:r w:rsidRPr="00F74141">
        <w:rPr>
          <w:rFonts w:ascii="Verdana" w:hAnsi="Verdana"/>
          <w:szCs w:val="20"/>
        </w:rPr>
        <w:t>Sem prejuízo das demais obrigações previstas nesta Escritura de Emissão, enquanto as Debêntures estiverem em circulação, a Emissora adicionalmente se obriga a:</w:t>
      </w:r>
      <w:bookmarkEnd w:id="110"/>
      <w:bookmarkEnd w:id="111"/>
      <w:r w:rsidRPr="00F74141">
        <w:rPr>
          <w:rFonts w:ascii="Verdana" w:hAnsi="Verdana"/>
          <w:szCs w:val="20"/>
        </w:rPr>
        <w:t xml:space="preserve"> </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bookmarkStart w:id="112" w:name="_Ref522019840"/>
      <w:r w:rsidRPr="00F74141">
        <w:rPr>
          <w:rFonts w:ascii="Verdana" w:hAnsi="Verdana"/>
          <w:szCs w:val="20"/>
        </w:rPr>
        <w:t>disponibilizar ao Agente Fiduciário:</w:t>
      </w:r>
      <w:bookmarkEnd w:id="112"/>
    </w:p>
    <w:p w:rsidR="00204B37" w:rsidRPr="00F74141" w:rsidRDefault="00706572">
      <w:pPr>
        <w:pStyle w:val="Level5"/>
        <w:numPr>
          <w:ilvl w:val="4"/>
          <w:numId w:val="9"/>
        </w:numPr>
        <w:spacing w:before="240" w:after="240" w:line="320" w:lineRule="exact"/>
        <w:rPr>
          <w:rFonts w:ascii="Verdana" w:hAnsi="Verdana"/>
          <w:szCs w:val="20"/>
        </w:rPr>
      </w:pPr>
      <w:r w:rsidRPr="00F74141">
        <w:rPr>
          <w:rFonts w:ascii="Verdana" w:hAnsi="Verdana"/>
          <w:szCs w:val="20"/>
        </w:rPr>
        <w:t>dentro de, no máximo, 3 (três) meses contados do término de cada exercício social ou em até 5 (cinco) Dias Úteis contados da data de sua divulgação, o que ocorrer primeiro, (1) cópia das demonstrações financeiras publicadas e completas relativas ao respectivo período encerrado, acompanhadas de parecer dos auditores independentes e da memória de cálculo dos índices financeiros; e (2) declaração assinada pelo(s) representante(s) legal(</w:t>
      </w:r>
      <w:proofErr w:type="spellStart"/>
      <w:r w:rsidRPr="00F74141">
        <w:rPr>
          <w:rFonts w:ascii="Verdana" w:hAnsi="Verdana"/>
          <w:szCs w:val="20"/>
        </w:rPr>
        <w:t>is</w:t>
      </w:r>
      <w:proofErr w:type="spellEnd"/>
      <w:r w:rsidRPr="00F74141">
        <w:rPr>
          <w:rFonts w:ascii="Verdana" w:hAnsi="Verdana"/>
          <w:szCs w:val="20"/>
        </w:rPr>
        <w:t xml:space="preserve">) da Emissora, com poderes para tanto, na forma do seu estatuto social, atestando: (a) que permanecem válidas as disposições contidas nesta Escritura de Emissão; (b) não ocorrência de qualquer dos Eventos de Vencimento Antecipado e inexistência de descumprimento de obrigações da Emissora perante os Debenturistas; e (c) e que não foram praticados atos em desacordo com seu estatuto social; </w:t>
      </w:r>
    </w:p>
    <w:p w:rsidR="00204B37" w:rsidRPr="00F74141" w:rsidRDefault="00706572">
      <w:pPr>
        <w:pStyle w:val="Level5"/>
        <w:numPr>
          <w:ilvl w:val="4"/>
          <w:numId w:val="9"/>
        </w:numPr>
        <w:spacing w:before="240" w:after="240" w:line="320" w:lineRule="exact"/>
        <w:rPr>
          <w:rFonts w:ascii="Verdana" w:hAnsi="Verdana"/>
          <w:szCs w:val="20"/>
        </w:rPr>
      </w:pPr>
      <w:r w:rsidRPr="00F74141">
        <w:rPr>
          <w:rFonts w:ascii="Verdana" w:hAnsi="Verdana"/>
          <w:szCs w:val="20"/>
        </w:rPr>
        <w:t>no prazo de até 5 (cinco) Dias Úteis contado da data em que forem realizados, avisos aos Debenturistas;</w:t>
      </w:r>
    </w:p>
    <w:p w:rsidR="00204B37" w:rsidRPr="00F74141" w:rsidRDefault="00706572">
      <w:pPr>
        <w:pStyle w:val="Level5"/>
        <w:numPr>
          <w:ilvl w:val="4"/>
          <w:numId w:val="9"/>
        </w:numPr>
        <w:spacing w:before="240" w:after="240" w:line="320" w:lineRule="exact"/>
        <w:rPr>
          <w:rFonts w:ascii="Verdana" w:hAnsi="Verdana"/>
          <w:szCs w:val="20"/>
        </w:rPr>
      </w:pPr>
      <w:r w:rsidRPr="00F74141">
        <w:rPr>
          <w:rFonts w:ascii="Verdana" w:hAnsi="Verdana"/>
          <w:szCs w:val="20"/>
        </w:rPr>
        <w:t>no prazo de até 3 (três) Dias Úteis contado da data de ciência da ocorrência, informações a respeito da ocorrência de qualquer Evento de Vencimento Antecipado;</w:t>
      </w:r>
    </w:p>
    <w:p w:rsidR="00204B37" w:rsidRPr="00F74141" w:rsidRDefault="00706572">
      <w:pPr>
        <w:pStyle w:val="Level5"/>
        <w:numPr>
          <w:ilvl w:val="4"/>
          <w:numId w:val="9"/>
        </w:numPr>
        <w:spacing w:before="240" w:after="240" w:line="320" w:lineRule="exact"/>
        <w:rPr>
          <w:rFonts w:ascii="Verdana" w:hAnsi="Verdana"/>
          <w:szCs w:val="20"/>
        </w:rPr>
      </w:pPr>
      <w:r w:rsidRPr="00F74141">
        <w:rPr>
          <w:rFonts w:ascii="Verdana" w:hAnsi="Verdana"/>
          <w:szCs w:val="20"/>
        </w:rPr>
        <w:t>no prazo de até 3 (três) Dias Úteis contado da data de recebimento, envio de cópia de qualquer correspondência ou notificação, judicial ou extrajudicial, recebida pela Emissora relacionada a um Evento de Vencimento Antecipado;</w:t>
      </w:r>
    </w:p>
    <w:p w:rsidR="00204B37" w:rsidRPr="00F74141" w:rsidRDefault="00706572">
      <w:pPr>
        <w:pStyle w:val="Level5"/>
        <w:numPr>
          <w:ilvl w:val="4"/>
          <w:numId w:val="9"/>
        </w:numPr>
        <w:spacing w:before="240" w:after="240" w:line="320" w:lineRule="exact"/>
        <w:rPr>
          <w:rFonts w:ascii="Verdana" w:hAnsi="Verdana"/>
          <w:szCs w:val="20"/>
        </w:rPr>
      </w:pPr>
      <w:r w:rsidRPr="00F74141">
        <w:rPr>
          <w:rFonts w:ascii="Verdana" w:hAnsi="Verdana"/>
          <w:szCs w:val="20"/>
        </w:rPr>
        <w:t>no prazo de até 3 (três) Dias Úteis contado da data de ciência, informações a respeito da ocorrência de qualquer evento ou situação que cause Efeito Adverso Relevante;</w:t>
      </w:r>
    </w:p>
    <w:p w:rsidR="00204B37" w:rsidRPr="00F74141" w:rsidRDefault="00706572">
      <w:pPr>
        <w:pStyle w:val="Level5"/>
        <w:numPr>
          <w:ilvl w:val="4"/>
          <w:numId w:val="9"/>
        </w:numPr>
        <w:spacing w:before="240" w:after="240" w:line="320" w:lineRule="exact"/>
        <w:rPr>
          <w:rFonts w:ascii="Verdana" w:hAnsi="Verdana"/>
          <w:szCs w:val="20"/>
        </w:rPr>
      </w:pPr>
      <w:bookmarkStart w:id="113" w:name="_Ref168844067"/>
      <w:r w:rsidRPr="00F74141">
        <w:rPr>
          <w:rFonts w:ascii="Verdana" w:hAnsi="Verdana"/>
          <w:szCs w:val="20"/>
        </w:rPr>
        <w:t>no prazo de até 10 (dez) Dias Úteis contados da data de recebimento da respectiva solicitação, informações e/ou documentos que venham a ser solicitados razoavelmente pelo Agente Fiduciário;</w:t>
      </w:r>
      <w:bookmarkEnd w:id="113"/>
    </w:p>
    <w:p w:rsidR="00204B37" w:rsidRPr="00F74141" w:rsidRDefault="00706572">
      <w:pPr>
        <w:pStyle w:val="Level5"/>
        <w:numPr>
          <w:ilvl w:val="4"/>
          <w:numId w:val="9"/>
        </w:numPr>
        <w:spacing w:before="240" w:after="240" w:line="320" w:lineRule="exact"/>
        <w:rPr>
          <w:rFonts w:ascii="Verdana" w:hAnsi="Verdana"/>
          <w:szCs w:val="20"/>
        </w:rPr>
      </w:pPr>
      <w:r w:rsidRPr="00F74141">
        <w:rPr>
          <w:rFonts w:ascii="Verdana" w:hAnsi="Verdana"/>
          <w:szCs w:val="20"/>
        </w:rPr>
        <w:t>no prazo de até 5 (cinco) Dias Úteis contados da data da respectiva celebração, cópia eletrônica (</w:t>
      </w:r>
      <w:proofErr w:type="spellStart"/>
      <w:r w:rsidRPr="00F74141">
        <w:rPr>
          <w:rFonts w:ascii="Verdana" w:hAnsi="Verdana"/>
          <w:i/>
          <w:szCs w:val="20"/>
        </w:rPr>
        <w:t>pdf</w:t>
      </w:r>
      <w:proofErr w:type="spellEnd"/>
      <w:r w:rsidRPr="00F74141">
        <w:rPr>
          <w:rFonts w:ascii="Verdana" w:hAnsi="Verdana"/>
          <w:szCs w:val="20"/>
        </w:rPr>
        <w:t>) do protocolo de apresentação desta Escritura de Emissão e de seus aditamentos perante a JUCISRS;</w:t>
      </w:r>
    </w:p>
    <w:p w:rsidR="00204B37" w:rsidRPr="00F74141" w:rsidRDefault="00706572">
      <w:pPr>
        <w:pStyle w:val="Level5"/>
        <w:numPr>
          <w:ilvl w:val="4"/>
          <w:numId w:val="9"/>
        </w:numPr>
        <w:spacing w:before="240" w:after="240" w:line="320" w:lineRule="exact"/>
        <w:rPr>
          <w:rFonts w:ascii="Verdana" w:hAnsi="Verdana"/>
          <w:szCs w:val="20"/>
        </w:rPr>
      </w:pPr>
      <w:bookmarkStart w:id="114" w:name="_Ref474777204"/>
      <w:r w:rsidRPr="00F74141">
        <w:rPr>
          <w:rFonts w:ascii="Verdana" w:hAnsi="Verdana"/>
          <w:szCs w:val="20"/>
        </w:rPr>
        <w:t>no prazo de até 5 (cinco) Dias Úteis contados da data da respectiva inscrição na JUCISRS, uma via original desta Escritura de Emissão e de seus aditamentos;</w:t>
      </w:r>
      <w:bookmarkEnd w:id="114"/>
      <w:r w:rsidRPr="00F74141">
        <w:rPr>
          <w:rFonts w:ascii="Verdana" w:hAnsi="Verdana"/>
          <w:szCs w:val="20"/>
        </w:rPr>
        <w:t xml:space="preserve"> e</w:t>
      </w:r>
    </w:p>
    <w:p w:rsidR="00204B37" w:rsidRPr="00F74141" w:rsidRDefault="00706572">
      <w:pPr>
        <w:pStyle w:val="Level5"/>
        <w:numPr>
          <w:ilvl w:val="4"/>
          <w:numId w:val="9"/>
        </w:numPr>
        <w:spacing w:before="240" w:after="240" w:line="320" w:lineRule="exact"/>
        <w:rPr>
          <w:rFonts w:ascii="Verdana" w:hAnsi="Verdana"/>
          <w:szCs w:val="20"/>
        </w:rPr>
      </w:pPr>
      <w:r w:rsidRPr="00F74141">
        <w:rPr>
          <w:rFonts w:ascii="Verdana" w:hAnsi="Verdana"/>
          <w:szCs w:val="20"/>
        </w:rPr>
        <w:t>no prazo de até 10 (dez) Dias Úteis contados da data de utilização dos recursos líquidos obtidos com a Emissão, declaração firmada por representantes legais da Emissora com poderes para tanto, na forma do seu estatuto social, acerca da utilização dos recursos líquidos obtidos com a Emissão estritamente nos termos desta Escritura de Emissão.</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manter órgão para atender aos Debenturistas ou contratar instituições financeiras autorizadas para a prestação desse serviço;</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obter e manter durante o prazo das Debêntures seu regular registro de companhia aberta perante a CVM, cumprindo com todas as suas obrigações previstas na Instrução CVM nº 480 de 7 de dezembro de 2009, conforme alterada;</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bookmarkStart w:id="115" w:name="_Ref168844100"/>
      <w:r w:rsidRPr="00F74141">
        <w:rPr>
          <w:rFonts w:ascii="Verdana" w:hAnsi="Verdana"/>
          <w:szCs w:val="20"/>
        </w:rPr>
        <w:t>notificar, na mesma data, o Agente Fiduciário da convocação, pela Emissora, de qualquer Assembleia Geral de Debenturistas;</w:t>
      </w:r>
      <w:bookmarkEnd w:id="115"/>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 xml:space="preserve">notificar, em até 7 (sete) Dias Úteis, o Agente Fiduciário sobre qualquer ato ou fato que possa causar interrupção ou suspensão das atividades da Emissora por prazo superior a 15 dias ou que possa afetar a capacidade de pagamento das Debêntures; </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bookmarkStart w:id="116" w:name="_Ref168844102"/>
      <w:bookmarkStart w:id="117" w:name="_Ref168844104"/>
      <w:r w:rsidRPr="00F74141">
        <w:rPr>
          <w:rFonts w:ascii="Verdana" w:hAnsi="Verdana"/>
          <w:szCs w:val="20"/>
        </w:rPr>
        <w:t>convocar, no prazo de até 3 (três) Dias Úteis, Assembleia Geral de Debenturistas para deliberar sobre qualquer das matérias que sejam do interesse dos Debenturistas, caso o Agente Fiduciário deva fazer, nos termos da presente Escritura de Emissão, mas não o faça no prazo aplicável;</w:t>
      </w:r>
      <w:bookmarkEnd w:id="116"/>
      <w:r w:rsidRPr="00F74141">
        <w:rPr>
          <w:rFonts w:ascii="Verdana" w:hAnsi="Verdana"/>
          <w:szCs w:val="20"/>
        </w:rPr>
        <w:t xml:space="preserve"> </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comparecer, por meio de seus representantes, às Assembleias Gerais de Debenturistas, sempre que solicitada</w:t>
      </w:r>
      <w:bookmarkEnd w:id="117"/>
      <w:r w:rsidRPr="00F74141">
        <w:rPr>
          <w:rFonts w:ascii="Verdana" w:hAnsi="Verdana"/>
          <w:szCs w:val="20"/>
        </w:rPr>
        <w:t>;</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 xml:space="preserve">contratar e manter contratados, às suas expensas, enquanto as Debêntures não forem integralmente pagas, os prestadores de serviço inerentes às obrigações previstas nesta Escritura de Emissão, incluindo: o </w:t>
      </w:r>
      <w:proofErr w:type="spellStart"/>
      <w:r w:rsidRPr="00F74141">
        <w:rPr>
          <w:rFonts w:ascii="Verdana" w:hAnsi="Verdana"/>
          <w:szCs w:val="20"/>
        </w:rPr>
        <w:t>Escriturador</w:t>
      </w:r>
      <w:proofErr w:type="spellEnd"/>
      <w:r w:rsidRPr="00F74141">
        <w:rPr>
          <w:rFonts w:ascii="Verdana" w:hAnsi="Verdana"/>
          <w:szCs w:val="20"/>
        </w:rPr>
        <w:t xml:space="preserve">, a </w:t>
      </w:r>
      <w:r w:rsidRPr="00F74141">
        <w:rPr>
          <w:rFonts w:ascii="Verdana" w:hAnsi="Verdana" w:cs="Tahoma"/>
          <w:szCs w:val="20"/>
        </w:rPr>
        <w:t xml:space="preserve">agência </w:t>
      </w:r>
      <w:r w:rsidRPr="00F74141">
        <w:rPr>
          <w:rFonts w:ascii="Verdana" w:hAnsi="Verdana"/>
          <w:szCs w:val="20"/>
        </w:rPr>
        <w:t xml:space="preserve">de </w:t>
      </w:r>
      <w:r w:rsidRPr="00F74141">
        <w:rPr>
          <w:rFonts w:ascii="Verdana" w:eastAsia="Arial Unicode MS" w:hAnsi="Verdana"/>
          <w:w w:val="0"/>
          <w:szCs w:val="20"/>
        </w:rPr>
        <w:t>classificação de risco (</w:t>
      </w:r>
      <w:r w:rsidRPr="00F74141">
        <w:rPr>
          <w:rFonts w:ascii="Verdana" w:hAnsi="Verdana"/>
          <w:i/>
          <w:szCs w:val="20"/>
        </w:rPr>
        <w:t>rating</w:t>
      </w:r>
      <w:r w:rsidRPr="00F74141">
        <w:rPr>
          <w:rFonts w:ascii="Verdana" w:hAnsi="Verdana"/>
          <w:szCs w:val="20"/>
        </w:rPr>
        <w:t xml:space="preserve">) </w:t>
      </w:r>
      <w:r w:rsidRPr="00F74141">
        <w:rPr>
          <w:rFonts w:ascii="Verdana" w:hAnsi="Verdana" w:cs="Tahoma"/>
          <w:szCs w:val="20"/>
        </w:rPr>
        <w:t xml:space="preserve">da Emissora, </w:t>
      </w:r>
      <w:r w:rsidRPr="00F74141">
        <w:rPr>
          <w:rFonts w:ascii="Verdana" w:hAnsi="Verdana"/>
          <w:szCs w:val="20"/>
        </w:rPr>
        <w:t>o Agente de Liquidação, o Agente Fiduciário, a B3 e todas e quaisquer outras providências necessárias para a manutenção das Debêntures;</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não divulgar ao público informações referentes à Emissora, à Oferta ou às Debêntures, em desacordo com o disposto na regulamentação aplicável, incluindo, mas não se limitando, ao disposto na Instrução CVM 476 e no artigo 48 da Instrução da CVM nº 400, de 29 de dezembro de 2003, conforme alterada (“</w:t>
      </w:r>
      <w:r w:rsidRPr="00F74141">
        <w:rPr>
          <w:rFonts w:ascii="Verdana" w:hAnsi="Verdana"/>
          <w:b/>
          <w:szCs w:val="20"/>
        </w:rPr>
        <w:t>Instrução CVM 400</w:t>
      </w:r>
      <w:r w:rsidRPr="00F74141">
        <w:rPr>
          <w:rFonts w:ascii="Verdana" w:hAnsi="Verdana"/>
          <w:szCs w:val="20"/>
        </w:rPr>
        <w:t>”);</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abster-se de negociar valores mobiliários de sua emissão, até o envio da comunicação de encerramento da Oferta à CVM (“</w:t>
      </w:r>
      <w:r w:rsidRPr="00F74141">
        <w:rPr>
          <w:rFonts w:ascii="Verdana" w:hAnsi="Verdana"/>
          <w:b/>
          <w:szCs w:val="20"/>
        </w:rPr>
        <w:t>Comunicação de Encerramento</w:t>
      </w:r>
      <w:r w:rsidRPr="00F74141">
        <w:rPr>
          <w:rFonts w:ascii="Verdana" w:hAnsi="Verdana"/>
          <w:szCs w:val="20"/>
        </w:rPr>
        <w:t>”), nos termos do artigo 12 da Instrução CVM 476, salvo nas hipóteses previstas no inciso II do artigo 48 da Instrução CVM 400;</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abster-se, até o envio da Comunicação de Encerramento,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efetuar o pagamento de todas as despesas comprovadas pelo Agente Fiduciário que venham comprovadamente a ser necessárias para proteger os direitos e interesses dos Debenturistas ou para realizar seus créditos, inclusive, honorários advocatícios e outras despesas e custos razoáveis incorridos em virtude da cobrança de qualquer quantia devida aos Debenturistas, nos termos desta Escritura de Emissão;</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enviar, sempre que solicitado pelo Agente Fiduciário, as informações necessárias para que o Agente Fiduciário possa realizar o acompanhamento da destinação dos recursos captados por meio da Emissão;</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cumprir as leis, regulamentos, normas administrativas e determinações dos órgãos governamentais, autarquias ou instâncias judiciais aplicáveis ao exercício de suas atividades, exceto por aqueles questionados de boa-fé nas esferas administrativa e/ou judicial com obtenção de efeito suspensivo concedido por meio de decisão judicial competente;</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sem prejuízo das demais obrigações previstas acima ou de outras obrigações expressamente previstas na regulamentação em vigor e nesta Escritura de Emissão, inclusive nos termos do artigo 17 da Instrução CVM 476, a Emissora também se obriga a:</w:t>
      </w:r>
    </w:p>
    <w:p w:rsidR="00204B37" w:rsidRPr="00F74141" w:rsidRDefault="00706572">
      <w:pPr>
        <w:pStyle w:val="Level5"/>
        <w:numPr>
          <w:ilvl w:val="4"/>
          <w:numId w:val="23"/>
        </w:numPr>
        <w:spacing w:before="240" w:after="240" w:line="320" w:lineRule="exact"/>
        <w:rPr>
          <w:rFonts w:ascii="Verdana" w:hAnsi="Verdana"/>
          <w:szCs w:val="20"/>
        </w:rPr>
      </w:pPr>
      <w:bookmarkStart w:id="118" w:name="_Ref474515490"/>
      <w:r w:rsidRPr="00F74141">
        <w:rPr>
          <w:rFonts w:ascii="Verdana" w:eastAsia="Arial Unicode MS" w:hAnsi="Verdana"/>
          <w:w w:val="0"/>
          <w:szCs w:val="20"/>
        </w:rPr>
        <w:t xml:space="preserve">preparar </w:t>
      </w:r>
      <w:r w:rsidRPr="00F74141">
        <w:rPr>
          <w:rFonts w:ascii="Verdana" w:hAnsi="Verdana"/>
          <w:szCs w:val="20"/>
        </w:rPr>
        <w:t>demonstrações financeiras</w:t>
      </w:r>
      <w:bookmarkStart w:id="119" w:name="_DV_C53"/>
      <w:r w:rsidRPr="00F74141">
        <w:rPr>
          <w:rFonts w:ascii="Verdana" w:hAnsi="Verdana"/>
          <w:szCs w:val="20"/>
        </w:rPr>
        <w:t xml:space="preserve"> de encerramento de exercício</w:t>
      </w:r>
      <w:bookmarkStart w:id="120" w:name="_DV_M74"/>
      <w:bookmarkEnd w:id="119"/>
      <w:bookmarkEnd w:id="120"/>
      <w:r w:rsidRPr="00F74141">
        <w:rPr>
          <w:rFonts w:ascii="Verdana" w:hAnsi="Verdana"/>
          <w:szCs w:val="20"/>
        </w:rPr>
        <w:t xml:space="preserve"> e, se for o caso, demonstrações consolidadas, em conformidade com a Lei das Sociedades por Ações e com a regulamentação da CVM;</w:t>
      </w:r>
    </w:p>
    <w:p w:rsidR="00204B37" w:rsidRPr="00F74141" w:rsidRDefault="00706572">
      <w:pPr>
        <w:pStyle w:val="Level5"/>
        <w:numPr>
          <w:ilvl w:val="4"/>
          <w:numId w:val="9"/>
        </w:numPr>
        <w:spacing w:before="240" w:after="240" w:line="320" w:lineRule="exact"/>
        <w:ind w:left="2750"/>
        <w:rPr>
          <w:rFonts w:ascii="Verdana" w:hAnsi="Verdana"/>
          <w:szCs w:val="20"/>
        </w:rPr>
      </w:pPr>
      <w:r w:rsidRPr="00F74141">
        <w:rPr>
          <w:rFonts w:ascii="Verdana" w:hAnsi="Verdana"/>
          <w:szCs w:val="20"/>
        </w:rPr>
        <w:t xml:space="preserve">submeter suas demonstrações financeiras a auditoria, por auditor registrado na CVM; </w:t>
      </w:r>
    </w:p>
    <w:p w:rsidR="00204B37" w:rsidRPr="00F74141" w:rsidRDefault="00706572">
      <w:pPr>
        <w:pStyle w:val="Level5"/>
        <w:numPr>
          <w:ilvl w:val="4"/>
          <w:numId w:val="9"/>
        </w:numPr>
        <w:spacing w:before="240" w:after="240" w:line="320" w:lineRule="exact"/>
        <w:ind w:left="2750"/>
        <w:rPr>
          <w:rFonts w:ascii="Verdana" w:hAnsi="Verdana"/>
          <w:szCs w:val="20"/>
        </w:rPr>
      </w:pPr>
      <w:r w:rsidRPr="00F74141">
        <w:rPr>
          <w:rFonts w:ascii="Verdana" w:hAnsi="Verdana"/>
          <w:szCs w:val="20"/>
        </w:rPr>
        <w:t xml:space="preserve">divulgar, até o dia anterior ao início das negociações das Debêntures no mercado secundário, as demonstrações financeiras, acompanhadas de notas explicativas e do relatório dos auditores independentes, relativas aos 3 (três) últimos exercícios sociais encerrados, exceto quando a Emissora não as possua por não ter iniciado suas atividades previamente ao referido período; </w:t>
      </w:r>
    </w:p>
    <w:p w:rsidR="00204B37" w:rsidRPr="00F74141" w:rsidRDefault="00706572">
      <w:pPr>
        <w:pStyle w:val="Level5"/>
        <w:numPr>
          <w:ilvl w:val="4"/>
          <w:numId w:val="9"/>
        </w:numPr>
        <w:spacing w:before="240" w:after="240" w:line="320" w:lineRule="exact"/>
        <w:ind w:left="2750"/>
        <w:rPr>
          <w:rFonts w:ascii="Verdana" w:hAnsi="Verdana"/>
          <w:szCs w:val="20"/>
        </w:rPr>
      </w:pPr>
      <w:r w:rsidRPr="00F74141">
        <w:rPr>
          <w:rFonts w:ascii="Verdana" w:hAnsi="Verdana"/>
          <w:szCs w:val="20"/>
        </w:rPr>
        <w:t>divulgar as demonstrações financeiras subsequentes, acompanhadas de notas explicativas e relatório dos auditores independentes, dentro de 3 (três) meses contados do encerramento do exercício social;</w:t>
      </w:r>
    </w:p>
    <w:p w:rsidR="00204B37" w:rsidRPr="00F74141" w:rsidRDefault="00706572">
      <w:pPr>
        <w:pStyle w:val="Level5"/>
        <w:numPr>
          <w:ilvl w:val="4"/>
          <w:numId w:val="9"/>
        </w:numPr>
        <w:spacing w:before="240" w:after="240" w:line="320" w:lineRule="exact"/>
        <w:ind w:left="2750"/>
        <w:rPr>
          <w:rFonts w:ascii="Verdana" w:hAnsi="Verdana"/>
          <w:szCs w:val="20"/>
        </w:rPr>
      </w:pPr>
      <w:r w:rsidRPr="00F74141">
        <w:rPr>
          <w:rFonts w:ascii="Verdana" w:hAnsi="Verdana"/>
          <w:szCs w:val="20"/>
        </w:rPr>
        <w:t>observar as disposições da Instrução da CVM nº 358, de 3 de janeiro de 2002, conforme alterada (“</w:t>
      </w:r>
      <w:r w:rsidRPr="00F74141">
        <w:rPr>
          <w:rFonts w:ascii="Verdana" w:hAnsi="Verdana"/>
          <w:b/>
          <w:szCs w:val="20"/>
        </w:rPr>
        <w:t>Instrução CVM 358</w:t>
      </w:r>
      <w:r w:rsidRPr="00F74141">
        <w:rPr>
          <w:rFonts w:ascii="Verdana" w:hAnsi="Verdana"/>
          <w:szCs w:val="20"/>
        </w:rPr>
        <w:t>”), no tocante ao dever de sigilo e vedações à negociação;</w:t>
      </w:r>
    </w:p>
    <w:p w:rsidR="00204B37" w:rsidRPr="00F74141" w:rsidRDefault="00706572">
      <w:pPr>
        <w:pStyle w:val="Level5"/>
        <w:numPr>
          <w:ilvl w:val="4"/>
          <w:numId w:val="9"/>
        </w:numPr>
        <w:spacing w:before="240" w:after="240" w:line="320" w:lineRule="exact"/>
        <w:ind w:left="2750"/>
        <w:rPr>
          <w:rFonts w:ascii="Verdana" w:hAnsi="Verdana"/>
          <w:szCs w:val="20"/>
        </w:rPr>
      </w:pPr>
      <w:r w:rsidRPr="00F74141">
        <w:rPr>
          <w:rFonts w:ascii="Verdana" w:hAnsi="Verdana"/>
          <w:szCs w:val="20"/>
        </w:rPr>
        <w:t xml:space="preserve">divulgar a ocorrência de fato relevante, conforme definido pelo artigo 2º da Instrução CVM 358; </w:t>
      </w:r>
    </w:p>
    <w:p w:rsidR="00204B37" w:rsidRPr="00F74141" w:rsidRDefault="00706572">
      <w:pPr>
        <w:pStyle w:val="Level5"/>
        <w:numPr>
          <w:ilvl w:val="4"/>
          <w:numId w:val="9"/>
        </w:numPr>
        <w:spacing w:before="240" w:after="240" w:line="320" w:lineRule="exact"/>
        <w:ind w:left="2750"/>
        <w:rPr>
          <w:rFonts w:ascii="Verdana" w:hAnsi="Verdana"/>
          <w:szCs w:val="20"/>
        </w:rPr>
      </w:pPr>
      <w:r w:rsidRPr="00F74141">
        <w:rPr>
          <w:rFonts w:ascii="Verdana" w:hAnsi="Verdana"/>
          <w:szCs w:val="20"/>
        </w:rPr>
        <w:t xml:space="preserve">fornecer as informações solicitadas pela CVM; </w:t>
      </w:r>
    </w:p>
    <w:p w:rsidR="00204B37" w:rsidRPr="00F74141" w:rsidRDefault="00706572">
      <w:pPr>
        <w:pStyle w:val="Level5"/>
        <w:numPr>
          <w:ilvl w:val="4"/>
          <w:numId w:val="9"/>
        </w:numPr>
        <w:spacing w:before="240" w:after="240" w:line="320" w:lineRule="exact"/>
        <w:ind w:left="2750"/>
        <w:rPr>
          <w:rFonts w:ascii="Verdana" w:hAnsi="Verdana"/>
          <w:szCs w:val="20"/>
        </w:rPr>
      </w:pPr>
      <w:r w:rsidRPr="00F74141">
        <w:rPr>
          <w:rFonts w:ascii="Verdana" w:hAnsi="Verdana"/>
          <w:szCs w:val="20"/>
        </w:rPr>
        <w:t xml:space="preserve">divulgar em sua página na rede mundial de computadores o relatório anual e demais comunicações enviadas pelo Agente Fiduciário na mesma data do seu recebimento, observado ainda o disposto no item (d) acima; e </w:t>
      </w:r>
    </w:p>
    <w:p w:rsidR="00204B37" w:rsidRPr="00F74141" w:rsidRDefault="00706572">
      <w:pPr>
        <w:pStyle w:val="Level5"/>
        <w:numPr>
          <w:ilvl w:val="4"/>
          <w:numId w:val="9"/>
        </w:numPr>
        <w:spacing w:before="240" w:after="240" w:line="320" w:lineRule="exact"/>
        <w:ind w:left="2750"/>
        <w:rPr>
          <w:rFonts w:ascii="Verdana" w:hAnsi="Verdana"/>
          <w:szCs w:val="20"/>
        </w:rPr>
      </w:pPr>
      <w:r w:rsidRPr="00F74141">
        <w:rPr>
          <w:rFonts w:ascii="Verdana" w:hAnsi="Verdana"/>
          <w:szCs w:val="20"/>
        </w:rPr>
        <w:t>divulgar as informações referidas nos itens (c), (d) e (f) em sua página na rede mundial de computadores, mantendo-as disponíveis pelo período de 3 (três) anos; e em sistema disponibilizado pela entidade administradora de mercados organizados onde os valores mobiliários estão admitidos à negociação.</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b/>
          <w:i/>
          <w:szCs w:val="20"/>
        </w:rPr>
      </w:pPr>
      <w:bookmarkStart w:id="121" w:name="_Ref492319374"/>
      <w:r w:rsidRPr="00F74141">
        <w:rPr>
          <w:rFonts w:ascii="Verdana" w:hAnsi="Verdana"/>
          <w:szCs w:val="20"/>
        </w:rPr>
        <w:t>informar e enviar todos os dados financeiros, organograma do grupo societário e atos societários necessários à realização do relatório anual, conforme a Instrução CVM nº 583, de 20 de dezembro de 2016 (“</w:t>
      </w:r>
      <w:r w:rsidRPr="00F74141">
        <w:rPr>
          <w:rFonts w:ascii="Verdana" w:hAnsi="Verdana"/>
          <w:b/>
          <w:szCs w:val="20"/>
        </w:rPr>
        <w:t>Instrução CVM 583</w:t>
      </w:r>
      <w:r w:rsidRPr="00F74141">
        <w:rPr>
          <w:rFonts w:ascii="Verdana" w:hAnsi="Verdana"/>
          <w:szCs w:val="20"/>
        </w:rPr>
        <w:t>”), que venham a ser solicitados pelo Agente Fiduciário, os quais deverão ser devidamente encaminhados pela Emissora em até 30 (trinta) dias antes do encerramento do prazo para disponibilização na CVM. O referido organograma do grupo societário da Emissora deverá conter, inclusive, controladores, controladas, controle comum, coligadas, e integrante de bloco de controle, no encerramento de cada exercício social;</w:t>
      </w:r>
      <w:bookmarkEnd w:id="121"/>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bookmarkStart w:id="122" w:name="_Ref168844078"/>
      <w:r w:rsidRPr="00F74141">
        <w:rPr>
          <w:rFonts w:ascii="Verdana" w:hAnsi="Verdana"/>
          <w:szCs w:val="20"/>
        </w:rPr>
        <w:t>manter sempre válidas, eficazes, em perfeita ordem e em pleno vigor, as licenças, concessões, autorizações, permissões e alvarás, inclusive ambientais, necessárias ao exercício de suas atividades, exceto por aquelas questionadas de boa-fé nas esferas administrativa e/ou judicial com obtenção de efeito suspensivo concedido por meio de decisão judicial competente, ou ainda aquelas em processo tempestivo de renovação;</w:t>
      </w:r>
      <w:bookmarkEnd w:id="122"/>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manter seguro adequado para seus bens e ativos relevantes, conforme práticas correntes de mercado;</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bookmarkStart w:id="123" w:name="_Ref168844079"/>
      <w:r w:rsidRPr="00F74141">
        <w:rPr>
          <w:rFonts w:ascii="Verdana" w:hAnsi="Verdana"/>
          <w:szCs w:val="20"/>
        </w:rPr>
        <w:t>obter e manter sempre válidas, eficazes, em perfeita ordem e em pleno vigor todas as autorizações necessárias à celebração desta Escritura de Emissão e ao cumprimento de todas as obrigações aqui previstas;</w:t>
      </w:r>
      <w:bookmarkEnd w:id="123"/>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 xml:space="preserve">manter a estrutura de contratos e demais acordos existentes e relevantes, os quais dão à Emissora condição fundamental da continuidade de funcionamento; </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 xml:space="preserve">observar, cumprir ou fazer cumprir, por si e por seus administradores, empregados, representantes legais, fornecedores, contratados ou subcontratados as Leis Anticorrupção, bem como manter políticas e procedimentos elaborados para prevenir e detectar violações às Leis Anticorrupção; </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 xml:space="preserve">em relação à Emissora, aos Acionistas e seus respectivos representantes, implementar todas as políticas e procedimentos cabíveis com a finalidade de impedir e/ou prevenir seja(m) (a) utilizados recursos da Emissora para o pagamento de contribuições, presentes ou atividades de entretenimento ilegais ou qualquer outra despesa ilegal relativa a atividade política; (b) realizado qualquer pagamento ilegal, direto ou indireto, a empregados ou funcionários, partidos políticos, políticos ou candidatos políticos (incluindo familiares), nacionais ou estrangeiros; (c) realizada ação destinada a facilitar uma oferta, pagamento ou promessa ilegal de pagar, bem como aprovado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(d) praticado quaisquer atos para obter ou manter qualquer negócio, transação ou vantagem comercial indevida; (e) realizado qualquer pagamento ou ação que viole qualquer lei anticorrupção; e (f) realizado um ato de corrupção, pagamento de propina ou qualquer outro valor ilegal, bem como influenciar o pagamento de qualquer valor indevido; </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 xml:space="preserve">manter as declarações anticorrupção, conforme prestada nos termos da Cláusula </w:t>
      </w:r>
      <w:r w:rsidRPr="00F74141">
        <w:rPr>
          <w:rFonts w:ascii="Verdana" w:hAnsi="Verdana"/>
          <w:szCs w:val="20"/>
        </w:rPr>
        <w:fldChar w:fldCharType="begin"/>
      </w:r>
      <w:r w:rsidRPr="00F74141">
        <w:rPr>
          <w:rFonts w:ascii="Verdana" w:hAnsi="Verdana"/>
          <w:szCs w:val="20"/>
        </w:rPr>
        <w:instrText xml:space="preserve"> REF _Ref420334906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11.1</w:t>
      </w:r>
      <w:r w:rsidRPr="00F74141">
        <w:rPr>
          <w:rFonts w:ascii="Verdana" w:hAnsi="Verdana"/>
          <w:szCs w:val="20"/>
        </w:rPr>
        <w:fldChar w:fldCharType="end"/>
      </w:r>
      <w:r w:rsidRPr="00F74141">
        <w:rPr>
          <w:rFonts w:ascii="Verdana" w:hAnsi="Verdana"/>
          <w:szCs w:val="20"/>
        </w:rPr>
        <w:t xml:space="preserve"> (</w:t>
      </w:r>
      <w:proofErr w:type="spellStart"/>
      <w:r w:rsidRPr="00F74141">
        <w:rPr>
          <w:rFonts w:ascii="Verdana" w:hAnsi="Verdana"/>
          <w:szCs w:val="20"/>
        </w:rPr>
        <w:t>xviii</w:t>
      </w:r>
      <w:proofErr w:type="spellEnd"/>
      <w:r w:rsidRPr="00F74141">
        <w:rPr>
          <w:rFonts w:ascii="Verdana" w:hAnsi="Verdana"/>
          <w:szCs w:val="20"/>
        </w:rPr>
        <w:t>) abaixo, válidas e vigentes durante toda a duração da Emissão;</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 xml:space="preserve">informar ao Agente Fiduciário, por escrito, em até 3 (três) Dias Úteis a contar da sua ciência sobre instauração de procedimento administrativo ou judicial por autoridade competente em face da Emissora, e/ou dos Acionistas relativas à realização de práticas contrárias às Leis Anticorrupção, pela Emissora, e/ou pelos Acionistas; </w:t>
      </w:r>
    </w:p>
    <w:p w:rsidR="00204B37" w:rsidRPr="00F74141" w:rsidRDefault="00706572">
      <w:pPr>
        <w:pStyle w:val="Level4"/>
        <w:numPr>
          <w:ilvl w:val="3"/>
          <w:numId w:val="14"/>
        </w:numPr>
        <w:tabs>
          <w:tab w:val="clear" w:pos="3941"/>
          <w:tab w:val="left" w:pos="1843"/>
        </w:tabs>
        <w:spacing w:before="240" w:after="240" w:line="320" w:lineRule="exact"/>
        <w:ind w:left="1843" w:hanging="709"/>
        <w:rPr>
          <w:rFonts w:ascii="Verdana" w:hAnsi="Verdana"/>
          <w:szCs w:val="20"/>
        </w:rPr>
      </w:pPr>
      <w:r w:rsidRPr="00F74141">
        <w:rPr>
          <w:rFonts w:ascii="Verdana" w:hAnsi="Verdana"/>
          <w:szCs w:val="20"/>
        </w:rPr>
        <w:t>orientar seus administradores, prestadores de serviços e/ou contratados e/ou funcionários, a não realizar e nem autorizar que seja a realizado, em benefício próprio ou para a Emissão, (a) o uso de recursos para contribuições, doações ou despesas de representação ilegais ou outras despesas ilegais relativas a atividades políticas; (b) qualquer pagamento ilegal, direto ou indireto, a empregados ou funcionários públicos, partidos políticos, políticos ou candidatos políticos (incluindo seus familiares), nacionais ou estrangeiros, ou quaisquer atos para obter ou manter qualquer negócio, transação ou vantagem comercial indevida; e/ou (c) qualquer pagamento de propina, abatimento ilícito, remuneração ilícita, suborno, tráfico de influência, “caixinha” ou outro pagamento ilegal;</w:t>
      </w:r>
    </w:p>
    <w:p w:rsidR="00204B37" w:rsidRPr="00F74141" w:rsidRDefault="00706572">
      <w:pPr>
        <w:pStyle w:val="Level4"/>
        <w:numPr>
          <w:ilvl w:val="3"/>
          <w:numId w:val="14"/>
        </w:numPr>
        <w:tabs>
          <w:tab w:val="clear" w:pos="3941"/>
        </w:tabs>
        <w:spacing w:before="240" w:after="240" w:line="320" w:lineRule="exact"/>
        <w:ind w:left="1843" w:hanging="709"/>
        <w:rPr>
          <w:rFonts w:ascii="Verdana" w:hAnsi="Verdana"/>
          <w:szCs w:val="20"/>
        </w:rPr>
      </w:pPr>
      <w:r w:rsidRPr="00F74141">
        <w:rPr>
          <w:rFonts w:ascii="Verdana" w:hAnsi="Verdana"/>
          <w:szCs w:val="20"/>
        </w:rPr>
        <w:t>assegurar que os recursos líquidos obtidos com a Oferta não sejam empregados em (a) qualquer oferta, promessa ou entrega de pagamento ou outra espécie de vantagem que possa ser considerada indevida na forma das Leis Anticorrupção a funcionário, empregado ou agente público, partidos políticos, políticos ou candidatos políticos, em âmbito nacional ou internacional, ou a terceiras pessoas para uso ou benefício dos anteriores, (b) pagamentos que possam ser considerados como propina, abatimento ilícito, remuneração ilícita, suborno, tráfico de influência ou outros atos de corrupção na forma das Leis Anticorrupção em relação a autoridades públicas nacionais e estrangeiras, e (c) qualquer outro ato que possa ser considerado lesivo à administração pública nos termos das Leis Anticorrupção;</w:t>
      </w:r>
    </w:p>
    <w:p w:rsidR="00204B37" w:rsidRPr="00F74141" w:rsidRDefault="00706572">
      <w:pPr>
        <w:pStyle w:val="Level4"/>
        <w:numPr>
          <w:ilvl w:val="3"/>
          <w:numId w:val="14"/>
        </w:numPr>
        <w:tabs>
          <w:tab w:val="clear" w:pos="3941"/>
          <w:tab w:val="left" w:pos="1560"/>
        </w:tabs>
        <w:spacing w:before="240" w:after="240" w:line="320" w:lineRule="exact"/>
        <w:ind w:left="1843" w:hanging="709"/>
        <w:rPr>
          <w:rFonts w:ascii="Verdana" w:hAnsi="Verdana"/>
          <w:szCs w:val="20"/>
        </w:rPr>
      </w:pPr>
      <w:r w:rsidRPr="00F74141">
        <w:rPr>
          <w:rFonts w:ascii="Verdana" w:hAnsi="Verdana"/>
          <w:szCs w:val="20"/>
        </w:rPr>
        <w:t xml:space="preserve">não realizar operações fora do seu objeto social, observadas as disposições estatuárias, legais e regulamentares em vigor; </w:t>
      </w:r>
    </w:p>
    <w:p w:rsidR="00204B37" w:rsidRPr="00F74141" w:rsidRDefault="00706572">
      <w:pPr>
        <w:pStyle w:val="Level4"/>
        <w:numPr>
          <w:ilvl w:val="3"/>
          <w:numId w:val="14"/>
        </w:numPr>
        <w:tabs>
          <w:tab w:val="clear" w:pos="3941"/>
          <w:tab w:val="left" w:pos="1560"/>
        </w:tabs>
        <w:spacing w:before="240" w:after="240" w:line="320" w:lineRule="exact"/>
        <w:ind w:left="1843" w:hanging="709"/>
        <w:rPr>
          <w:rFonts w:ascii="Verdana" w:hAnsi="Verdana"/>
          <w:i/>
          <w:szCs w:val="20"/>
        </w:rPr>
      </w:pPr>
      <w:r w:rsidRPr="00F74141">
        <w:rPr>
          <w:rFonts w:ascii="Verdana" w:hAnsi="Verdana"/>
          <w:szCs w:val="20"/>
        </w:rPr>
        <w:t xml:space="preserve">guardar, pelo prazo de 5 (cinco) anos contados da presente data, ou por prazo superior por determinação expressa da CVM, em caso de processo administrativo, toda a documentação relativa à Emissão e à Oferta, nos termos previstos na Instrução CVM 476; </w:t>
      </w:r>
    </w:p>
    <w:p w:rsidR="00204B37" w:rsidRPr="00F74141" w:rsidRDefault="00706572">
      <w:pPr>
        <w:pStyle w:val="Level4"/>
        <w:numPr>
          <w:ilvl w:val="3"/>
          <w:numId w:val="14"/>
        </w:numPr>
        <w:tabs>
          <w:tab w:val="clear" w:pos="3941"/>
          <w:tab w:val="left" w:pos="1560"/>
        </w:tabs>
        <w:spacing w:before="240" w:after="240" w:line="320" w:lineRule="exact"/>
        <w:ind w:left="1843" w:hanging="709"/>
        <w:rPr>
          <w:rFonts w:ascii="Verdana" w:hAnsi="Verdana"/>
          <w:i/>
          <w:szCs w:val="20"/>
        </w:rPr>
      </w:pPr>
      <w:r w:rsidRPr="00F74141">
        <w:rPr>
          <w:rFonts w:ascii="Verdana" w:hAnsi="Verdana"/>
          <w:szCs w:val="20"/>
        </w:rPr>
        <w:t>cumprir e fazer com que suas Controladas, seus diretores, administradores e funcionários, que atuem a mando ou em favor da Emissora, sob qualquer forma, cumpram, durante o prazo de vigência das Debêntures: (a) o disposto na legislação e regulamentações ambientais, inclusive legislação em vigor pertinente à Política Nacional do Meio Ambiente e às Resoluções do Conama - Conselho Nacional do Meio Ambiente, adotando as medidas e ações preventivas ou reparatórias, destinadas a evitar e corrigir eventuais danos ambientais; e (b) a legislação e regulamentação trabalhista, especialmente aquelas relativas a saúde e segurança ocupacional, sendo certo que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w:t>
      </w:r>
      <w:r w:rsidRPr="00F74141">
        <w:rPr>
          <w:rFonts w:ascii="Verdana" w:hAnsi="Verdana"/>
          <w:b/>
          <w:szCs w:val="20"/>
        </w:rPr>
        <w:t>Legislação Socioambiental</w:t>
      </w:r>
      <w:r w:rsidRPr="00F74141">
        <w:rPr>
          <w:rFonts w:ascii="Verdana" w:hAnsi="Verdana"/>
          <w:szCs w:val="20"/>
        </w:rPr>
        <w:t xml:space="preserve">”); </w:t>
      </w:r>
    </w:p>
    <w:p w:rsidR="00204B37" w:rsidRPr="00F74141" w:rsidRDefault="00706572">
      <w:pPr>
        <w:pStyle w:val="Level4"/>
        <w:numPr>
          <w:ilvl w:val="3"/>
          <w:numId w:val="14"/>
        </w:numPr>
        <w:tabs>
          <w:tab w:val="clear" w:pos="3941"/>
          <w:tab w:val="left" w:pos="1560"/>
        </w:tabs>
        <w:spacing w:before="240" w:after="240" w:line="320" w:lineRule="exact"/>
        <w:ind w:left="1843" w:hanging="709"/>
        <w:rPr>
          <w:rFonts w:ascii="Verdana" w:hAnsi="Verdana"/>
          <w:szCs w:val="20"/>
        </w:rPr>
      </w:pPr>
      <w:r w:rsidRPr="00F74141">
        <w:rPr>
          <w:rFonts w:ascii="Verdana" w:eastAsia="Arial Unicode MS" w:hAnsi="Verdana" w:cs="Tahoma"/>
          <w:szCs w:val="20"/>
        </w:rPr>
        <w:t xml:space="preserve">manter os bens de que trata a Cláusula </w:t>
      </w:r>
      <w:r w:rsidRPr="00F74141">
        <w:rPr>
          <w:rFonts w:ascii="Verdana" w:eastAsia="Arial Unicode MS" w:hAnsi="Verdana" w:cs="Tahoma"/>
          <w:szCs w:val="20"/>
        </w:rPr>
        <w:fldChar w:fldCharType="begin"/>
      </w:r>
      <w:r w:rsidRPr="00F74141">
        <w:rPr>
          <w:rFonts w:ascii="Verdana" w:eastAsia="Arial Unicode MS" w:hAnsi="Verdana" w:cs="Tahoma"/>
          <w:szCs w:val="20"/>
        </w:rPr>
        <w:instrText xml:space="preserve"> REF _Ref521999243 \r \h  \* MERGEFORMAT </w:instrText>
      </w:r>
      <w:r w:rsidRPr="00F74141">
        <w:rPr>
          <w:rFonts w:ascii="Verdana" w:eastAsia="Arial Unicode MS" w:hAnsi="Verdana" w:cs="Tahoma"/>
          <w:szCs w:val="20"/>
        </w:rPr>
      </w:r>
      <w:r w:rsidRPr="00F74141">
        <w:rPr>
          <w:rFonts w:ascii="Verdana" w:eastAsia="Arial Unicode MS" w:hAnsi="Verdana" w:cs="Tahoma"/>
          <w:szCs w:val="20"/>
        </w:rPr>
        <w:fldChar w:fldCharType="separate"/>
      </w:r>
      <w:r w:rsidRPr="00F74141">
        <w:rPr>
          <w:rFonts w:ascii="Verdana" w:eastAsia="Arial Unicode MS" w:hAnsi="Verdana" w:cs="Tahoma"/>
          <w:szCs w:val="20"/>
        </w:rPr>
        <w:t>5.1.1</w:t>
      </w:r>
      <w:r w:rsidRPr="00F74141">
        <w:rPr>
          <w:rFonts w:ascii="Verdana" w:eastAsia="Arial Unicode MS" w:hAnsi="Verdana" w:cs="Tahoma"/>
          <w:szCs w:val="20"/>
        </w:rPr>
        <w:fldChar w:fldCharType="end"/>
      </w:r>
      <w:r w:rsidRPr="00F74141">
        <w:rPr>
          <w:rFonts w:ascii="Verdana" w:eastAsia="Arial Unicode MS" w:hAnsi="Verdana" w:cs="Tahoma"/>
          <w:szCs w:val="20"/>
        </w:rPr>
        <w:t xml:space="preserve"> acima, em sua posse mansa e pacífica, livres e desembaraçados de quaisquer ônus, inclusive fiscais, bem como guarda-los e conservá-los de acordo com o disposto no artigo 1.363, do Código Civil; e</w:t>
      </w:r>
    </w:p>
    <w:p w:rsidR="00204B37" w:rsidRPr="00F74141" w:rsidRDefault="00706572">
      <w:pPr>
        <w:pStyle w:val="Level4"/>
        <w:numPr>
          <w:ilvl w:val="3"/>
          <w:numId w:val="14"/>
        </w:numPr>
        <w:tabs>
          <w:tab w:val="clear" w:pos="3941"/>
          <w:tab w:val="left" w:pos="1560"/>
        </w:tabs>
        <w:spacing w:before="240" w:after="240" w:line="320" w:lineRule="exact"/>
        <w:ind w:left="1843" w:hanging="709"/>
        <w:rPr>
          <w:rFonts w:ascii="Verdana" w:eastAsia="Arial Unicode MS" w:hAnsi="Verdana" w:cs="Tahoma"/>
          <w:szCs w:val="20"/>
        </w:rPr>
      </w:pPr>
      <w:r w:rsidRPr="00F74141">
        <w:rPr>
          <w:rFonts w:ascii="Verdana" w:eastAsia="Arial Unicode MS" w:hAnsi="Verdana" w:cs="Tahoma"/>
          <w:szCs w:val="20"/>
        </w:rPr>
        <w:t xml:space="preserve">manter contratada, às suas expensas, pelo menos uma agência de classificação de risco (rating), a ser escolhida entre a Standard &amp; </w:t>
      </w:r>
      <w:proofErr w:type="spellStart"/>
      <w:r w:rsidRPr="00F74141">
        <w:rPr>
          <w:rFonts w:ascii="Verdana" w:eastAsia="Arial Unicode MS" w:hAnsi="Verdana" w:cs="Tahoma"/>
          <w:szCs w:val="20"/>
        </w:rPr>
        <w:t>Poor’s</w:t>
      </w:r>
      <w:proofErr w:type="spellEnd"/>
      <w:r w:rsidRPr="00F74141">
        <w:rPr>
          <w:rFonts w:ascii="Verdana" w:eastAsia="Arial Unicode MS" w:hAnsi="Verdana" w:cs="Tahoma"/>
          <w:szCs w:val="20"/>
        </w:rPr>
        <w:t>, a Fitch Ratings ou a Moody’s, para realizar a classificação de risco (rating) corporativo da Emissora, devendo, ainda, com relação a pelo menos uma agência de classificação de risco (rating): (a) atualizar a classificação de risco (rating) da Emissora anualmente, tendo como base a data de elaboração do último relatório vigente até a Data de Vencimento; (b) manter, desde a Data de Emissão até a Data de Vencimento, classificação de risco (rating) publicada e vigente; (c) divulgar ou permitir que a agência de classificação de risco (rating) divulgue amplamente ao mercado os relatórios com as súmulas das classificações de risco;(d) entregar ao Agente Fiduciário os relatórios de classificação de risco preparados pela agência de classificação de risco (rating) no prazo de até 5 (cinco) Dias Úteis contados de seu recebimento pela Emissora; e (e) comunicar, na mesma data, ao Agente Fiduciário qualquer alteração na classificação de risco; observado que, caso a agência de classificação de risco (rating) contratada cesse suas atividades no Brasil ou, por qualquer motivo, esteja ou seja impedida de emitir a classificação de risco da Emissora, a Emissora deverá: (i) contratar outra agência de classificação de risco (rating) sem necessidade de aprovação dos Debenturistas, bastando notificar o Agente Fiduciário, desde que tal agência seja Standard &amp; </w:t>
      </w:r>
      <w:proofErr w:type="spellStart"/>
      <w:r w:rsidRPr="00F74141">
        <w:rPr>
          <w:rFonts w:ascii="Verdana" w:eastAsia="Arial Unicode MS" w:hAnsi="Verdana" w:cs="Tahoma"/>
          <w:szCs w:val="20"/>
        </w:rPr>
        <w:t>Poor’s</w:t>
      </w:r>
      <w:proofErr w:type="spellEnd"/>
      <w:r w:rsidRPr="00F74141">
        <w:rPr>
          <w:rFonts w:ascii="Verdana" w:eastAsia="Arial Unicode MS" w:hAnsi="Verdana" w:cs="Tahoma"/>
          <w:szCs w:val="20"/>
        </w:rPr>
        <w:t>, a Fitch Ratings ou a Moody’s; ou (</w:t>
      </w:r>
      <w:proofErr w:type="spellStart"/>
      <w:r w:rsidRPr="00F74141">
        <w:rPr>
          <w:rFonts w:ascii="Verdana" w:eastAsia="Arial Unicode MS" w:hAnsi="Verdana" w:cs="Tahoma"/>
          <w:szCs w:val="20"/>
        </w:rPr>
        <w:t>ii</w:t>
      </w:r>
      <w:proofErr w:type="spellEnd"/>
      <w:r w:rsidRPr="00F74141">
        <w:rPr>
          <w:rFonts w:ascii="Verdana" w:eastAsia="Arial Unicode MS" w:hAnsi="Verdana" w:cs="Tahoma"/>
          <w:szCs w:val="20"/>
        </w:rPr>
        <w:t>) notificar o Agente Fiduciário e convocar Assembleia Geral de Debenturistas para que os Debenturistas definam outra agência de classificação de risco (rating) substituta.</w:t>
      </w:r>
    </w:p>
    <w:bookmarkEnd w:id="118"/>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 Emissora obriga-se, neste ato, em caráter irrevogável e irretratável, a cuidar para que as operações que venha a praticar no âmbito da B3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w:t>
      </w:r>
    </w:p>
    <w:p w:rsidR="00204B37" w:rsidRPr="00F74141" w:rsidRDefault="00706572">
      <w:pPr>
        <w:pStyle w:val="Level1"/>
        <w:keepNext w:val="0"/>
        <w:numPr>
          <w:ilvl w:val="0"/>
          <w:numId w:val="9"/>
        </w:numPr>
        <w:spacing w:before="240" w:after="240" w:line="320" w:lineRule="exact"/>
        <w:rPr>
          <w:rFonts w:ascii="Verdana" w:eastAsia="TT108t00" w:hAnsi="Verdana"/>
          <w:sz w:val="20"/>
          <w:szCs w:val="20"/>
        </w:rPr>
      </w:pPr>
      <w:r w:rsidRPr="00F74141">
        <w:rPr>
          <w:rFonts w:ascii="Verdana" w:eastAsia="TT108t00" w:hAnsi="Verdana"/>
          <w:sz w:val="20"/>
          <w:szCs w:val="20"/>
        </w:rPr>
        <w:t xml:space="preserve">DO </w:t>
      </w:r>
      <w:r w:rsidRPr="00F74141">
        <w:rPr>
          <w:rFonts w:ascii="Verdana" w:hAnsi="Verdana"/>
          <w:sz w:val="20"/>
          <w:szCs w:val="20"/>
        </w:rPr>
        <w:t>AGENTE</w:t>
      </w:r>
      <w:r w:rsidRPr="00F74141">
        <w:rPr>
          <w:rFonts w:ascii="Verdana" w:eastAsia="TT108t00" w:hAnsi="Verdana"/>
          <w:sz w:val="20"/>
          <w:szCs w:val="20"/>
        </w:rPr>
        <w:t xml:space="preserve"> FIDUCIÁRIO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 xml:space="preserve">A Oliveira </w:t>
      </w:r>
      <w:proofErr w:type="spellStart"/>
      <w:r w:rsidRPr="00F74141">
        <w:rPr>
          <w:rFonts w:ascii="Verdana" w:hAnsi="Verdana"/>
          <w:szCs w:val="20"/>
        </w:rPr>
        <w:t>Trust</w:t>
      </w:r>
      <w:proofErr w:type="spellEnd"/>
      <w:r w:rsidRPr="00F74141">
        <w:rPr>
          <w:rFonts w:ascii="Verdana" w:hAnsi="Verdana"/>
          <w:szCs w:val="20"/>
        </w:rPr>
        <w:t xml:space="preserve"> Distribuidora de Títulos e Valores Mobiliários S.A., conforme qualificada no preâmbulo desta Escritura de Emissão, é nomeada como Agente Fiduciário desta Emissão e expressamente aceita, nos termos da legislação e da presente Escritura de Emissão, representar a comunhão de Debenturistas perante a Emissora.</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 Agente Fiduciário exercerá suas funções a partir da data de assinatura da presente Escritura de Emissão até sua efetiva substituição ou até que todas as obrigações contempladas na presente Escritura de Emissão sejam cumpridas.</w:t>
      </w:r>
    </w:p>
    <w:p w:rsidR="00204B37" w:rsidRPr="00F74141" w:rsidRDefault="00706572">
      <w:pPr>
        <w:pStyle w:val="Level2"/>
        <w:numPr>
          <w:ilvl w:val="1"/>
          <w:numId w:val="9"/>
        </w:numPr>
        <w:spacing w:before="240" w:after="240" w:line="320" w:lineRule="exact"/>
        <w:rPr>
          <w:rFonts w:ascii="Verdana" w:hAnsi="Verdana"/>
          <w:szCs w:val="20"/>
        </w:rPr>
      </w:pPr>
      <w:bookmarkStart w:id="124" w:name="_Ref486278702"/>
      <w:r w:rsidRPr="00F74141">
        <w:rPr>
          <w:rFonts w:ascii="Verdana" w:hAnsi="Verdana"/>
          <w:szCs w:val="20"/>
        </w:rPr>
        <w:t>Nas hipóteses de impedimentos, renúncia, liquidação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de a convocação não ocorrer em até 15 (quinze) dias antes do término do prazo acima citado, caberá à Emissora efetuá-la no Dia Útil imediatamente posterior ao 15º (décimo quinto) dia antes do término do prazo antes referido, sendo certo que a CVM poderá nomear substituto provisório, enquanto não se consumar o processo de escolha do novo agente fiduciário da Emissão. A substituição não implicará em remuneração ao novo agente fiduciário superior à remuneração avençada nesta Escritura de Emissão.</w:t>
      </w:r>
      <w:bookmarkEnd w:id="124"/>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Na hipótese de não poder o Agente Fiduciário continuar a exercer as suas funções por circunstâncias supervenientes a esta Escritura de Emissão, deverá este comunicar imediatamente o fato à Emissora e aos Debenturistas, mediante convocação da Assembleia Geral de Debenturistas, solicitando sua substituição.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 nos termos desta Escritura de Emissão.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 xml:space="preserve">Caso ocorra a efetiva substituição do Agente Fiduciário, o substituto receberá a mesma remuneração recebida pelo Agente Fiduciário em todos os seus termos e condições, sendo que a primeira parcela anual devida ao substituto será calculada </w:t>
      </w:r>
      <w:r w:rsidRPr="00F74141">
        <w:rPr>
          <w:rFonts w:ascii="Verdana" w:hAnsi="Verdana"/>
          <w:i/>
          <w:szCs w:val="20"/>
        </w:rPr>
        <w:t xml:space="preserve">pro rata </w:t>
      </w:r>
      <w:proofErr w:type="spellStart"/>
      <w:r w:rsidRPr="00F74141">
        <w:rPr>
          <w:rFonts w:ascii="Verdana" w:hAnsi="Verdana"/>
          <w:i/>
          <w:szCs w:val="20"/>
        </w:rPr>
        <w:t>temporis</w:t>
      </w:r>
      <w:proofErr w:type="spellEnd"/>
      <w:r w:rsidRPr="00F74141">
        <w:rPr>
          <w:rFonts w:ascii="Verdana" w:hAnsi="Verdana"/>
          <w:szCs w:val="20"/>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Em qualquer hipótese, a substituição do Agente Fiduciário deve ser comunicada à CVM, no prazo de até 7 (sete) Dias Úteis, contados do registro do aditamento à Escritura de Emissão na JUCISRS, juntamente com os documentos previstos no artigo 5º e §1º do artigo 5º da Instrução CVM 583.</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 substituição, em caráter permanente, do Agente Fiduciário deverá ser objeto de aditamento à presente Escritura de Emissão, que deverá ser averbado na JUCISRS, onde será inscrita a presente Escritura de Emissão.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 agente fiduciário substituto deverá, imediatamente após sua nomeação, comunicá-la aos Debenturistas em forma de aviso nos termos da Cláusula 4.18 acima.</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 agente fiduciário substituto exercerá suas funções a partir da data em que for celebrado o correspondente aditamento à Escritura de Emissão na JUCISRS, inclusive, até sua efetiva substituição ou até que todas as obrigações contempladas na presente Escritura de Emissão sejam cumpridas, conforme aplicável.</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Aplicam-se às hipóteses de substituição do Agente Fiduciário as normas e preceitos a este respeito promulgados por atos da CVM.</w:t>
      </w:r>
    </w:p>
    <w:p w:rsidR="00204B37" w:rsidRPr="00F74141" w:rsidRDefault="00706572">
      <w:pPr>
        <w:pStyle w:val="Level2"/>
        <w:keepNext/>
        <w:numPr>
          <w:ilvl w:val="1"/>
          <w:numId w:val="9"/>
        </w:numPr>
        <w:spacing w:before="240" w:after="240" w:line="320" w:lineRule="exact"/>
        <w:ind w:left="1389"/>
        <w:rPr>
          <w:rFonts w:ascii="Verdana" w:hAnsi="Verdana"/>
          <w:szCs w:val="20"/>
        </w:rPr>
      </w:pPr>
      <w:r w:rsidRPr="00F74141">
        <w:rPr>
          <w:rFonts w:ascii="Verdana" w:hAnsi="Verdana"/>
          <w:szCs w:val="20"/>
        </w:rPr>
        <w:t>Além de outros previstos em lei ou em ato normativo da CVM, constituem deveres e atribuições do Agente Fiduciário:</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proteger os direitos e interesses dos Debenturistas, empregando no exercício da função o cuidado e a diligência que todo homem ativo e probo costuma empregar na administração dos seus próprios bens;</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renunciar à função na hipótese de superveniência de conflito de interesses ou de qualquer outra modalidade de inaptidão e realizar a imediata convocação de Assembleia Geral de Debenturistas para deliberar sobre sua substituição;</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conservar em boa guarda toda a documentação relativa ao exercício de suas funções;</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 xml:space="preserve">verificar, no momento de aceitar a função, a veracidade das informações relativas às garantias e a consistência das demais informações contidas </w:t>
      </w:r>
      <w:proofErr w:type="spellStart"/>
      <w:r w:rsidRPr="00F74141">
        <w:rPr>
          <w:rFonts w:ascii="Verdana" w:hAnsi="Verdana"/>
          <w:szCs w:val="20"/>
        </w:rPr>
        <w:t>nesta</w:t>
      </w:r>
      <w:proofErr w:type="spellEnd"/>
      <w:r w:rsidRPr="00F74141">
        <w:rPr>
          <w:rFonts w:ascii="Verdana" w:hAnsi="Verdana"/>
          <w:szCs w:val="20"/>
        </w:rPr>
        <w:t xml:space="preserve"> Escritura de Emissão, diligenciando no sentido de que sejam sanadas as omissões, falhas ou defeitos de que tenha conhecimento;</w:t>
      </w:r>
    </w:p>
    <w:p w:rsidR="00204B37" w:rsidRPr="00F74141" w:rsidRDefault="00706572">
      <w:pPr>
        <w:pStyle w:val="Level4"/>
        <w:numPr>
          <w:ilvl w:val="0"/>
          <w:numId w:val="13"/>
        </w:numPr>
        <w:spacing w:before="240" w:after="240" w:line="320" w:lineRule="exact"/>
        <w:ind w:left="1843" w:hanging="709"/>
        <w:rPr>
          <w:rFonts w:ascii="Verdana" w:hAnsi="Verdana"/>
          <w:szCs w:val="20"/>
        </w:rPr>
      </w:pPr>
      <w:bookmarkStart w:id="125" w:name="_Ref420334695"/>
      <w:r w:rsidRPr="00F74141">
        <w:rPr>
          <w:rFonts w:ascii="Verdana" w:hAnsi="Verdana"/>
          <w:szCs w:val="20"/>
        </w:rPr>
        <w:t>diligenciar junto à Emissora para que a Escritura de Emissão e seus aditamentos sejam registrados na JUCISRS, adotando, no caso da omissão da Emissora, as medidas eventualmente previstas em lei;</w:t>
      </w:r>
      <w:bookmarkEnd w:id="125"/>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 xml:space="preserve">acompanhar a prestação das informações periódicas, alertando os Debenturistas, no relatório anual de que trata o item </w:t>
      </w:r>
      <w:r w:rsidRPr="00F74141">
        <w:rPr>
          <w:rFonts w:ascii="Verdana" w:hAnsi="Verdana"/>
          <w:szCs w:val="20"/>
        </w:rPr>
        <w:fldChar w:fldCharType="begin"/>
      </w:r>
      <w:r w:rsidRPr="00F74141">
        <w:rPr>
          <w:rFonts w:ascii="Verdana" w:hAnsi="Verdana"/>
          <w:szCs w:val="20"/>
        </w:rPr>
        <w:instrText xml:space="preserve"> REF _Ref264235655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xii</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 xml:space="preserve"> abaixo, sobre as inconsistências ou omissões de que tenha conhecimento;</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opinar sobre a suficiência das informações prestadas nas propostas de modificações nas condições das Debêntures;</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solicitar, quando julgar necessário para o fiel desempenho de suas funções, certidões atualizadas dos distribuidores cíveis, das Varas de Fazenda Pública, Varas do Trabalho, cartórios de protesto, Procuradoria da Fazenda Pública, onde se localiza a sede do estabelecimento principal da Emissora;</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solicitar, quando considerar necessário, auditoria externa na Emissora;</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convocar, quando necessário, Assembleia Geral de Debenturistas, mediante anúncio publicado, pelo menos 3 (três) vezes, na forma da Cláusula 4.18;</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comparecer à Assembleia Geral de Debenturistas a fim de prestar as informações que lhe forem solicitadas;</w:t>
      </w:r>
    </w:p>
    <w:p w:rsidR="00204B37" w:rsidRPr="00F74141" w:rsidRDefault="00706572">
      <w:pPr>
        <w:pStyle w:val="Level4"/>
        <w:numPr>
          <w:ilvl w:val="0"/>
          <w:numId w:val="13"/>
        </w:numPr>
        <w:spacing w:before="240" w:after="240" w:line="320" w:lineRule="exact"/>
        <w:ind w:left="1843" w:hanging="709"/>
        <w:rPr>
          <w:rFonts w:ascii="Verdana" w:hAnsi="Verdana"/>
          <w:szCs w:val="20"/>
        </w:rPr>
      </w:pPr>
      <w:bookmarkStart w:id="126" w:name="_Ref264235655"/>
      <w:r w:rsidRPr="00F74141">
        <w:rPr>
          <w:rFonts w:ascii="Verdana" w:hAnsi="Verdana"/>
          <w:szCs w:val="20"/>
        </w:rPr>
        <w:t>elaborar relatório destinado aos Debenturistas, nos termos do artigo 68, §1º, alínea (b), da Lei das Sociedades por Ações e do artigo 15 da Instrução CVM 583, o qual deverá conter, ao menos, as seguintes informações:</w:t>
      </w:r>
      <w:bookmarkEnd w:id="126"/>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27" w:name="_DV_M289"/>
      <w:bookmarkStart w:id="128" w:name="_DV_M290"/>
      <w:bookmarkStart w:id="129" w:name="_Ref490667426"/>
      <w:bookmarkEnd w:id="127"/>
      <w:bookmarkEnd w:id="128"/>
      <w:r w:rsidRPr="00F74141">
        <w:rPr>
          <w:rFonts w:ascii="Verdana" w:hAnsi="Verdana"/>
          <w:szCs w:val="20"/>
        </w:rPr>
        <w:t>cumprimento pela Emissora das suas obrigações de prestação de informações periódicas, indicando as inconsistências ou omissões de que tenha conhecimento;</w:t>
      </w:r>
      <w:bookmarkEnd w:id="129"/>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30" w:name="_DV_M291"/>
      <w:bookmarkEnd w:id="130"/>
      <w:r w:rsidRPr="00F74141">
        <w:rPr>
          <w:rFonts w:ascii="Verdana" w:hAnsi="Verdana"/>
          <w:szCs w:val="20"/>
        </w:rPr>
        <w:t>alterações estatutárias ocorridas no período com efeitos relevantes para os Debenturistas;</w:t>
      </w:r>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31" w:name="_DV_M293"/>
      <w:bookmarkStart w:id="132" w:name="_DV_M294"/>
      <w:bookmarkEnd w:id="131"/>
      <w:bookmarkEnd w:id="132"/>
      <w:r w:rsidRPr="00F74141">
        <w:rPr>
          <w:rFonts w:ascii="Verdana" w:hAnsi="Verdana"/>
          <w:szCs w:val="20"/>
        </w:rPr>
        <w:t>comentários sobre indicadores econômicos, financeiros e de estrutura de capital da Emissora relacionados a Cláusulas destinadas a proteger o interesse dos titulares dos valores mobiliários e que estabelecem condições que não devem ser descumpridas pela Emissora;</w:t>
      </w:r>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33" w:name="_DV_M295"/>
      <w:bookmarkStart w:id="134" w:name="_DV_M296"/>
      <w:bookmarkStart w:id="135" w:name="_DV_M297"/>
      <w:bookmarkEnd w:id="133"/>
      <w:bookmarkEnd w:id="134"/>
      <w:bookmarkEnd w:id="135"/>
      <w:r w:rsidRPr="00F74141">
        <w:rPr>
          <w:rFonts w:ascii="Verdana" w:hAnsi="Verdana"/>
          <w:szCs w:val="20"/>
        </w:rPr>
        <w:t>quantidade de Debêntures emitidas, quantidade de Debêntures em Circulação e saldo cancelado no período;</w:t>
      </w:r>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36" w:name="_DV_M298"/>
      <w:bookmarkStart w:id="137" w:name="_DV_M299"/>
      <w:bookmarkEnd w:id="136"/>
      <w:bookmarkEnd w:id="137"/>
      <w:r w:rsidRPr="00F74141">
        <w:rPr>
          <w:rFonts w:ascii="Verdana" w:hAnsi="Verdana"/>
          <w:szCs w:val="20"/>
        </w:rPr>
        <w:t>resgate, amortização, conversão, repactuação e pagamento de juros das Debêntures realizados no período;</w:t>
      </w:r>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38" w:name="_DV_M300"/>
      <w:bookmarkStart w:id="139" w:name="_DV_M302"/>
      <w:bookmarkStart w:id="140" w:name="_DV_M303"/>
      <w:bookmarkEnd w:id="138"/>
      <w:bookmarkEnd w:id="139"/>
      <w:bookmarkEnd w:id="140"/>
      <w:r w:rsidRPr="00F74141">
        <w:rPr>
          <w:rFonts w:ascii="Verdana" w:hAnsi="Verdana"/>
          <w:szCs w:val="20"/>
        </w:rPr>
        <w:t>destinação dos recursos captados por meio da Emissão, conforme informações prestadas pela Emissora;</w:t>
      </w:r>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41" w:name="_DV_M304"/>
      <w:bookmarkStart w:id="142" w:name="_DV_M305"/>
      <w:bookmarkStart w:id="143" w:name="_DV_M306"/>
      <w:bookmarkStart w:id="144" w:name="_DV_M307"/>
      <w:bookmarkEnd w:id="141"/>
      <w:bookmarkEnd w:id="142"/>
      <w:bookmarkEnd w:id="143"/>
      <w:bookmarkEnd w:id="144"/>
      <w:r w:rsidRPr="00F74141">
        <w:rPr>
          <w:rFonts w:ascii="Verdana" w:hAnsi="Verdana"/>
          <w:szCs w:val="20"/>
        </w:rPr>
        <w:t>cumprimento de outras obrigações assumidas pela Emissora nesta Escritura de Emissão;</w:t>
      </w:r>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45" w:name="_DV_M308"/>
      <w:bookmarkStart w:id="146" w:name="_DV_M309"/>
      <w:bookmarkEnd w:id="145"/>
      <w:bookmarkEnd w:id="146"/>
      <w:r w:rsidRPr="00F74141">
        <w:rPr>
          <w:rFonts w:ascii="Verdana" w:hAnsi="Verdana"/>
          <w:szCs w:val="20"/>
        </w:rPr>
        <w:t>declaração sobre a não existência de situação de conflito de interesses que impeça o Agente Fiduciário a continuar a exercer a função; e</w:t>
      </w:r>
    </w:p>
    <w:p w:rsidR="00204B37" w:rsidRPr="00F74141" w:rsidRDefault="00706572">
      <w:pPr>
        <w:pStyle w:val="Level4"/>
        <w:numPr>
          <w:ilvl w:val="3"/>
          <w:numId w:val="7"/>
        </w:numPr>
        <w:spacing w:before="240" w:after="240" w:line="320" w:lineRule="exact"/>
        <w:ind w:left="1843" w:firstLine="0"/>
        <w:rPr>
          <w:rFonts w:ascii="Verdana" w:hAnsi="Verdana"/>
          <w:szCs w:val="20"/>
        </w:rPr>
      </w:pPr>
      <w:bookmarkStart w:id="147" w:name="_Ref486517447"/>
      <w:r w:rsidRPr="00F74141">
        <w:rPr>
          <w:rFonts w:ascii="Verdana" w:hAnsi="Verdana"/>
          <w:szCs w:val="20"/>
        </w:rPr>
        <w:t>existência de outras emissões de valores mobiliários, públicas ou privadas, realizadas pela Emissora ou por sociedade coligada, controlada, controladora ou integrante do mesmo grupo da Emissora em que tenha atuado como agente fiduciário no período, bem como os seguintes dados sobre tais emissões, (1) denominação da companhia ofertante; (2) quantidade de valores mobiliários emitidos; (3) valor da emissão; (4) espécie e garantias envolvidas; (5) prazo de vencimento e taxa de juros; (6) inadimplemento pecuniário no período;</w:t>
      </w:r>
      <w:bookmarkEnd w:id="147"/>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 xml:space="preserve">disponibilizar o relatório de que trata o item </w:t>
      </w:r>
      <w:r w:rsidRPr="00F74141">
        <w:rPr>
          <w:rFonts w:ascii="Verdana" w:hAnsi="Verdana"/>
          <w:szCs w:val="20"/>
        </w:rPr>
        <w:fldChar w:fldCharType="begin"/>
      </w:r>
      <w:r w:rsidRPr="00F74141">
        <w:rPr>
          <w:rFonts w:ascii="Verdana" w:hAnsi="Verdana"/>
          <w:szCs w:val="20"/>
        </w:rPr>
        <w:instrText xml:space="preserve"> REF _Ref264235655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xii</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 xml:space="preserve"> acima em sua página na rede mundial de computadores, no prazo máximo de 4 (quatro) meses a contar do encerramento do exercício social da Emissora;</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 xml:space="preserve">manter atualizada a relação dos Debenturistas e seus endereços, mediante, inclusive, gestão de informações junto à Emissora, ao </w:t>
      </w:r>
      <w:proofErr w:type="spellStart"/>
      <w:r w:rsidRPr="00F74141">
        <w:rPr>
          <w:rFonts w:ascii="Verdana" w:hAnsi="Verdana"/>
          <w:szCs w:val="20"/>
        </w:rPr>
        <w:t>Escriturador</w:t>
      </w:r>
      <w:proofErr w:type="spellEnd"/>
      <w:r w:rsidRPr="00F74141">
        <w:rPr>
          <w:rFonts w:ascii="Verdana" w:hAnsi="Verdana"/>
          <w:szCs w:val="20"/>
        </w:rPr>
        <w:t xml:space="preserve">, ao Agente de Liquidação e à B3, conforme o caso, sendo que, para fins de atendimento ao disposto nesta Cláusula, a Emissora e os Debenturistas, assim que subscreverem, integralizarem ou adquirirem as Debêntures, expressamente autorizam, desde já, o </w:t>
      </w:r>
      <w:proofErr w:type="spellStart"/>
      <w:r w:rsidRPr="00F74141">
        <w:rPr>
          <w:rFonts w:ascii="Verdana" w:hAnsi="Verdana"/>
          <w:szCs w:val="20"/>
        </w:rPr>
        <w:t>Escriturador</w:t>
      </w:r>
      <w:proofErr w:type="spellEnd"/>
      <w:r w:rsidRPr="00F74141">
        <w:rPr>
          <w:rFonts w:ascii="Verdana" w:hAnsi="Verdana"/>
          <w:szCs w:val="20"/>
        </w:rPr>
        <w:t>, o Agente de Liquidação e a B3, conforme o caso, a atenderem quaisquer solicitações feitas pelo Agente Fiduciário, inclusive referentes à divulgação, a qualquer momento, da posição de Debenturistas e seus respectivos titulares;</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disponibilizar o cálculo do saldo do Valor Nominal Unitário das Debêntures da Primeira Série e do Valor Nominal Unitário Atualizado das Debêntures da Segunda Série, conforme aplicável, a ser calculado pela Emissora e verificado pelo Agente Fiduciário, aos Debenturistas e aos demais participantes do mercado, por meio de sua central de atendimento e/ou de seu website;</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fiscalizar o cumprimento das Cláusulas constantes desta Escritura de Emissão, especialmente daquelas que impõem obrigações de fazer e de não fazer;</w:t>
      </w:r>
    </w:p>
    <w:p w:rsidR="00204B37" w:rsidRPr="00F74141" w:rsidRDefault="00706572">
      <w:pPr>
        <w:pStyle w:val="Level4"/>
        <w:numPr>
          <w:ilvl w:val="0"/>
          <w:numId w:val="13"/>
        </w:numPr>
        <w:spacing w:before="240" w:after="240" w:line="320" w:lineRule="exact"/>
        <w:ind w:left="1843" w:hanging="709"/>
        <w:rPr>
          <w:rFonts w:ascii="Verdana" w:hAnsi="Verdana"/>
          <w:szCs w:val="20"/>
        </w:rPr>
      </w:pPr>
      <w:bookmarkStart w:id="148" w:name="_Ref486279028"/>
      <w:r w:rsidRPr="00F74141">
        <w:rPr>
          <w:rFonts w:ascii="Verdana" w:hAnsi="Verdana"/>
          <w:szCs w:val="20"/>
        </w:rPr>
        <w:t>comunicar os Debenturistas a respeito de qualquer inadimplemento, pela Emissora, de obrigações financeiras assumidas nesta Escritura de Emissão, incluindo as obrigações relativas a garantias e a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responsabilizar-se integralmente pelos serviços contratados, nos termos da legislação vigente;</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divulgar as informações referidas no item(</w:t>
      </w:r>
      <w:proofErr w:type="spellStart"/>
      <w:r w:rsidRPr="00F74141">
        <w:rPr>
          <w:rFonts w:ascii="Verdana" w:hAnsi="Verdana"/>
          <w:szCs w:val="20"/>
        </w:rPr>
        <w:t>xii</w:t>
      </w:r>
      <w:proofErr w:type="spellEnd"/>
      <w:r w:rsidRPr="00F74141">
        <w:rPr>
          <w:rFonts w:ascii="Verdana" w:hAnsi="Verdana"/>
          <w:szCs w:val="20"/>
        </w:rPr>
        <w:t>)</w:t>
      </w:r>
      <w:r w:rsidRPr="00F74141">
        <w:rPr>
          <w:rFonts w:ascii="Verdana" w:hAnsi="Verdana"/>
          <w:szCs w:val="20"/>
        </w:rPr>
        <w:fldChar w:fldCharType="begin"/>
      </w:r>
      <w:r w:rsidRPr="00F74141">
        <w:rPr>
          <w:rFonts w:ascii="Verdana" w:hAnsi="Verdana"/>
          <w:szCs w:val="20"/>
        </w:rPr>
        <w:instrText xml:space="preserve"> REF _Ref486517447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(i)</w:t>
      </w:r>
      <w:r w:rsidRPr="00F74141">
        <w:rPr>
          <w:rFonts w:ascii="Verdana" w:hAnsi="Verdana"/>
          <w:szCs w:val="20"/>
        </w:rPr>
        <w:fldChar w:fldCharType="end"/>
      </w:r>
      <w:r w:rsidRPr="00F74141">
        <w:rPr>
          <w:rFonts w:ascii="Verdana" w:hAnsi="Verdana"/>
          <w:szCs w:val="20"/>
        </w:rPr>
        <w:t xml:space="preserve"> acima em sua página na rede mundial de computadores, tão logo delas tenha conhecimento;</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verificar a regularidade da constituição das garantias, bem como o valor dos bens dados em garantia, observando a manutenção de sua suficiência e exequibilidade nos termos das disposições estabelecidas nesta Escritura de Emissão, nos Contratos de Garantias;</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examinar proposta de substituição de bens dados em garantia, manifestando sua opinião a respeito do assunto de forma justificada; e</w:t>
      </w:r>
    </w:p>
    <w:p w:rsidR="00204B37" w:rsidRPr="00F74141" w:rsidRDefault="00706572">
      <w:pPr>
        <w:pStyle w:val="Level4"/>
        <w:numPr>
          <w:ilvl w:val="0"/>
          <w:numId w:val="13"/>
        </w:numPr>
        <w:spacing w:before="240" w:after="240" w:line="320" w:lineRule="exact"/>
        <w:ind w:left="1843" w:hanging="709"/>
        <w:rPr>
          <w:rFonts w:ascii="Verdana" w:hAnsi="Verdana"/>
          <w:szCs w:val="20"/>
        </w:rPr>
      </w:pPr>
      <w:r w:rsidRPr="00F74141">
        <w:rPr>
          <w:rFonts w:ascii="Verdana" w:hAnsi="Verdana"/>
          <w:szCs w:val="20"/>
        </w:rPr>
        <w:t>intimar, conforme o caso, a Emissora para a reforçar as garantias outorgadas no âmbito desta Emissão, na hipótese de sua deterioração ou depreciação.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No caso de inadimplemento de quaisquer condições da Emissão, o Agente Fiduciário deve usar de toda e qualquer medida prevista em lei ou na Escritura de Emissão para proteger direitos ou defender os interesses dos Debenturistas, observados os termos desta Escritura e do artigo 12 da Instrução CVM 583.</w:t>
      </w:r>
      <w:bookmarkEnd w:id="148"/>
    </w:p>
    <w:p w:rsidR="00204B37" w:rsidRPr="00F74141" w:rsidRDefault="00706572">
      <w:pPr>
        <w:pStyle w:val="Level2"/>
        <w:numPr>
          <w:ilvl w:val="1"/>
          <w:numId w:val="9"/>
        </w:numPr>
        <w:spacing w:before="240" w:after="240" w:line="320" w:lineRule="exact"/>
        <w:rPr>
          <w:rFonts w:ascii="Verdana" w:hAnsi="Verdana"/>
          <w:szCs w:val="20"/>
        </w:rPr>
      </w:pPr>
      <w:bookmarkStart w:id="149" w:name="_Ref486279001"/>
      <w:bookmarkStart w:id="150" w:name="_Ref486517592"/>
      <w:r w:rsidRPr="00F74141">
        <w:rPr>
          <w:rFonts w:ascii="Verdana" w:hAnsi="Verdana"/>
          <w:szCs w:val="20"/>
        </w:rPr>
        <w:t>Serão devidos ao Agente Fiduciário honorários pelo desempenho dos deveres e atribuições que lhe competem, nos termos da legislação e regulamentação aplicáveis e desta Escritura de Emissão, correspondentes a uma remuneração anual de R$20.000,00 (vinte mil reais), devida pela Emissora, sendo a primeira parcela devida até o 5° (quinto) Dia Útil após a data da assinatura da Escritura de Emissão e as demais parcelas no mesmo dia dos anos subsequentes. A primeira parcela será devida ainda que a Emissão não seja integralizada, a título de estruturação e implantaçã</w:t>
      </w:r>
      <w:bookmarkEnd w:id="149"/>
      <w:bookmarkEnd w:id="150"/>
      <w:r w:rsidRPr="00F74141">
        <w:rPr>
          <w:rFonts w:ascii="Verdana" w:hAnsi="Verdana"/>
          <w:szCs w:val="20"/>
        </w:rPr>
        <w:t>o. A remuneração será também devida, nas mesmas datas dos anos subsequentes, caso as Debêntures não sejam quitadas na data de seu vencimento, até a data em que a integralidade das Debêntures venha a ser quitada.</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sidRPr="00F74141">
        <w:rPr>
          <w:rFonts w:ascii="Verdana" w:hAnsi="Verdana"/>
          <w:bCs/>
          <w:szCs w:val="20"/>
        </w:rPr>
        <w:t>R$</w:t>
      </w:r>
      <w:r w:rsidRPr="00F74141">
        <w:rPr>
          <w:rFonts w:ascii="Verdana" w:hAnsi="Verdana"/>
          <w:szCs w:val="20"/>
        </w:rPr>
        <w:t>500</w:t>
      </w:r>
      <w:r w:rsidRPr="00F74141">
        <w:rPr>
          <w:rFonts w:ascii="Verdana" w:hAnsi="Verdana"/>
          <w:bCs/>
          <w:szCs w:val="20"/>
        </w:rPr>
        <w:t>,00 (</w:t>
      </w:r>
      <w:r w:rsidRPr="00F74141">
        <w:rPr>
          <w:rFonts w:ascii="Verdana" w:hAnsi="Verdana"/>
          <w:szCs w:val="20"/>
        </w:rPr>
        <w:t xml:space="preserve">quinhentos </w:t>
      </w:r>
      <w:r w:rsidRPr="00F74141">
        <w:rPr>
          <w:rFonts w:ascii="Verdana" w:hAnsi="Verdana"/>
          <w:bCs/>
          <w:szCs w:val="20"/>
        </w:rPr>
        <w:t>reais)</w:t>
      </w:r>
      <w:r w:rsidRPr="00F74141">
        <w:rPr>
          <w:rFonts w:ascii="Verdana" w:hAnsi="Verdana"/>
          <w:szCs w:val="20"/>
        </w:rPr>
        <w:t xml:space="preserve"> por hora-homem de trabalho dedicado a tais fatos bem como à (i) comentários aos documentos da Emissão durante a estruturação da mesma, caso a operação não venha a se efetivar; (</w:t>
      </w:r>
      <w:proofErr w:type="spellStart"/>
      <w:r w:rsidRPr="00F74141">
        <w:rPr>
          <w:rFonts w:ascii="Verdana" w:hAnsi="Verdana"/>
          <w:szCs w:val="20"/>
        </w:rPr>
        <w:t>ii</w:t>
      </w:r>
      <w:proofErr w:type="spellEnd"/>
      <w:r w:rsidRPr="00F74141">
        <w:rPr>
          <w:rFonts w:ascii="Verdana" w:hAnsi="Verdana"/>
          <w:szCs w:val="20"/>
        </w:rPr>
        <w:t>) execução das garantias; (</w:t>
      </w:r>
      <w:proofErr w:type="spellStart"/>
      <w:r w:rsidRPr="00F74141">
        <w:rPr>
          <w:rFonts w:ascii="Verdana" w:hAnsi="Verdana"/>
          <w:szCs w:val="20"/>
        </w:rPr>
        <w:t>iii</w:t>
      </w:r>
      <w:proofErr w:type="spellEnd"/>
      <w:r w:rsidRPr="00F74141">
        <w:rPr>
          <w:rFonts w:ascii="Verdana" w:hAnsi="Verdana"/>
          <w:szCs w:val="20"/>
        </w:rPr>
        <w:t>) participação em reuniões formais ou virtuais com a Emissora e/ou com investidores; e (</w:t>
      </w:r>
      <w:proofErr w:type="spellStart"/>
      <w:r w:rsidRPr="00F74141">
        <w:rPr>
          <w:rFonts w:ascii="Verdana" w:hAnsi="Verdana"/>
          <w:szCs w:val="20"/>
        </w:rPr>
        <w:t>iv</w:t>
      </w:r>
      <w:proofErr w:type="spellEnd"/>
      <w:r w:rsidRPr="00F74141">
        <w:rPr>
          <w:rFonts w:ascii="Verdana" w:hAnsi="Verdana"/>
          <w:szCs w:val="20"/>
        </w:rPr>
        <w:t>) implementação das consequentes decisões tomadas em tais eventos, pagas 5 (cinco) dias após comprovação da entrega, pelo Agente Fiduciário, de “relatório de horas” à Emissora. Entende-se por reestruturação das Debêntures os eventos relacionados a alteração (i) das garantias; (</w:t>
      </w:r>
      <w:proofErr w:type="spellStart"/>
      <w:r w:rsidRPr="00F74141">
        <w:rPr>
          <w:rFonts w:ascii="Verdana" w:hAnsi="Verdana"/>
          <w:szCs w:val="20"/>
        </w:rPr>
        <w:t>ii</w:t>
      </w:r>
      <w:proofErr w:type="spellEnd"/>
      <w:r w:rsidRPr="00F74141">
        <w:rPr>
          <w:rFonts w:ascii="Verdana" w:hAnsi="Verdana"/>
          <w:szCs w:val="20"/>
        </w:rPr>
        <w:t>) prazos de pagamento e (</w:t>
      </w:r>
      <w:proofErr w:type="spellStart"/>
      <w:r w:rsidRPr="00F74141">
        <w:rPr>
          <w:rFonts w:ascii="Verdana" w:hAnsi="Verdana"/>
          <w:szCs w:val="20"/>
        </w:rPr>
        <w:t>iii</w:t>
      </w:r>
      <w:proofErr w:type="spellEnd"/>
      <w:r w:rsidRPr="00F74141">
        <w:rPr>
          <w:rFonts w:ascii="Verdana" w:hAnsi="Verdana"/>
          <w:szCs w:val="20"/>
        </w:rPr>
        <w:t>) condições relacionadas ao vencimento antecipado. Os eventos relacionados à Amortização das Debêntures não são considerados reestruturação das Debêntures.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 xml:space="preserve">No caso de celebração de aditamentos ao instrumento de emissão bem como nas horas externas ao escritório do Agente Fiduciário, serão cobradas, adicionalmente, o valor de </w:t>
      </w:r>
      <w:r w:rsidRPr="00F74141">
        <w:rPr>
          <w:rFonts w:ascii="Verdana" w:hAnsi="Verdana"/>
          <w:bCs/>
          <w:szCs w:val="20"/>
        </w:rPr>
        <w:t>R$</w:t>
      </w:r>
      <w:r w:rsidRPr="00F74141">
        <w:rPr>
          <w:rFonts w:ascii="Verdana" w:hAnsi="Verdana"/>
          <w:szCs w:val="20"/>
        </w:rPr>
        <w:t>500</w:t>
      </w:r>
      <w:r w:rsidRPr="00F74141">
        <w:rPr>
          <w:rFonts w:ascii="Verdana" w:hAnsi="Verdana"/>
          <w:bCs/>
          <w:szCs w:val="20"/>
        </w:rPr>
        <w:t>,00 (</w:t>
      </w:r>
      <w:r w:rsidRPr="00F74141">
        <w:rPr>
          <w:rFonts w:ascii="Verdana" w:hAnsi="Verdana"/>
          <w:szCs w:val="20"/>
        </w:rPr>
        <w:t xml:space="preserve">quinhentos </w:t>
      </w:r>
      <w:r w:rsidRPr="00F74141">
        <w:rPr>
          <w:rFonts w:ascii="Verdana" w:hAnsi="Verdana"/>
          <w:bCs/>
          <w:szCs w:val="20"/>
        </w:rPr>
        <w:t>reais)</w:t>
      </w:r>
      <w:r w:rsidRPr="00F74141">
        <w:rPr>
          <w:rFonts w:ascii="Verdana" w:hAnsi="Verdana"/>
          <w:szCs w:val="20"/>
        </w:rPr>
        <w:t xml:space="preserve"> por hora-homem de trabalho dedicado a tais alterações/serviços.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Os impostos incidentes sobre a remuneração serão acrescidos as parcelas mencionadas acima nas datas de pagamento. Além disso, todos os valores mencionados acima serão atualizados pelo IGPM, sempre na menor periodicidade permitida em lei, a partir da data de assinatura do instrumento de emissão.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 xml:space="preserve">Em caso de mora no pagamento de qualquer quantia devida em decorrência da remuneração ora proposta, os débitos em atraso ficarão sujeitos a juros de mora de 1% (um por cento) ao mês e multa não compensatória de 2% (dois por cento) sobre o valor devido, ficando o valor do débito em atraso sujeito a atualização monetária pelo IGPM, incidente desde a data da inadimplência até a data do efetivo pagamento, calculado </w:t>
      </w:r>
      <w:r w:rsidRPr="00F74141">
        <w:rPr>
          <w:rFonts w:ascii="Verdana" w:hAnsi="Verdana"/>
          <w:i/>
          <w:iCs/>
          <w:szCs w:val="20"/>
        </w:rPr>
        <w:t>pro rata die</w:t>
      </w:r>
      <w:r w:rsidRPr="00F74141">
        <w:rPr>
          <w:rFonts w:ascii="Verdana" w:hAnsi="Verdana"/>
          <w:szCs w:val="20"/>
        </w:rPr>
        <w:t>.</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Os serviços do Agente Fiduciário previstos nesta Escritura de Emissão são aqueles descritos na Instrução CVM 583 e Lei das Sociedades por Ações.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caso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que venham comprovadamente a ser necessárias para proteger os direitos e interesses dos Debenturistas, serão igualmente suportadas pelos Debenturistas, conforme sejam razoáveis e mediante comprovação do Agente Fiduciário. Tais despesas incluem honorários advocatícios razoáveis para defesa do Agente Fiduciário e deverão ser igualmente adiantadas pelos investidores e ressarcidas pela Emissora.</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No caso de inadimplemento da Emissora, todas as despesas em que o Agente Fiduciário venha a incorrer para resguardar os interesses dos Debenturistas deverão ser previamente aprovadas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razoáveis decorrentes da sucumbência em ações judiciais serão igualmente suportadas pelos Debenturistas, bem como a remuneração e as despesas razoáveis, comprovadas e reembolsáveis do Agente Fiduciário, na hipótese de a Emissora permanecer em inadimplência com relação ao pagamento destas por um período superior a 10 (dez) dias corridos.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Não haverá devolução de valores já recebidos pelo Agente Fiduciário a título de prestação de serviços, exceto se o valor tiver sido pago incorretamente.</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Em atendimento ao Ofício-Circular CVM/SER Nº 02/19, o Agente Fiduciário poderá, às expensas da Emissora, contratar terceiro especializado para avaliar ou reavaliar, o valor das garantias prestadas, conforme o caso, bem como solicitar informações e comprovações que entender necessárias, na forma prevista no referido Ofício.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Eventuais obrigações adicionais do Agente Fiduciário ou alterações nas características da Emissão, facultarão ao Agente Fiduciário a revisão dos honorários propostos, incluindo o direito de retirada.</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 xml:space="preserve">Fica estabelecido que, na hipótese de vir a ocorrer a substituição do Agente Fiduciário, o substituído deverá repassar a parcela proporcional da remuneração inicialmente recebida sem a contrapartida do serviço prestado, calculada </w:t>
      </w:r>
      <w:r w:rsidRPr="00F74141">
        <w:rPr>
          <w:rFonts w:ascii="Verdana" w:hAnsi="Verdana"/>
          <w:i/>
          <w:iCs/>
          <w:szCs w:val="20"/>
        </w:rPr>
        <w:t xml:space="preserve">pro rata </w:t>
      </w:r>
      <w:proofErr w:type="spellStart"/>
      <w:r w:rsidRPr="00F74141">
        <w:rPr>
          <w:rFonts w:ascii="Verdana" w:hAnsi="Verdana"/>
          <w:i/>
          <w:iCs/>
          <w:szCs w:val="20"/>
        </w:rPr>
        <w:t>temporis</w:t>
      </w:r>
      <w:proofErr w:type="spellEnd"/>
      <w:r w:rsidRPr="00F74141">
        <w:rPr>
          <w:rFonts w:ascii="Verdana" w:hAnsi="Verdana"/>
          <w:szCs w:val="20"/>
        </w:rPr>
        <w:t>, desde a data de pagamento da remuneração até a data da efetiva substituição, à Emissora. O agente fiduciário substituto fará jus à mesma remuneração devida ao Agente Fiduciário, calculada proporcionalmente ao tempo de prestação de serviço restante, exceto se deliberado de forma diversa pela Assembleia Geral de Debenturistas e com anuência da Emissora.</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de a Emissora elaborá-los, nos termos da legislação aplicável.</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 Agente Fiduciário não será obrigado a efetuar nenhuma verificação de veracidade ou completude das informações técnicas e financeiras constantes em qualquer documento que lhe seja enviado com o fim de informar, complementar, esclarecer, retificar ou ratificar as informações presentes nesta Escritura de Emissão, bem como nas deliberações societárias e em atos da administração da Emissora ou ainda em qualquer documento ou registro que considere autêntico e que lhe tenha sido encaminhado pela Emissora ou por terceiros a seu pedido, para se basear nas suas decisões, e não será responsável pela elaboração desses documentos, que permanecerão sob obrigação legal e regulamentar da Emissora elaborá-los, nos termos da legislação aplicável.</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assim deliberado pelos Debenturistas reunidos em Assembleia Geral de Debenturistas.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rsidR="00204B37" w:rsidRPr="00F74141" w:rsidRDefault="00706572">
      <w:pPr>
        <w:pStyle w:val="Level1"/>
        <w:numPr>
          <w:ilvl w:val="0"/>
          <w:numId w:val="9"/>
        </w:numPr>
        <w:spacing w:before="240" w:after="240" w:line="320" w:lineRule="exact"/>
        <w:rPr>
          <w:rFonts w:ascii="Verdana" w:eastAsia="TT108t00" w:hAnsi="Verdana"/>
          <w:sz w:val="20"/>
          <w:szCs w:val="20"/>
        </w:rPr>
      </w:pPr>
      <w:bookmarkStart w:id="151" w:name="_Ref420336935"/>
      <w:bookmarkStart w:id="152" w:name="_Ref468386700"/>
      <w:r w:rsidRPr="00F74141">
        <w:rPr>
          <w:rFonts w:ascii="Verdana" w:eastAsia="TT108t00" w:hAnsi="Verdana"/>
          <w:sz w:val="20"/>
          <w:szCs w:val="20"/>
        </w:rPr>
        <w:t xml:space="preserve">DA </w:t>
      </w:r>
      <w:r w:rsidRPr="00F74141">
        <w:rPr>
          <w:rFonts w:ascii="Verdana" w:hAnsi="Verdana"/>
          <w:sz w:val="20"/>
          <w:szCs w:val="20"/>
        </w:rPr>
        <w:t>ASSEMBLEIA</w:t>
      </w:r>
      <w:r w:rsidRPr="00F74141">
        <w:rPr>
          <w:rFonts w:ascii="Verdana" w:eastAsia="TT108t00" w:hAnsi="Verdana"/>
          <w:sz w:val="20"/>
          <w:szCs w:val="20"/>
        </w:rPr>
        <w:t xml:space="preserve"> GERAL DE DEBENTURISTAS</w:t>
      </w:r>
      <w:bookmarkEnd w:id="151"/>
      <w:bookmarkEnd w:id="152"/>
    </w:p>
    <w:p w:rsidR="00204B37" w:rsidRPr="00F74141" w:rsidRDefault="00706572">
      <w:pPr>
        <w:pStyle w:val="Level2"/>
        <w:numPr>
          <w:ilvl w:val="1"/>
          <w:numId w:val="9"/>
        </w:numPr>
        <w:spacing w:before="240" w:after="240" w:line="320" w:lineRule="exact"/>
        <w:rPr>
          <w:rFonts w:ascii="Verdana" w:hAnsi="Verdana"/>
          <w:szCs w:val="20"/>
        </w:rPr>
      </w:pPr>
      <w:bookmarkStart w:id="153" w:name="_Ref420336762"/>
      <w:bookmarkStart w:id="154" w:name="_Ref468387029"/>
      <w:r w:rsidRPr="00F74141">
        <w:rPr>
          <w:rFonts w:ascii="Verdana" w:eastAsia="Arial Unicode MS" w:hAnsi="Verdana"/>
          <w:w w:val="0"/>
          <w:szCs w:val="20"/>
        </w:rPr>
        <w:t xml:space="preserve">De acordo com o disposto no artigo 71 da Lei das Sociedades por Ações, </w:t>
      </w:r>
      <w:r w:rsidRPr="00F74141">
        <w:rPr>
          <w:rFonts w:ascii="Verdana" w:hAnsi="Verdana"/>
          <w:szCs w:val="20"/>
        </w:rPr>
        <w:t xml:space="preserve">os Debenturistas </w:t>
      </w:r>
      <w:r w:rsidRPr="00F74141">
        <w:rPr>
          <w:rFonts w:ascii="Verdana" w:eastAsia="Arial Unicode MS" w:hAnsi="Verdana"/>
          <w:w w:val="0"/>
          <w:szCs w:val="20"/>
        </w:rPr>
        <w:t xml:space="preserve">poderão, a qualquer tempo, reunir-se em assembleia geral, a fim de deliberar sobre matéria de interesse da comunhão dos Debenturistas </w:t>
      </w:r>
      <w:r w:rsidRPr="00F74141">
        <w:rPr>
          <w:rFonts w:ascii="Verdana" w:hAnsi="Verdana"/>
          <w:szCs w:val="20"/>
        </w:rPr>
        <w:t>(“</w:t>
      </w:r>
      <w:r w:rsidRPr="00F74141">
        <w:rPr>
          <w:rFonts w:ascii="Verdana" w:hAnsi="Verdana"/>
          <w:b/>
          <w:szCs w:val="20"/>
        </w:rPr>
        <w:t>Assembleia Geral de Debenturistas</w:t>
      </w:r>
      <w:r w:rsidRPr="00F74141">
        <w:rPr>
          <w:rFonts w:ascii="Verdana" w:hAnsi="Verdana"/>
          <w:szCs w:val="20"/>
        </w:rPr>
        <w:t>” ou “</w:t>
      </w:r>
      <w:r w:rsidRPr="00F74141">
        <w:rPr>
          <w:rFonts w:ascii="Verdana" w:hAnsi="Verdana"/>
          <w:b/>
          <w:szCs w:val="20"/>
        </w:rPr>
        <w:t>AGD</w:t>
      </w:r>
      <w:r w:rsidRPr="00F74141">
        <w:rPr>
          <w:rFonts w:ascii="Verdana" w:hAnsi="Verdana"/>
          <w:szCs w:val="20"/>
        </w:rPr>
        <w:t>”)</w:t>
      </w:r>
      <w:bookmarkEnd w:id="153"/>
      <w:r w:rsidRPr="00F74141">
        <w:rPr>
          <w:rFonts w:ascii="Verdana" w:hAnsi="Verdana"/>
          <w:szCs w:val="20"/>
        </w:rPr>
        <w:t>.</w:t>
      </w:r>
      <w:bookmarkEnd w:id="154"/>
    </w:p>
    <w:p w:rsidR="00204B37" w:rsidRPr="00F74141" w:rsidRDefault="00706572">
      <w:pPr>
        <w:pStyle w:val="Level2"/>
        <w:numPr>
          <w:ilvl w:val="1"/>
          <w:numId w:val="9"/>
        </w:numPr>
        <w:spacing w:before="240" w:after="240" w:line="320" w:lineRule="exact"/>
        <w:rPr>
          <w:rFonts w:ascii="Verdana" w:hAnsi="Verdana"/>
          <w:szCs w:val="20"/>
        </w:rPr>
      </w:pPr>
      <w:bookmarkStart w:id="155" w:name="_Ref466464867"/>
      <w:bookmarkStart w:id="156" w:name="_Ref468387030"/>
      <w:r w:rsidRPr="00F74141">
        <w:rPr>
          <w:rFonts w:ascii="Verdana" w:hAnsi="Verdana"/>
          <w:szCs w:val="20"/>
        </w:rPr>
        <w:t>Aplica-se à Assembleia Geral de Debenturistas, no que couber, o disposto na Lei das Sociedades por Ações sobre Assembleia Geral de Acionistas.</w:t>
      </w:r>
      <w:bookmarkEnd w:id="155"/>
      <w:bookmarkEnd w:id="156"/>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 Assembleia Geral de Debenturistas pode ser convocada (i) pelo Agente Fiduciário; (</w:t>
      </w:r>
      <w:proofErr w:type="spellStart"/>
      <w:r w:rsidRPr="00F74141">
        <w:rPr>
          <w:rFonts w:ascii="Verdana" w:hAnsi="Verdana"/>
          <w:szCs w:val="20"/>
        </w:rPr>
        <w:t>ii</w:t>
      </w:r>
      <w:proofErr w:type="spellEnd"/>
      <w:r w:rsidRPr="00F74141">
        <w:rPr>
          <w:rFonts w:ascii="Verdana" w:hAnsi="Verdana"/>
          <w:szCs w:val="20"/>
        </w:rPr>
        <w:t>) pela Emissora; (</w:t>
      </w:r>
      <w:proofErr w:type="spellStart"/>
      <w:r w:rsidRPr="00F74141">
        <w:rPr>
          <w:rFonts w:ascii="Verdana" w:hAnsi="Verdana"/>
          <w:szCs w:val="20"/>
        </w:rPr>
        <w:t>iii</w:t>
      </w:r>
      <w:proofErr w:type="spellEnd"/>
      <w:r w:rsidRPr="00F74141">
        <w:rPr>
          <w:rFonts w:ascii="Verdana" w:hAnsi="Verdana"/>
          <w:szCs w:val="20"/>
        </w:rPr>
        <w:t>) por Debenturistas que representem, em conjunto, 10% (dez por cento), no mínimo, das Debêntures em Circulação; e (</w:t>
      </w:r>
      <w:proofErr w:type="spellStart"/>
      <w:r w:rsidRPr="00F74141">
        <w:rPr>
          <w:rFonts w:ascii="Verdana" w:hAnsi="Verdana"/>
          <w:szCs w:val="20"/>
        </w:rPr>
        <w:t>iv</w:t>
      </w:r>
      <w:proofErr w:type="spellEnd"/>
      <w:r w:rsidRPr="00F74141">
        <w:rPr>
          <w:rFonts w:ascii="Verdana" w:hAnsi="Verdana"/>
          <w:szCs w:val="20"/>
        </w:rPr>
        <w:t>) pela CVM.</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 convocação da Assembleia Geral de Debenturistas se dará mediante anúncio publicado, pelo menos 3 (três) vezes, nos órgãos de imprensa previstos na Cláusula 4.18, respeitadas outras regras relacionadas à publicação de anúncio de convocação de Assembleias Gerais de Debenturistas constantes da Lei das Sociedades por Ações, da regulamentação aplicável e desta Escritura de Emissão.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 Assembleia Geral de Debenturistas deverá ser realizada no prazo de 8 (oito) dias, contados da primeira publicação do edital de convocação ou, caso não se verifique quórum para realização da Assembleia Geral de Debenturistas em primeira convocação, no prazo de 5 (cinco) dias, contados da primeira publicação do edital de segunda convocação.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Nos termos do artigo 71, parágrafo 3°, da Lei das Sociedades por Ações, a Assembleia Geral de Debenturistas instalar-se-á, em primeira convocação, com a presença de titulares de Debêntures que representem, no mínimo, metade das Debêntures em Circulação, e, em segunda convocação, com qualquer número.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O Agente Fiduciário deverá comparecer à Assembleia Geral de Debenturistas e prestar aos Debenturistas as informações que lhe forem solicitadas.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 presidência da Assembleia Geral de Debenturistas caberá ao Debenturista eleito pelos demais detentores de Debêntures presentes ou àquele que for designado pela CVM.</w:t>
      </w:r>
    </w:p>
    <w:p w:rsidR="00204B37" w:rsidRPr="00F74141" w:rsidRDefault="00706572">
      <w:pPr>
        <w:pStyle w:val="Level2"/>
        <w:numPr>
          <w:ilvl w:val="1"/>
          <w:numId w:val="9"/>
        </w:numPr>
        <w:spacing w:before="240" w:after="240" w:line="320" w:lineRule="exact"/>
        <w:rPr>
          <w:rFonts w:ascii="Verdana" w:hAnsi="Verdana"/>
          <w:szCs w:val="20"/>
        </w:rPr>
      </w:pPr>
      <w:bookmarkStart w:id="157" w:name="_Ref420337167"/>
      <w:bookmarkStart w:id="158" w:name="_Ref468387035"/>
      <w:r w:rsidRPr="00F74141">
        <w:rPr>
          <w:rFonts w:ascii="Verdana" w:hAnsi="Verdana"/>
          <w:szCs w:val="20"/>
        </w:rPr>
        <w:t xml:space="preserve">Nas deliberações da Assembleia Geral de Debenturistas, a cada Debênture caberá um voto, cujas deliberações, ressalvadas as exceções previstas nesta Escritura de Emissão, serão tomadas por, no mínimo, 2/3 (dois terços) das Debêntures em Circulação, em primeira ou segunda convocações, sendo admitida a constituição de mandatários, </w:t>
      </w:r>
      <w:proofErr w:type="gramStart"/>
      <w:r w:rsidRPr="00F74141">
        <w:rPr>
          <w:rFonts w:ascii="Verdana" w:hAnsi="Verdana"/>
          <w:szCs w:val="20"/>
        </w:rPr>
        <w:t>Debenturista</w:t>
      </w:r>
      <w:proofErr w:type="gramEnd"/>
      <w:r w:rsidRPr="00F74141">
        <w:rPr>
          <w:rFonts w:ascii="Verdana" w:hAnsi="Verdana"/>
          <w:szCs w:val="20"/>
        </w:rPr>
        <w:t xml:space="preserve"> ou não.</w:t>
      </w:r>
      <w:bookmarkEnd w:id="157"/>
      <w:bookmarkEnd w:id="158"/>
    </w:p>
    <w:p w:rsidR="00204B37" w:rsidRPr="00F74141" w:rsidRDefault="00706572">
      <w:pPr>
        <w:pStyle w:val="Level2"/>
        <w:numPr>
          <w:ilvl w:val="1"/>
          <w:numId w:val="9"/>
        </w:numPr>
        <w:spacing w:before="240" w:after="240" w:line="320" w:lineRule="exact"/>
        <w:rPr>
          <w:rFonts w:ascii="Verdana" w:hAnsi="Verdana"/>
          <w:szCs w:val="20"/>
        </w:rPr>
      </w:pPr>
      <w:bookmarkStart w:id="159" w:name="_Ref474858914"/>
      <w:r w:rsidRPr="00F74141">
        <w:rPr>
          <w:rFonts w:ascii="Verdana" w:hAnsi="Verdana"/>
          <w:szCs w:val="20"/>
        </w:rPr>
        <w:t xml:space="preserve">Observado o disposto nas Cláusulas </w:t>
      </w:r>
      <w:r w:rsidRPr="00F74141">
        <w:rPr>
          <w:rFonts w:ascii="Verdana" w:hAnsi="Verdana"/>
          <w:szCs w:val="20"/>
        </w:rPr>
        <w:fldChar w:fldCharType="begin"/>
      </w:r>
      <w:r w:rsidRPr="00F74141">
        <w:rPr>
          <w:rFonts w:ascii="Verdana" w:hAnsi="Verdana"/>
          <w:szCs w:val="20"/>
        </w:rPr>
        <w:instrText xml:space="preserve"> REF _Ref468387029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w:t>
      </w:r>
      <w:r w:rsidRPr="00F74141">
        <w:rPr>
          <w:rFonts w:ascii="Verdana" w:hAnsi="Verdana"/>
          <w:szCs w:val="20"/>
        </w:rPr>
        <w:fldChar w:fldCharType="end"/>
      </w:r>
      <w:r w:rsidRPr="00F74141">
        <w:rPr>
          <w:rFonts w:ascii="Verdana" w:hAnsi="Verdana"/>
          <w:szCs w:val="20"/>
        </w:rPr>
        <w:t xml:space="preserve"> e </w:t>
      </w:r>
      <w:r w:rsidRPr="00F74141">
        <w:rPr>
          <w:rFonts w:ascii="Verdana" w:hAnsi="Verdana"/>
          <w:szCs w:val="20"/>
        </w:rPr>
        <w:fldChar w:fldCharType="begin"/>
      </w:r>
      <w:r w:rsidRPr="00F74141">
        <w:rPr>
          <w:rFonts w:ascii="Verdana" w:hAnsi="Verdana"/>
          <w:szCs w:val="20"/>
        </w:rPr>
        <w:instrText xml:space="preserve"> REF _Ref468387030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9.2</w:t>
      </w:r>
      <w:r w:rsidRPr="00F74141">
        <w:rPr>
          <w:rFonts w:ascii="Verdana" w:hAnsi="Verdana"/>
          <w:szCs w:val="20"/>
        </w:rPr>
        <w:fldChar w:fldCharType="end"/>
      </w:r>
      <w:r w:rsidRPr="00F74141">
        <w:rPr>
          <w:rFonts w:ascii="Verdana" w:hAnsi="Verdana"/>
          <w:szCs w:val="20"/>
        </w:rPr>
        <w:t xml:space="preserve">, não estão incluídos no quórum de deliberação a que se refere a Cláusula </w:t>
      </w:r>
      <w:r w:rsidRPr="00F74141">
        <w:rPr>
          <w:rFonts w:ascii="Verdana" w:hAnsi="Verdana"/>
          <w:szCs w:val="20"/>
        </w:rPr>
        <w:fldChar w:fldCharType="begin"/>
      </w:r>
      <w:r w:rsidRPr="00F74141">
        <w:rPr>
          <w:rFonts w:ascii="Verdana" w:hAnsi="Verdana"/>
          <w:szCs w:val="20"/>
        </w:rPr>
        <w:instrText xml:space="preserve"> REF _Ref468387035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9.9 acima</w:t>
      </w:r>
      <w:r w:rsidRPr="00F74141">
        <w:rPr>
          <w:rFonts w:ascii="Verdana" w:hAnsi="Verdana"/>
          <w:szCs w:val="20"/>
        </w:rPr>
        <w:fldChar w:fldCharType="end"/>
      </w:r>
      <w:r w:rsidRPr="00F74141">
        <w:rPr>
          <w:rFonts w:ascii="Verdana" w:hAnsi="Verdana"/>
          <w:szCs w:val="20"/>
        </w:rPr>
        <w:t>:</w:t>
      </w:r>
      <w:bookmarkEnd w:id="159"/>
    </w:p>
    <w:p w:rsidR="00204B37" w:rsidRPr="00F74141" w:rsidRDefault="00706572">
      <w:pPr>
        <w:pStyle w:val="Level4"/>
        <w:numPr>
          <w:ilvl w:val="0"/>
          <w:numId w:val="15"/>
        </w:numPr>
        <w:spacing w:before="240" w:after="240" w:line="320" w:lineRule="exact"/>
        <w:rPr>
          <w:rFonts w:ascii="Verdana" w:hAnsi="Verdana"/>
          <w:szCs w:val="20"/>
        </w:rPr>
      </w:pPr>
      <w:r w:rsidRPr="00F74141">
        <w:rPr>
          <w:rFonts w:ascii="Verdana" w:hAnsi="Verdana"/>
          <w:szCs w:val="20"/>
        </w:rPr>
        <w:t>os quóruns expressamente previstos em outras Cláusulas desta Escritura de Emissão;</w:t>
      </w:r>
    </w:p>
    <w:p w:rsidR="00204B37" w:rsidRPr="00F74141" w:rsidRDefault="00706572">
      <w:pPr>
        <w:pStyle w:val="Level4"/>
        <w:numPr>
          <w:ilvl w:val="0"/>
          <w:numId w:val="15"/>
        </w:numPr>
        <w:spacing w:before="240" w:after="240" w:line="320" w:lineRule="exact"/>
        <w:rPr>
          <w:rFonts w:ascii="Verdana" w:hAnsi="Verdana"/>
          <w:szCs w:val="20"/>
        </w:rPr>
      </w:pPr>
      <w:bookmarkStart w:id="160" w:name="_Ref474858908"/>
      <w:r w:rsidRPr="00F74141">
        <w:rPr>
          <w:rFonts w:ascii="Verdana" w:hAnsi="Verdana"/>
          <w:szCs w:val="20"/>
        </w:rPr>
        <w:t>qualquer alteração (a) no prazo de vigência das Debêntures; (b) no quórum de deliberação das Assembleias Gerais de Debenturistas; (c) na Data de Vencimento, na Data de Amortização das Debêntures e nas Datas de Pagamento dos Juros ou de quaisquer datas de pagamento de quaisquer valores previstos nesta Escritura de Emissão; (d) no parâmetro do cálculo dos Juros Remuneratórios; ou (e) nas hipóteses de Resgate Antecipado Facultativo, Amortização Antecipada Facultativa ou Eventos de Vencimento Antecipado (seja alteração nas hipóteses, exclusão ou inclusão), a(s) qual(</w:t>
      </w:r>
      <w:proofErr w:type="spellStart"/>
      <w:r w:rsidRPr="00F74141">
        <w:rPr>
          <w:rFonts w:ascii="Verdana" w:hAnsi="Verdana"/>
          <w:szCs w:val="20"/>
        </w:rPr>
        <w:t>is</w:t>
      </w:r>
      <w:proofErr w:type="spellEnd"/>
      <w:r w:rsidRPr="00F74141">
        <w:rPr>
          <w:rFonts w:ascii="Verdana" w:hAnsi="Verdana"/>
          <w:szCs w:val="20"/>
        </w:rPr>
        <w:t>) deverá(</w:t>
      </w:r>
      <w:proofErr w:type="spellStart"/>
      <w:r w:rsidRPr="00F74141">
        <w:rPr>
          <w:rFonts w:ascii="Verdana" w:hAnsi="Verdana"/>
          <w:szCs w:val="20"/>
        </w:rPr>
        <w:t>ão</w:t>
      </w:r>
      <w:proofErr w:type="spellEnd"/>
      <w:r w:rsidRPr="00F74141">
        <w:rPr>
          <w:rFonts w:ascii="Verdana" w:hAnsi="Verdana"/>
          <w:szCs w:val="20"/>
        </w:rPr>
        <w:t>) ser aprovada(s) por Debenturistas representando, no mínimo, 90% (noventa por cento) das Debêntures em Circulação; e</w:t>
      </w:r>
      <w:bookmarkEnd w:id="160"/>
    </w:p>
    <w:p w:rsidR="00204B37" w:rsidRPr="00F74141" w:rsidRDefault="00706572">
      <w:pPr>
        <w:pStyle w:val="Level4"/>
        <w:numPr>
          <w:ilvl w:val="0"/>
          <w:numId w:val="15"/>
        </w:numPr>
        <w:spacing w:before="240" w:after="240" w:line="320" w:lineRule="exact"/>
        <w:rPr>
          <w:rFonts w:ascii="Verdana" w:hAnsi="Verdana"/>
          <w:szCs w:val="20"/>
        </w:rPr>
      </w:pPr>
      <w:bookmarkStart w:id="161" w:name="_Ref420594287"/>
      <w:r w:rsidRPr="00F74141">
        <w:rPr>
          <w:rFonts w:ascii="Verdana" w:hAnsi="Verdana"/>
          <w:szCs w:val="20"/>
        </w:rPr>
        <w:t xml:space="preserve">as deliberações relativas à renúncia ou a perdão temporário a qualquer dos eventos previstos nas Cláusulas </w:t>
      </w:r>
      <w:r w:rsidRPr="00F74141">
        <w:rPr>
          <w:rFonts w:ascii="Verdana" w:hAnsi="Verdana"/>
          <w:szCs w:val="20"/>
        </w:rPr>
        <w:fldChar w:fldCharType="begin"/>
      </w:r>
      <w:r w:rsidRPr="00F74141">
        <w:rPr>
          <w:rFonts w:ascii="Verdana" w:hAnsi="Verdana"/>
          <w:szCs w:val="20"/>
        </w:rPr>
        <w:instrText xml:space="preserve"> REF _Ref420336741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6.1.1</w:t>
      </w:r>
      <w:r w:rsidRPr="00F74141">
        <w:rPr>
          <w:rFonts w:ascii="Verdana" w:hAnsi="Verdana"/>
          <w:szCs w:val="20"/>
        </w:rPr>
        <w:fldChar w:fldCharType="end"/>
      </w:r>
      <w:r w:rsidRPr="00F74141">
        <w:rPr>
          <w:rFonts w:ascii="Verdana" w:hAnsi="Verdana"/>
          <w:szCs w:val="20"/>
        </w:rPr>
        <w:t xml:space="preserve"> e </w:t>
      </w:r>
      <w:r w:rsidRPr="00F74141">
        <w:rPr>
          <w:rFonts w:ascii="Verdana" w:hAnsi="Verdana"/>
          <w:szCs w:val="20"/>
        </w:rPr>
        <w:fldChar w:fldCharType="begin"/>
      </w:r>
      <w:r w:rsidRPr="00F74141">
        <w:rPr>
          <w:rFonts w:ascii="Verdana" w:hAnsi="Verdana"/>
          <w:szCs w:val="20"/>
        </w:rPr>
        <w:instrText xml:space="preserve"> REF _Ref468382152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6.2.1 acima</w:t>
      </w:r>
      <w:r w:rsidRPr="00F74141">
        <w:rPr>
          <w:rFonts w:ascii="Verdana" w:hAnsi="Verdana"/>
          <w:szCs w:val="20"/>
        </w:rPr>
        <w:fldChar w:fldCharType="end"/>
      </w:r>
      <w:r w:rsidRPr="00F74141">
        <w:rPr>
          <w:rFonts w:ascii="Verdana" w:hAnsi="Verdana"/>
          <w:szCs w:val="20"/>
        </w:rPr>
        <w:t xml:space="preserve"> (pedido de </w:t>
      </w:r>
      <w:proofErr w:type="spellStart"/>
      <w:r w:rsidRPr="00F74141">
        <w:rPr>
          <w:rFonts w:ascii="Verdana" w:hAnsi="Verdana"/>
          <w:i/>
          <w:szCs w:val="20"/>
        </w:rPr>
        <w:t>waiver</w:t>
      </w:r>
      <w:proofErr w:type="spellEnd"/>
      <w:r w:rsidRPr="00F74141">
        <w:rPr>
          <w:rFonts w:ascii="Verdana" w:hAnsi="Verdana"/>
          <w:szCs w:val="20"/>
        </w:rPr>
        <w:t>), que deverão ser aprovadas em Assembleia Geral de Debenturistas, por Debenturistas representando, no mínimo, 2/3 (dois terços) das Debêntures em Circulação, em primeira convocação, ou por Debenturistas representando, no mínimo, 50% (cinquenta por cento) mais 1 (uma) das Debêntures em Circulação, em segunda convocação.</w:t>
      </w:r>
      <w:bookmarkEnd w:id="161"/>
    </w:p>
    <w:p w:rsidR="00204B37" w:rsidRPr="00F74141" w:rsidRDefault="00706572">
      <w:pPr>
        <w:pStyle w:val="Level3"/>
        <w:numPr>
          <w:ilvl w:val="2"/>
          <w:numId w:val="9"/>
        </w:numPr>
        <w:spacing w:before="240" w:after="240" w:line="320" w:lineRule="exact"/>
        <w:rPr>
          <w:rFonts w:ascii="Verdana" w:hAnsi="Verdana"/>
          <w:szCs w:val="20"/>
        </w:rPr>
      </w:pPr>
      <w:r w:rsidRPr="00F74141">
        <w:rPr>
          <w:rFonts w:ascii="Verdana" w:hAnsi="Verdana"/>
          <w:szCs w:val="20"/>
        </w:rPr>
        <w:t xml:space="preserve">Com relação às matérias indicadas na Cláusula </w:t>
      </w:r>
      <w:r w:rsidRPr="00F74141">
        <w:rPr>
          <w:rFonts w:ascii="Verdana" w:hAnsi="Verdana"/>
          <w:szCs w:val="20"/>
        </w:rPr>
        <w:fldChar w:fldCharType="begin"/>
      </w:r>
      <w:r w:rsidRPr="00F74141">
        <w:rPr>
          <w:rFonts w:ascii="Verdana" w:hAnsi="Verdana"/>
          <w:szCs w:val="20"/>
        </w:rPr>
        <w:instrText xml:space="preserve"> REF _Ref474858914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9.10</w:t>
      </w:r>
      <w:r w:rsidRPr="00F74141">
        <w:rPr>
          <w:rFonts w:ascii="Verdana" w:hAnsi="Verdana"/>
          <w:szCs w:val="20"/>
        </w:rPr>
        <w:fldChar w:fldCharType="end"/>
      </w:r>
      <w:r w:rsidRPr="00F74141">
        <w:rPr>
          <w:rFonts w:ascii="Verdana" w:hAnsi="Verdana"/>
          <w:szCs w:val="20"/>
        </w:rPr>
        <w:fldChar w:fldCharType="begin"/>
      </w:r>
      <w:r w:rsidRPr="00F74141">
        <w:rPr>
          <w:rFonts w:ascii="Verdana" w:hAnsi="Verdana"/>
          <w:szCs w:val="20"/>
        </w:rPr>
        <w:instrText xml:space="preserve"> REF _Ref474858908 \r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w:t>
      </w:r>
      <w:proofErr w:type="spellStart"/>
      <w:r w:rsidRPr="00F74141">
        <w:rPr>
          <w:rFonts w:ascii="Verdana" w:hAnsi="Verdana"/>
          <w:szCs w:val="20"/>
        </w:rPr>
        <w:t>ii</w:t>
      </w:r>
      <w:proofErr w:type="spellEnd"/>
      <w:r w:rsidRPr="00F74141">
        <w:rPr>
          <w:rFonts w:ascii="Verdana" w:hAnsi="Verdana"/>
          <w:szCs w:val="20"/>
        </w:rPr>
        <w:t>)</w:t>
      </w:r>
      <w:r w:rsidRPr="00F74141">
        <w:rPr>
          <w:rFonts w:ascii="Verdana" w:hAnsi="Verdana"/>
          <w:szCs w:val="20"/>
        </w:rPr>
        <w:fldChar w:fldCharType="end"/>
      </w:r>
      <w:r w:rsidRPr="00F74141">
        <w:rPr>
          <w:rFonts w:ascii="Verdana" w:hAnsi="Verdana"/>
          <w:szCs w:val="20"/>
        </w:rPr>
        <w:t>, caso estas venham a ser propostas pelos Debenturistas, dependerão também da concordância da Emissora para que sejam aprovadas.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As deliberações tomadas pelos Debenturistas em Assembleias Gerais de Debenturistas devidamente instaladas, no âmbito de sua competência legal, observados os quóruns estabelecidos nesta Escritura de Emissão, serão existentes, válidas e eficazes perante a Emissora e obrigarão a todos os titulares das Debêntures, independentemente de terem comparecido, ou não, à assembleia ou do voto proferido nas respectivas Assembleias Gerais de Debenturistas.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Independentemente das formalidades previstas na Lei das Sociedades por Ações e nesta Escritura de Emissão, serão consideradas regulares as deliberações tomadas pelos Debenturistas em Assembleia Geral de Debenturistas a que comparecerem a totalidade dos Debenturistas.</w:t>
      </w:r>
    </w:p>
    <w:p w:rsidR="00204B37" w:rsidRPr="00F74141" w:rsidRDefault="00706572">
      <w:pPr>
        <w:pStyle w:val="Level2"/>
        <w:numPr>
          <w:ilvl w:val="1"/>
          <w:numId w:val="9"/>
        </w:numPr>
        <w:spacing w:before="240" w:after="240" w:line="320" w:lineRule="exact"/>
        <w:rPr>
          <w:rFonts w:ascii="Verdana" w:hAnsi="Verdana"/>
          <w:szCs w:val="20"/>
        </w:rPr>
      </w:pPr>
      <w:bookmarkStart w:id="162" w:name="_Ref11579110"/>
      <w:r w:rsidRPr="00F74141">
        <w:rPr>
          <w:rFonts w:ascii="Verdana" w:hAnsi="Verdana"/>
          <w:szCs w:val="20"/>
        </w:rPr>
        <w:t>Para efeito de fixação de quórum disposto nesta Escritura de Emissão, define-se como “</w:t>
      </w:r>
      <w:r w:rsidRPr="00F74141">
        <w:rPr>
          <w:rFonts w:ascii="Verdana" w:hAnsi="Verdana"/>
          <w:b/>
          <w:szCs w:val="20"/>
        </w:rPr>
        <w:t>Debêntures em Circulação</w:t>
      </w:r>
      <w:r w:rsidRPr="00F74141">
        <w:rPr>
          <w:rFonts w:ascii="Verdana" w:hAnsi="Verdana"/>
          <w:szCs w:val="20"/>
        </w:rPr>
        <w:t>” todas as Debêntures subscritas, integralizadas e não resgatadas, excluídas (i) aquelas mantidas em tesouraria pela Emissora; e (</w:t>
      </w:r>
      <w:proofErr w:type="spellStart"/>
      <w:r w:rsidRPr="00F74141">
        <w:rPr>
          <w:rFonts w:ascii="Verdana" w:hAnsi="Verdana"/>
          <w:szCs w:val="20"/>
        </w:rPr>
        <w:t>ii</w:t>
      </w:r>
      <w:proofErr w:type="spellEnd"/>
      <w:r w:rsidRPr="00F74141">
        <w:rPr>
          <w:rFonts w:ascii="Verdana" w:hAnsi="Verdana"/>
          <w:szCs w:val="20"/>
        </w:rPr>
        <w:t>) as de titularidade de (a) Acionistas, (b) administradores da Emissora, incluindo diretores e conselheiros de administração, e (c) conselheiros fiscais.</w:t>
      </w:r>
      <w:bookmarkEnd w:id="162"/>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Será obrigatória a presença de representante(s) legal(</w:t>
      </w:r>
      <w:proofErr w:type="spellStart"/>
      <w:r w:rsidRPr="00F74141">
        <w:rPr>
          <w:rFonts w:ascii="Verdana" w:hAnsi="Verdana"/>
          <w:szCs w:val="20"/>
        </w:rPr>
        <w:t>is</w:t>
      </w:r>
      <w:proofErr w:type="spellEnd"/>
      <w:r w:rsidRPr="00F74141">
        <w:rPr>
          <w:rFonts w:ascii="Verdana" w:hAnsi="Verdana"/>
          <w:szCs w:val="20"/>
        </w:rPr>
        <w:t>) da Emissora nas Assembleias Gerais de Debenturistas convocadas pela Emissora. Nas Assembleias Gerais de Debenturistas convocadas pelos Debenturistas ou pelo Agente Fiduciário, a presença de representante(s) legal(</w:t>
      </w:r>
      <w:proofErr w:type="spellStart"/>
      <w:r w:rsidRPr="00F74141">
        <w:rPr>
          <w:rFonts w:ascii="Verdana" w:hAnsi="Verdana"/>
          <w:szCs w:val="20"/>
        </w:rPr>
        <w:t>is</w:t>
      </w:r>
      <w:proofErr w:type="spellEnd"/>
      <w:r w:rsidRPr="00F74141">
        <w:rPr>
          <w:rFonts w:ascii="Verdana" w:hAnsi="Verdana"/>
          <w:szCs w:val="20"/>
        </w:rPr>
        <w:t>) da Emissora será facultativa, a não ser quando ela seja solicitada pelos Debenturistas ou pelo Agente Fiduciário, conforme o caso, hipótese em que será obrigatória.</w:t>
      </w:r>
    </w:p>
    <w:p w:rsidR="00204B37" w:rsidRPr="00F74141" w:rsidRDefault="00706572">
      <w:pPr>
        <w:pStyle w:val="Level1"/>
        <w:numPr>
          <w:ilvl w:val="0"/>
          <w:numId w:val="9"/>
        </w:numPr>
        <w:spacing w:before="240" w:after="240" w:line="320" w:lineRule="exact"/>
        <w:rPr>
          <w:rFonts w:ascii="Verdana" w:eastAsia="TT108t00" w:hAnsi="Verdana"/>
          <w:sz w:val="20"/>
          <w:szCs w:val="20"/>
        </w:rPr>
      </w:pPr>
      <w:r w:rsidRPr="00F74141">
        <w:rPr>
          <w:rFonts w:ascii="Verdana" w:hAnsi="Verdana"/>
          <w:sz w:val="20"/>
          <w:szCs w:val="20"/>
        </w:rPr>
        <w:t>DECLARAÇÕES</w:t>
      </w:r>
      <w:r w:rsidRPr="00F74141">
        <w:rPr>
          <w:rFonts w:ascii="Verdana" w:eastAsia="TT108t00" w:hAnsi="Verdana"/>
          <w:sz w:val="20"/>
          <w:szCs w:val="20"/>
        </w:rPr>
        <w:t xml:space="preserve"> E GARANTIAS DO AGENTE FIDUCIÁRIO</w:t>
      </w:r>
    </w:p>
    <w:p w:rsidR="00204B37" w:rsidRPr="00F74141" w:rsidRDefault="00706572">
      <w:pPr>
        <w:pStyle w:val="Level2"/>
        <w:keepNext/>
        <w:numPr>
          <w:ilvl w:val="1"/>
          <w:numId w:val="9"/>
        </w:numPr>
        <w:spacing w:before="240" w:after="240" w:line="320" w:lineRule="exact"/>
        <w:rPr>
          <w:rFonts w:ascii="Verdana" w:hAnsi="Verdana"/>
          <w:szCs w:val="20"/>
        </w:rPr>
      </w:pPr>
      <w:r w:rsidRPr="00F74141">
        <w:rPr>
          <w:rFonts w:ascii="Verdana" w:hAnsi="Verdana"/>
          <w:szCs w:val="20"/>
        </w:rPr>
        <w:t>O Agente Fiduciário, nomeado na presente Escritura de Emissão, declara que:</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w w:val="0"/>
          <w:szCs w:val="20"/>
        </w:rPr>
      </w:pPr>
      <w:proofErr w:type="spellStart"/>
      <w:r w:rsidRPr="00F74141">
        <w:rPr>
          <w:rFonts w:ascii="Verdana" w:hAnsi="Verdana"/>
          <w:w w:val="0"/>
          <w:szCs w:val="20"/>
        </w:rPr>
        <w:t>é</w:t>
      </w:r>
      <w:proofErr w:type="spellEnd"/>
      <w:r w:rsidRPr="00F74141">
        <w:rPr>
          <w:rFonts w:ascii="Verdana" w:hAnsi="Verdana"/>
          <w:w w:val="0"/>
          <w:szCs w:val="20"/>
        </w:rPr>
        <w:t xml:space="preserve"> sociedade devidamente organizada, constituída e existente sob a forma de sociedade por ações, de acordo com as leis brasileiras;</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aceita a função para a qual foi nomeado, assumindo integralmente os deveres e atribuições previstos na legislação específica e nesta Escritura de Emissão;</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aceita integralmente esta Escritura de Emissão, todas suas Cláusulas e condições;</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está devidamente autorizado a celebrar esta Escritura de Emissão e a cumprir com suas obrigações aqui previstas, tendo sido satisfeitos todos os requisitos legais e estatutários necessários para tanto;</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a celebração desta Escritura de Emissão e o cumprimento de suas obrigações aqui previstas não infringem qualquer obrigação anteriormente assumida pelo Agente Fiduciário;</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não tem qualquer impedimento legal, conforme parágrafo 3º do artigo 66, da Lei das Sociedades por Ações, para exercer a função que lhe é conferida;</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não se encontra em nenhuma das situações de conflito de interesse previstas no artigo 6 da Instrução CVM 583;</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 xml:space="preserve">não tem qualquer ligação com a Emissora que o impeça de exercer suas funções; </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está ciente das disposições da Circular do BACEN nº 1.832, de 31 de outubro de 1990;</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 xml:space="preserve">verificou a veracidade das informações contidas </w:t>
      </w:r>
      <w:proofErr w:type="spellStart"/>
      <w:r w:rsidRPr="00F74141">
        <w:rPr>
          <w:rFonts w:ascii="Verdana" w:hAnsi="Verdana"/>
          <w:szCs w:val="20"/>
        </w:rPr>
        <w:t>nesta</w:t>
      </w:r>
      <w:proofErr w:type="spellEnd"/>
      <w:r w:rsidRPr="00F74141">
        <w:rPr>
          <w:rFonts w:ascii="Verdana" w:hAnsi="Verdana"/>
          <w:szCs w:val="20"/>
        </w:rPr>
        <w:t xml:space="preserve"> Escritura de Emissão;</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a pessoa que o representa na assinatura desta Escritura de Emissão tem poderes bastantes para tanto;</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aceita a obrigação de acompanhar a ocorrência das hipóteses de vencimento antecipado, descritas na Cláusula 6 desta Escritura de Emissão;</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está devidamente qualificado a exercer as atividades de Agente Fiduciário, nos termos da regulamentação aplicável vigente;</w:t>
      </w:r>
    </w:p>
    <w:p w:rsidR="00204B37" w:rsidRPr="00F74141" w:rsidRDefault="00706572">
      <w:pPr>
        <w:pStyle w:val="Level4"/>
        <w:numPr>
          <w:ilvl w:val="3"/>
          <w:numId w:val="16"/>
        </w:numPr>
        <w:tabs>
          <w:tab w:val="clear" w:pos="3941"/>
          <w:tab w:val="num" w:pos="3261"/>
        </w:tabs>
        <w:spacing w:before="240" w:after="240" w:line="320" w:lineRule="exact"/>
        <w:ind w:left="1560" w:hanging="709"/>
        <w:rPr>
          <w:rFonts w:ascii="Verdana" w:hAnsi="Verdana"/>
          <w:szCs w:val="20"/>
        </w:rPr>
      </w:pPr>
      <w:r w:rsidRPr="00F74141">
        <w:rPr>
          <w:rFonts w:ascii="Verdana" w:hAnsi="Verdana"/>
          <w:szCs w:val="20"/>
        </w:rPr>
        <w:t>esta Escritura de Emissão constitui obrigação legal, válida, eficaz e vinculativa do Agente Fiduciário, exequível de acordo com os seus termos e condições, com força de título executivo extrajudicial nos termos do artigo 784, incisos I e III da Lei nº 13.105, de 16 de março de 2015 (“</w:t>
      </w:r>
      <w:r w:rsidRPr="00F74141">
        <w:rPr>
          <w:rFonts w:ascii="Verdana" w:hAnsi="Verdana"/>
          <w:b/>
          <w:szCs w:val="20"/>
        </w:rPr>
        <w:t>Código de Processo Civil</w:t>
      </w:r>
      <w:r w:rsidRPr="00F74141">
        <w:rPr>
          <w:rFonts w:ascii="Verdana" w:hAnsi="Verdana"/>
          <w:szCs w:val="20"/>
        </w:rPr>
        <w:t>”);</w:t>
      </w:r>
      <w:bookmarkStart w:id="163" w:name="_DV_C973"/>
    </w:p>
    <w:p w:rsidR="00204B37" w:rsidRPr="00F74141" w:rsidRDefault="00706572">
      <w:pPr>
        <w:pStyle w:val="Level4"/>
        <w:numPr>
          <w:ilvl w:val="3"/>
          <w:numId w:val="16"/>
        </w:numPr>
        <w:tabs>
          <w:tab w:val="clear" w:pos="3941"/>
          <w:tab w:val="num" w:pos="1701"/>
        </w:tabs>
        <w:spacing w:before="240" w:after="240" w:line="320" w:lineRule="exact"/>
        <w:ind w:left="1560" w:hanging="709"/>
        <w:rPr>
          <w:rFonts w:ascii="Verdana" w:hAnsi="Verdana"/>
          <w:szCs w:val="20"/>
        </w:rPr>
      </w:pPr>
      <w:r w:rsidRPr="00F74141">
        <w:rPr>
          <w:rFonts w:ascii="Verdana" w:hAnsi="Verdana"/>
          <w:szCs w:val="20"/>
        </w:rPr>
        <w:t xml:space="preserve">na data de assinatura da presente Escritura de Emissão, para os fins do disposto no inciso XI, artigo 1 do Anexo 15 da instrução CVM 583, conforme organograma encaminhado pela Emissora, o Agente Fiduciário identificou que presta serviços de agente fiduciário nas emissões identificadas no </w:t>
      </w:r>
      <w:r w:rsidRPr="00F74141">
        <w:rPr>
          <w:rFonts w:ascii="Verdana" w:hAnsi="Verdana"/>
          <w:b/>
          <w:szCs w:val="20"/>
        </w:rPr>
        <w:t>Anexo I</w:t>
      </w:r>
      <w:r w:rsidRPr="00F74141">
        <w:rPr>
          <w:rFonts w:ascii="Verdana" w:hAnsi="Verdana"/>
          <w:szCs w:val="20"/>
        </w:rPr>
        <w:t xml:space="preserve"> desta Escritura de Emissão; e</w:t>
      </w:r>
      <w:bookmarkEnd w:id="163"/>
    </w:p>
    <w:p w:rsidR="00204B37" w:rsidRPr="00F74141" w:rsidRDefault="00706572">
      <w:pPr>
        <w:pStyle w:val="Level4"/>
        <w:numPr>
          <w:ilvl w:val="3"/>
          <w:numId w:val="16"/>
        </w:numPr>
        <w:tabs>
          <w:tab w:val="clear" w:pos="3941"/>
          <w:tab w:val="num" w:pos="1701"/>
        </w:tabs>
        <w:spacing w:before="240" w:after="240" w:line="320" w:lineRule="exact"/>
        <w:ind w:left="1560" w:hanging="709"/>
        <w:rPr>
          <w:rFonts w:ascii="Verdana" w:hAnsi="Verdana"/>
          <w:szCs w:val="20"/>
        </w:rPr>
      </w:pPr>
      <w:r w:rsidRPr="00F74141">
        <w:rPr>
          <w:rFonts w:ascii="Verdana" w:hAnsi="Verdana"/>
          <w:szCs w:val="20"/>
        </w:rPr>
        <w:t>tem conhecimento (1) da exceção para a realização das Reduções de Capital Previamente Aprovadas, e (2) da eventual distribuição de lucros ou dividendos pela Emissora aos Acionistas desde que os lucros e dividendos distribuídos aos Acionistas, em conjunto com eventuais Reduções de Capital Previamente Aprovadas, cancelamentos de adiantamento a futuro aporte de capital e mútuos concedidos aos Acionistas, não superem o montante agregado de R$325.000.000,00 (trezentos e vinte e cinco milhões de reais), de modo que tais eventos, se e quando implementados, não configurarão Eventos de Vencimento Antecipado e independerão de realização de assembleia geral de Debenturistas para sua efetivação.</w:t>
      </w:r>
    </w:p>
    <w:p w:rsidR="00204B37" w:rsidRPr="00F74141" w:rsidRDefault="00706572">
      <w:pPr>
        <w:pStyle w:val="Level1"/>
        <w:numPr>
          <w:ilvl w:val="0"/>
          <w:numId w:val="9"/>
        </w:numPr>
        <w:spacing w:before="240" w:after="240" w:line="320" w:lineRule="exact"/>
        <w:rPr>
          <w:rFonts w:ascii="Verdana" w:eastAsia="TT108t00" w:hAnsi="Verdana"/>
          <w:sz w:val="20"/>
          <w:szCs w:val="20"/>
        </w:rPr>
      </w:pPr>
      <w:r w:rsidRPr="00F74141">
        <w:rPr>
          <w:rFonts w:ascii="Verdana" w:hAnsi="Verdana"/>
          <w:sz w:val="20"/>
          <w:szCs w:val="20"/>
        </w:rPr>
        <w:t>DECLARAÇÕES E GARANTIAS DA EMISSORA</w:t>
      </w:r>
    </w:p>
    <w:p w:rsidR="00204B37" w:rsidRPr="00F74141" w:rsidRDefault="00706572">
      <w:pPr>
        <w:pStyle w:val="Level2"/>
        <w:numPr>
          <w:ilvl w:val="1"/>
          <w:numId w:val="9"/>
        </w:numPr>
        <w:spacing w:before="240" w:after="240" w:line="320" w:lineRule="exact"/>
        <w:rPr>
          <w:rFonts w:ascii="Verdana" w:hAnsi="Verdana"/>
          <w:szCs w:val="20"/>
        </w:rPr>
      </w:pPr>
      <w:bookmarkStart w:id="164" w:name="_Ref420334906"/>
      <w:bookmarkStart w:id="165" w:name="_Ref468387198"/>
      <w:r w:rsidRPr="00F74141">
        <w:rPr>
          <w:rFonts w:ascii="Verdana" w:hAnsi="Verdana"/>
          <w:szCs w:val="20"/>
        </w:rPr>
        <w:t xml:space="preserve">A Emissora declara e garante ao Agente Fiduciário, na data da assinatura desta Escritura </w:t>
      </w:r>
      <w:r w:rsidRPr="00F74141">
        <w:rPr>
          <w:rFonts w:ascii="Verdana" w:hAnsi="Verdana"/>
          <w:kern w:val="16"/>
          <w:szCs w:val="20"/>
        </w:rPr>
        <w:t>de Emissão</w:t>
      </w:r>
      <w:r w:rsidRPr="00F74141">
        <w:rPr>
          <w:rFonts w:ascii="Verdana" w:hAnsi="Verdana"/>
          <w:szCs w:val="20"/>
        </w:rPr>
        <w:t>, conforme aplicável, que:</w:t>
      </w:r>
    </w:p>
    <w:bookmarkEnd w:id="164"/>
    <w:bookmarkEnd w:id="165"/>
    <w:p w:rsidR="00204B37" w:rsidRPr="00F74141" w:rsidRDefault="00706572">
      <w:pPr>
        <w:pStyle w:val="Level2"/>
        <w:numPr>
          <w:ilvl w:val="3"/>
          <w:numId w:val="17"/>
        </w:numPr>
        <w:tabs>
          <w:tab w:val="clear" w:pos="3941"/>
          <w:tab w:val="num" w:pos="3261"/>
        </w:tabs>
        <w:spacing w:before="240" w:after="240" w:line="320" w:lineRule="exact"/>
        <w:ind w:left="1560"/>
        <w:rPr>
          <w:rFonts w:ascii="Verdana" w:hAnsi="Verdana"/>
          <w:szCs w:val="20"/>
        </w:rPr>
      </w:pPr>
      <w:proofErr w:type="spellStart"/>
      <w:r w:rsidRPr="00F74141">
        <w:rPr>
          <w:rFonts w:ascii="Verdana" w:hAnsi="Verdana"/>
          <w:szCs w:val="20"/>
        </w:rPr>
        <w:t>é</w:t>
      </w:r>
      <w:proofErr w:type="spellEnd"/>
      <w:r w:rsidRPr="00F74141">
        <w:rPr>
          <w:rFonts w:ascii="Verdana" w:hAnsi="Verdana"/>
          <w:szCs w:val="20"/>
        </w:rPr>
        <w:t xml:space="preserve"> companhia devidamente organizada, constituída e existente sob a forma de sociedade por ações de acordo com as leis da República Federativa do Brasil;</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está devidamente autorizada a celebrar esta Escritura de Emissão, os Contratos de Garantias e os demais documentos da Oferta e a cumprir todas as obrigações neles previstas, tendo sido satisfeitos todos os requisitos legais, contratuais e estatutários necessários para tanto;</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a celebração desta Escritura de Emissão e dos Contratos de Garantias e o cumprimento das obrigações aqui e ali previstas não infringem nenhuma obrigação anteriormente assumida pela Emissora;</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os representantes legais que assinam esta Escritura de Emissão, os Contratos de Garantias e os demais documentos da Oferta têm poderes estatutários e/ou delegados para assumir, em seu nome, as obrigações ora estabelecidas e, sendo mandatários, tiveram os poderes legitimamente outorgados, estando os respectivos mandatos em pleno vigor e efeito;</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a celebração da Escritura de Emissão e dos Contratos de Garantias, a colocação das Debêntures, a outorga das garantias e o cumprimento das obrigações previstas nesta Escritura de Emissão e nos Contratos de Garantias não infringem nenhuma disposição legal, disposições de seu respectivo estatuto social, contratos ou instrumentos dos quais a Emissora seja parte, nem irá resultar em: (a) vencimento antecipado de qualquer obrigação estabelecida em qualquer desses contratos ou instrumentos; (b) criação de quaisquer ônus sobre qualquer ativo ou bem da Emissora, exceto por aqueles já existentes nesta data e pelas garantias ora outorgadas; (c) rescisão de qualquer desses contratos ou instrumentos; ou (d) descumprimento de qualquer ordem, decisão ou sentença administrativa, judicial ou arbitral, que já tenha sido proferida em qualquer processo ou procedimento de que a Emissora seja parte;</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bCs/>
          <w:iCs/>
          <w:szCs w:val="20"/>
        </w:rPr>
        <w:t xml:space="preserve">esta Escritura </w:t>
      </w:r>
      <w:r w:rsidRPr="00F74141">
        <w:rPr>
          <w:rFonts w:ascii="Verdana" w:hAnsi="Verdana"/>
          <w:szCs w:val="20"/>
        </w:rPr>
        <w:t>de Emissão</w:t>
      </w:r>
      <w:r w:rsidRPr="00F74141">
        <w:rPr>
          <w:rFonts w:ascii="Verdana" w:hAnsi="Verdana"/>
          <w:bCs/>
          <w:iCs/>
          <w:szCs w:val="20"/>
        </w:rPr>
        <w:t xml:space="preserve"> e as obrigações aqui previstas, constituem obrigações lícitas, válidas e vinculantes da Emissora, exequíveis de acordo com os seus termos e condições;</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bookmarkStart w:id="166" w:name="_Ref421275742"/>
      <w:r w:rsidRPr="00F74141">
        <w:rPr>
          <w:rFonts w:ascii="Verdana" w:hAnsi="Verdana"/>
          <w:szCs w:val="20"/>
        </w:rPr>
        <w:t>as informações prestadas por ocasião da Oferta e constantes nesta Escritura de Emissão e nos Contratos de Garantias são verdadeiras, consistentes, corretas e suficientes, permitindo aos investidores uma tomada de decisão fundamentada a respeito da Oferta</w:t>
      </w:r>
      <w:bookmarkEnd w:id="166"/>
      <w:r w:rsidRPr="00F74141">
        <w:rPr>
          <w:rFonts w:ascii="Verdana" w:hAnsi="Verdana"/>
          <w:szCs w:val="20"/>
        </w:rPr>
        <w:t>;</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bCs/>
          <w:iCs/>
          <w:szCs w:val="20"/>
        </w:rPr>
        <w:t>está cumprindo as leis, os regulamentos, as normas administrativas e as determinações dos órgãos governamentais, autarquias ou tribunais, que sejam relevantes e aplicáveis à condução de seus negócios;</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 xml:space="preserve">todo registro, consentimento, autorização, aprovação, licença, ordem de, ou qualificação perante qualquer órgão público ou regulatório, exigido para o cumprimento, pela Emissora de suas obrigações nos termos desta Escritura de Emissão, dos Contratos de Garantias, das Debêntures, bem como para a realização da Emissão, foi obtido ou encontra-se em processo de obtenção, incluindo, sem limitação, (a) a publicação da ata da AGE da Emissora, nos termos da Cláusula </w:t>
      </w:r>
      <w:r w:rsidRPr="00F74141">
        <w:rPr>
          <w:rFonts w:ascii="Verdana" w:hAnsi="Verdana"/>
          <w:szCs w:val="20"/>
        </w:rPr>
        <w:fldChar w:fldCharType="begin"/>
      </w:r>
      <w:r w:rsidRPr="00F74141">
        <w:rPr>
          <w:rFonts w:ascii="Verdana" w:hAnsi="Verdana"/>
          <w:szCs w:val="20"/>
        </w:rPr>
        <w:instrText xml:space="preserve"> REF _Ref420337216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2.2 acima</w:t>
      </w:r>
      <w:r w:rsidRPr="00F74141">
        <w:rPr>
          <w:rFonts w:ascii="Verdana" w:hAnsi="Verdana"/>
          <w:szCs w:val="20"/>
        </w:rPr>
        <w:fldChar w:fldCharType="end"/>
      </w:r>
      <w:r w:rsidRPr="00F74141">
        <w:rPr>
          <w:rFonts w:ascii="Verdana" w:hAnsi="Verdana"/>
          <w:szCs w:val="20"/>
        </w:rPr>
        <w:t xml:space="preserve">; (b) a inscrição das atas das Aprovações Societárias da Emissora, da Reunião de Sócios da Rio Sul e da Reunião de Sócios da </w:t>
      </w:r>
      <w:proofErr w:type="spellStart"/>
      <w:r w:rsidRPr="00F74141">
        <w:rPr>
          <w:rFonts w:ascii="Verdana" w:hAnsi="Verdana"/>
          <w:szCs w:val="20"/>
        </w:rPr>
        <w:t>Wobben</w:t>
      </w:r>
      <w:proofErr w:type="spellEnd"/>
      <w:r w:rsidRPr="00F74141">
        <w:rPr>
          <w:rFonts w:ascii="Verdana" w:hAnsi="Verdana"/>
          <w:szCs w:val="20"/>
        </w:rPr>
        <w:t xml:space="preserve"> nas juntas comerciais competentes; (c) o registro dos Contratos de Garantias nos Cartórios de Registro de Títulos e Documentos competentes; (d) o depósito das Debêntures na B3; e (e) aprovação da Eletrobrás para a eficácia do Contrato de Cessão Fiduciária e da Cessão Fiduciária de Direitos;</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não tem nenhuma ligação com o Agente Fiduciário que o impeça de exercer, plenamente, suas funções em relação à Emissão;</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não tem conhecimento de fato que impeça o Agente Fiduciário de exercer, plenamente, suas funções, nos termos da Lei das Sociedades por Ações e demais normas aplicáveis, inclusive regulamentares;</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não existem quaisquer processos administrativos, arbitrais ou judiciais, inquéritos ou outro tipo de investigação governamental, que possam de qualquer modo afetar negativa e materialmente a capacidade financeira da Emissora de cumprirem com suas obrigações decorrentes desta Escritura de Emissão, das Debêntures e dos Contratos de Garantias;</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está cumprindo a Legislação Socioambiental, adotando as medidas e ações preventivas ou reparatórias destinadas a evitar ou corrigir eventuais danos ambientais decorrentes do exercício das atividades descritas em seu objeto social, conforme e se aplicável;</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tem, ou encontra-se em processo de obtenção e/ou renovação de todas as autorizações e licenças (inclusive ambientais) relevantes e aplicáveis exigidas pelas autoridades federais, estaduais e municipais para o exercício de suas atividades;</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as demonstrações financeiras da Emissora relativas aos exercícios sociais encerrados em 31 de dezembro de 2018, 2017 e 2016, representam corretamente a posição patrimonial e financeira da Emissora naquelas datas e foram devidamente elaboradas em conformidade com os princípios contábeis geralmente aceitos no Brasil e refletem corretamente os ativos, passivos e contingências da Emissora;</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bookmarkStart w:id="167" w:name="_Ref428809419"/>
      <w:bookmarkStart w:id="168" w:name="_Ref468387202"/>
      <w:r w:rsidRPr="00F74141">
        <w:rPr>
          <w:rFonts w:ascii="Verdana" w:hAnsi="Verdana"/>
          <w:szCs w:val="20"/>
        </w:rPr>
        <w:t>cumpre e faz cumprir, bem como seus funcionários cumprem e fazem cumprir, as normas aplicáveis que versam sobre atos de corrupção e atos lesivos contra a administração pública, na forma das Leis Anticorrupção, na medida em que (a) mantém políticas e procedimentos internos que asseguram integral cumprimento de tais normas; (b) dá pleno conhecimento de tais normas e obriga seus contratados, que venham a se relacionar com a Emissora, previamente ao início de sua atuação no âmbito deste documento, ao cumprimento de tais normas; (c) abstém-se de praticar atos de corrupção e de agir de forma lesiva à administração pública, nacional e estrangeira, no seu interesse ou para seu benefício, exclusivo ou não; e (d) caso, após efetuar as devidas averiguações internas, tenham conhecimento de qualquer ato ou fato que viole aludidas normas, comunicarão, em até 5 (cinco) Dias Úteis contados da ciência do fato, o Agente Fiduciário que poderá tomar todas as providências que entender necessárias;</w:t>
      </w:r>
      <w:bookmarkEnd w:id="167"/>
      <w:bookmarkEnd w:id="168"/>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têm plena ciência e concorda integralmente com a forma de divulgação e apuração da Taxa DI, divulgada pela B3 e do IPCA, e que a forma de cálculo dos Juros Remuneratórios foi acordada por sua livre vontade, em observância ao princípio da boa-fé;</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mantém seus bens adequadamente segurados, conforme práticas correntes e de acordo com as políticas internas da Emissora;</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esta Escritura de Emissão e as obrigações nela previstas constituem obrigações lícitas, válidas e vinculantes da Emissora, exequíveis de acordo com os seus termos e condições, com força de título executivo extrajudicial, nos termos do artigo 784, I e III, do Código de Processo Civil;</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cumpre de forma regular e integral, na medida em que lhe seja aplicável, as normas e leis trabalhistas e relativas a saúde e segurança do trabalho, e não se utiliza de trabalho infantil ou análogo a escravo;</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cumprirá com todas as obrigações assumidas nos termos desta Escritura de Emissão e dos Contratos de Garantias, conforme aplicável;</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não ocorreu ou está ocorrendo, no seu melhor conhecimento, qualquer Evento de Vencimento Antecipado previsto nesta Escritura de Emissão e/ou nos Contratos de Garantias;</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as informações prestadas no âmbito desta Escritura de Emissão, dos Contratos de Garantias e da Emissão são verdadeiras, consistentes, corretas e suficientes para que os Investidores Profissionais (ou Investidores Qualificados, conforme o caso) interessados em subscrever ou adquirir as Debêntures tenham conhecimento da Emissora, suas atividades e sua situação financeira, das responsabilidades da Emissora, além dos riscos às suas atividades e quaisquer outras informações relevantes à tomada de decisões de investimento dos investidores interessados em adquirir as Debêntures, na extensão exigida pela legislação aplicável;</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está em dia com todas as suas obrigações financeiras;</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szCs w:val="20"/>
        </w:rPr>
        <w:t xml:space="preserve">a Emissora tem plena ciência de que, nos termos do artigo 9º da Instrução CVM 476, a Emissora não poderá realizar outra oferta pública da mesma espécie de valores mobiliários dentro do prazo de 4 (quatro) meses contados da data da Comunicação de Encerramento ou do cancelamento da Oferta, a menos que a nova oferta seja submetida a registro na CVM; </w:t>
      </w:r>
    </w:p>
    <w:p w:rsidR="00204B37" w:rsidRPr="00F74141" w:rsidRDefault="00706572">
      <w:pPr>
        <w:pStyle w:val="Level4"/>
        <w:numPr>
          <w:ilvl w:val="3"/>
          <w:numId w:val="17"/>
        </w:numPr>
        <w:tabs>
          <w:tab w:val="clear" w:pos="3941"/>
        </w:tabs>
        <w:spacing w:before="240" w:after="240" w:line="320" w:lineRule="exact"/>
        <w:ind w:left="1560"/>
        <w:rPr>
          <w:rFonts w:ascii="Verdana" w:hAnsi="Verdana"/>
          <w:kern w:val="16"/>
          <w:szCs w:val="20"/>
        </w:rPr>
      </w:pPr>
      <w:r w:rsidRPr="00F74141">
        <w:rPr>
          <w:rFonts w:ascii="Verdana" w:hAnsi="Verdana"/>
          <w:kern w:val="16"/>
          <w:szCs w:val="20"/>
        </w:rPr>
        <w:t xml:space="preserve">não omitiu ou omitirá nenhum fato, de qualquer natureza, que seja de seu conhecimento e que possa resultar em alteração substancial adversa de sua situação </w:t>
      </w:r>
      <w:r w:rsidRPr="00F74141">
        <w:rPr>
          <w:rFonts w:ascii="Verdana" w:hAnsi="Verdana"/>
          <w:szCs w:val="20"/>
        </w:rPr>
        <w:t>econômico</w:t>
      </w:r>
      <w:r w:rsidRPr="00F74141">
        <w:rPr>
          <w:rFonts w:ascii="Verdana" w:hAnsi="Verdana"/>
          <w:kern w:val="16"/>
          <w:szCs w:val="20"/>
        </w:rPr>
        <w:t>-financeira ou jurídica em prejuízo dos investidores que venham a adquirir as Debêntures; e</w:t>
      </w:r>
    </w:p>
    <w:p w:rsidR="00204B37" w:rsidRPr="00F74141" w:rsidRDefault="00706572">
      <w:pPr>
        <w:pStyle w:val="Level4"/>
        <w:numPr>
          <w:ilvl w:val="3"/>
          <w:numId w:val="17"/>
        </w:numPr>
        <w:tabs>
          <w:tab w:val="clear" w:pos="3941"/>
        </w:tabs>
        <w:spacing w:before="240" w:after="240" w:line="320" w:lineRule="exact"/>
        <w:ind w:left="1560"/>
        <w:rPr>
          <w:rFonts w:ascii="Verdana" w:hAnsi="Verdana"/>
          <w:szCs w:val="20"/>
        </w:rPr>
      </w:pPr>
      <w:r w:rsidRPr="00F74141">
        <w:rPr>
          <w:rFonts w:ascii="Verdana" w:hAnsi="Verdana"/>
          <w:kern w:val="16"/>
          <w:szCs w:val="20"/>
        </w:rPr>
        <w:t xml:space="preserve">nenhum registro, consentimento, autorização, aprovação, licença, ordem de, ou </w:t>
      </w:r>
      <w:r w:rsidRPr="00F74141">
        <w:rPr>
          <w:rFonts w:ascii="Verdana" w:hAnsi="Verdana"/>
          <w:szCs w:val="20"/>
        </w:rPr>
        <w:t>qualificação</w:t>
      </w:r>
      <w:r w:rsidRPr="00F74141">
        <w:rPr>
          <w:rFonts w:ascii="Verdana" w:hAnsi="Verdana"/>
          <w:kern w:val="16"/>
          <w:szCs w:val="20"/>
        </w:rPr>
        <w:t xml:space="preserve"> junto a, qualquer autoridade governamental ou órgão regulatório, incluindo, mas não se limitando, da ANEEL, é exigido para o cumprimento pela Emissora de suas obrigações nos termos da presente Escritura de Emissão, e/ou para a constituição das garantias, ou para a realização da Emissão.</w:t>
      </w:r>
    </w:p>
    <w:p w:rsidR="00204B37" w:rsidRPr="00F74141" w:rsidRDefault="00706572">
      <w:pPr>
        <w:pStyle w:val="Level1"/>
        <w:numPr>
          <w:ilvl w:val="0"/>
          <w:numId w:val="9"/>
        </w:numPr>
        <w:spacing w:before="240" w:after="240" w:line="320" w:lineRule="exact"/>
        <w:rPr>
          <w:rFonts w:ascii="Verdana" w:hAnsi="Verdana"/>
          <w:sz w:val="20"/>
          <w:szCs w:val="20"/>
        </w:rPr>
      </w:pPr>
      <w:r w:rsidRPr="00F74141">
        <w:rPr>
          <w:rFonts w:ascii="Verdana" w:hAnsi="Verdana"/>
          <w:sz w:val="20"/>
          <w:szCs w:val="20"/>
        </w:rPr>
        <w:t>DAS COMUNICAÇÕES</w:t>
      </w:r>
    </w:p>
    <w:p w:rsidR="00204B37" w:rsidRPr="00F74141" w:rsidRDefault="00706572">
      <w:pPr>
        <w:pStyle w:val="Level2"/>
        <w:keepNext/>
        <w:numPr>
          <w:ilvl w:val="1"/>
          <w:numId w:val="9"/>
        </w:numPr>
        <w:spacing w:before="240" w:after="240" w:line="320" w:lineRule="exact"/>
        <w:rPr>
          <w:rFonts w:ascii="Verdana" w:hAnsi="Verdana"/>
          <w:szCs w:val="20"/>
        </w:rPr>
      </w:pPr>
      <w:bookmarkStart w:id="169" w:name="_Ref420337240"/>
      <w:bookmarkStart w:id="170" w:name="_Ref468387236"/>
      <w:r w:rsidRPr="00F74141">
        <w:rPr>
          <w:rFonts w:ascii="Verdana" w:hAnsi="Verdana"/>
          <w:szCs w:val="20"/>
        </w:rPr>
        <w:t>As comunicações a serem enviadas por qualquer das Partes, bem como pelos prestadores de serviços aqui referidos, nos termos desta Escritura de Emissão deverão ser encaminhadas para os seguintes endereços:</w:t>
      </w:r>
      <w:bookmarkEnd w:id="169"/>
      <w:bookmarkEnd w:id="170"/>
    </w:p>
    <w:p w:rsidR="00204B37" w:rsidRPr="00F74141" w:rsidRDefault="00706572">
      <w:pPr>
        <w:pStyle w:val="Level3"/>
        <w:keepNext/>
        <w:numPr>
          <w:ilvl w:val="0"/>
          <w:numId w:val="0"/>
        </w:numPr>
        <w:spacing w:after="120" w:line="240" w:lineRule="auto"/>
        <w:ind w:left="1418"/>
        <w:jc w:val="left"/>
        <w:rPr>
          <w:rFonts w:ascii="Verdana" w:hAnsi="Verdana"/>
          <w:szCs w:val="20"/>
          <w:u w:val="single"/>
        </w:rPr>
      </w:pPr>
      <w:r w:rsidRPr="00F74141">
        <w:rPr>
          <w:rFonts w:ascii="Verdana" w:hAnsi="Verdana"/>
          <w:szCs w:val="20"/>
          <w:u w:val="single"/>
        </w:rPr>
        <w:t>Para a Emissora</w:t>
      </w:r>
      <w:r w:rsidRPr="00F74141">
        <w:rPr>
          <w:rFonts w:ascii="Verdana" w:hAnsi="Verdana"/>
          <w:szCs w:val="20"/>
        </w:rPr>
        <w:t>:</w:t>
      </w:r>
    </w:p>
    <w:p w:rsidR="00204B37" w:rsidRPr="00F74141" w:rsidRDefault="00706572">
      <w:pPr>
        <w:pStyle w:val="p0"/>
        <w:keepNext/>
        <w:widowControl/>
        <w:spacing w:after="120" w:line="240" w:lineRule="auto"/>
        <w:ind w:left="1418"/>
        <w:jc w:val="left"/>
        <w:rPr>
          <w:rFonts w:ascii="Verdana" w:hAnsi="Verdana"/>
          <w:b/>
          <w:sz w:val="20"/>
        </w:rPr>
      </w:pPr>
      <w:r w:rsidRPr="00F74141">
        <w:rPr>
          <w:rFonts w:ascii="Verdana" w:hAnsi="Verdana"/>
          <w:b/>
          <w:sz w:val="20"/>
        </w:rPr>
        <w:t>VENTOS DO SUL ENERGIA S.A.</w:t>
      </w:r>
    </w:p>
    <w:p w:rsidR="00204B37" w:rsidRPr="00F74141" w:rsidRDefault="00706572">
      <w:pPr>
        <w:pStyle w:val="CM17"/>
        <w:widowControl/>
        <w:spacing w:after="120"/>
        <w:ind w:left="1418"/>
        <w:rPr>
          <w:rFonts w:ascii="Verdana" w:eastAsia="TT108t00" w:hAnsi="Verdana" w:cs="Arial"/>
          <w:sz w:val="20"/>
          <w:szCs w:val="20"/>
        </w:rPr>
      </w:pPr>
      <w:r w:rsidRPr="00F74141">
        <w:rPr>
          <w:rFonts w:ascii="Verdana" w:eastAsia="TT108t00" w:hAnsi="Verdana" w:cs="Arial"/>
          <w:sz w:val="20"/>
          <w:szCs w:val="20"/>
        </w:rPr>
        <w:t>Av. Carlos Gomes, nº 222, Sala 701, Parte 4, bairro Auxiliadora</w:t>
      </w:r>
    </w:p>
    <w:p w:rsidR="00204B37" w:rsidRPr="00C45A62" w:rsidRDefault="00706572">
      <w:pPr>
        <w:pStyle w:val="CM17"/>
        <w:widowControl/>
        <w:spacing w:after="120"/>
        <w:ind w:left="1418"/>
        <w:rPr>
          <w:rFonts w:ascii="Verdana" w:eastAsia="TT108t00" w:hAnsi="Verdana" w:cs="Arial"/>
          <w:sz w:val="20"/>
          <w:szCs w:val="20"/>
          <w:lang w:val="en-US"/>
        </w:rPr>
      </w:pPr>
      <w:r w:rsidRPr="00C45A62">
        <w:rPr>
          <w:rFonts w:ascii="Verdana" w:eastAsia="TT108t00" w:hAnsi="Verdana" w:cs="Arial"/>
          <w:sz w:val="20"/>
          <w:szCs w:val="20"/>
          <w:lang w:val="en-US"/>
        </w:rPr>
        <w:t>CEP 90.480-000, Porto Alegre - RS</w:t>
      </w:r>
    </w:p>
    <w:p w:rsidR="00204B37" w:rsidRPr="00C45A62" w:rsidRDefault="00706572">
      <w:pPr>
        <w:pStyle w:val="CM17"/>
        <w:widowControl/>
        <w:spacing w:after="120"/>
        <w:ind w:left="1418"/>
        <w:rPr>
          <w:rFonts w:ascii="Verdana" w:eastAsia="TT108t00" w:hAnsi="Verdana" w:cs="Arial"/>
          <w:sz w:val="20"/>
          <w:szCs w:val="20"/>
          <w:lang w:val="en-US"/>
        </w:rPr>
      </w:pPr>
      <w:r w:rsidRPr="00C45A62">
        <w:rPr>
          <w:rFonts w:ascii="Verdana" w:eastAsia="TT108t00" w:hAnsi="Verdana" w:cs="Arial"/>
          <w:sz w:val="20"/>
          <w:szCs w:val="20"/>
          <w:lang w:val="en-US"/>
        </w:rPr>
        <w:t xml:space="preserve">At.: Felipe </w:t>
      </w:r>
      <w:proofErr w:type="spellStart"/>
      <w:r w:rsidRPr="00C45A62">
        <w:rPr>
          <w:rFonts w:ascii="Verdana" w:eastAsia="TT108t00" w:hAnsi="Verdana" w:cs="Arial"/>
          <w:sz w:val="20"/>
          <w:szCs w:val="20"/>
          <w:lang w:val="en-US"/>
        </w:rPr>
        <w:t>Ostermayer</w:t>
      </w:r>
      <w:proofErr w:type="spellEnd"/>
    </w:p>
    <w:p w:rsidR="00204B37" w:rsidRPr="00F74141" w:rsidRDefault="00706572">
      <w:pPr>
        <w:pStyle w:val="CM17"/>
        <w:widowControl/>
        <w:spacing w:after="120"/>
        <w:ind w:left="1418"/>
        <w:rPr>
          <w:rFonts w:ascii="Verdana" w:eastAsia="TT108t00" w:hAnsi="Verdana" w:cs="Arial"/>
          <w:sz w:val="20"/>
          <w:szCs w:val="20"/>
        </w:rPr>
      </w:pPr>
      <w:r w:rsidRPr="00F74141">
        <w:rPr>
          <w:rFonts w:ascii="Verdana" w:eastAsia="TT108t00" w:hAnsi="Verdana" w:cs="Arial"/>
          <w:sz w:val="20"/>
          <w:szCs w:val="20"/>
        </w:rPr>
        <w:t>Tel.: (51) 2118-5800</w:t>
      </w:r>
    </w:p>
    <w:p w:rsidR="00204B37" w:rsidRPr="00F74141" w:rsidRDefault="00706572">
      <w:pPr>
        <w:pStyle w:val="CM17"/>
        <w:widowControl/>
        <w:spacing w:after="120"/>
        <w:ind w:left="1418"/>
        <w:rPr>
          <w:rFonts w:ascii="Verdana" w:eastAsia="TT108t00" w:hAnsi="Verdana" w:cs="Arial"/>
          <w:sz w:val="20"/>
          <w:szCs w:val="20"/>
        </w:rPr>
      </w:pPr>
      <w:r w:rsidRPr="00F74141">
        <w:rPr>
          <w:rFonts w:ascii="Verdana" w:eastAsia="TT108t00" w:hAnsi="Verdana" w:cs="Arial"/>
          <w:sz w:val="20"/>
          <w:szCs w:val="20"/>
        </w:rPr>
        <w:t xml:space="preserve">E-mail: </w:t>
      </w:r>
      <w:hyperlink r:id="rId13" w:history="1">
        <w:r w:rsidRPr="00F74141">
          <w:rPr>
            <w:rStyle w:val="Hyperlink"/>
            <w:rFonts w:ascii="Verdana" w:eastAsia="TT108t00" w:hAnsi="Verdana" w:cs="Arial"/>
            <w:color w:val="auto"/>
            <w:sz w:val="20"/>
            <w:szCs w:val="20"/>
          </w:rPr>
          <w:t>enerfin.brasil@elecnor.com</w:t>
        </w:r>
      </w:hyperlink>
    </w:p>
    <w:p w:rsidR="00204B37" w:rsidRPr="00F74141" w:rsidRDefault="00204B37">
      <w:pPr>
        <w:pStyle w:val="Level3"/>
        <w:numPr>
          <w:ilvl w:val="0"/>
          <w:numId w:val="0"/>
        </w:numPr>
        <w:spacing w:after="120" w:line="240" w:lineRule="auto"/>
        <w:ind w:left="1418"/>
        <w:jc w:val="left"/>
        <w:rPr>
          <w:rFonts w:ascii="Verdana" w:hAnsi="Verdana"/>
          <w:szCs w:val="20"/>
          <w:u w:val="single"/>
        </w:rPr>
      </w:pPr>
    </w:p>
    <w:p w:rsidR="00204B37" w:rsidRPr="00F74141" w:rsidRDefault="00706572">
      <w:pPr>
        <w:pStyle w:val="Level3"/>
        <w:numPr>
          <w:ilvl w:val="0"/>
          <w:numId w:val="0"/>
        </w:numPr>
        <w:spacing w:after="120" w:line="240" w:lineRule="auto"/>
        <w:ind w:left="1418"/>
        <w:jc w:val="left"/>
        <w:rPr>
          <w:rFonts w:ascii="Verdana" w:hAnsi="Verdana"/>
          <w:szCs w:val="20"/>
        </w:rPr>
      </w:pPr>
      <w:r w:rsidRPr="00F74141">
        <w:rPr>
          <w:rFonts w:ascii="Verdana" w:hAnsi="Verdana"/>
          <w:szCs w:val="20"/>
          <w:u w:val="single"/>
        </w:rPr>
        <w:t>Para o Agente Fiduciário</w:t>
      </w:r>
      <w:r w:rsidRPr="00F74141">
        <w:rPr>
          <w:rFonts w:ascii="Verdana" w:hAnsi="Verdana"/>
          <w:szCs w:val="20"/>
        </w:rPr>
        <w:t>:</w:t>
      </w:r>
    </w:p>
    <w:p w:rsidR="00204B37" w:rsidRPr="00F74141" w:rsidRDefault="00706572">
      <w:pPr>
        <w:pStyle w:val="p0"/>
        <w:keepNext/>
        <w:widowControl/>
        <w:spacing w:after="120" w:line="240" w:lineRule="auto"/>
        <w:ind w:left="1418"/>
        <w:jc w:val="left"/>
        <w:rPr>
          <w:rFonts w:ascii="Verdana" w:hAnsi="Verdana"/>
        </w:rPr>
      </w:pPr>
      <w:r w:rsidRPr="00F74141">
        <w:rPr>
          <w:rFonts w:ascii="Verdana" w:hAnsi="Verdana"/>
          <w:b/>
          <w:sz w:val="20"/>
        </w:rPr>
        <w:t>OLIVEIRA TRUST DISTRIBUIDORA DE TÍTULOS E VALORES MOBILIÁRIOS S.A.</w:t>
      </w:r>
    </w:p>
    <w:p w:rsidR="00204B37" w:rsidRPr="00F74141" w:rsidRDefault="00706572">
      <w:pPr>
        <w:pStyle w:val="Level3"/>
        <w:numPr>
          <w:ilvl w:val="0"/>
          <w:numId w:val="0"/>
        </w:numPr>
        <w:spacing w:after="120" w:line="240" w:lineRule="auto"/>
        <w:ind w:left="1418"/>
        <w:jc w:val="left"/>
        <w:rPr>
          <w:rFonts w:ascii="Verdana" w:hAnsi="Verdana"/>
        </w:rPr>
      </w:pPr>
      <w:r w:rsidRPr="00F74141">
        <w:rPr>
          <w:rFonts w:ascii="Verdana" w:hAnsi="Verdana"/>
        </w:rPr>
        <w:t>Avenida das Américas, 3434, bloco 07, sala 201</w:t>
      </w:r>
    </w:p>
    <w:p w:rsidR="00204B37" w:rsidRPr="00F74141" w:rsidRDefault="00706572">
      <w:pPr>
        <w:pStyle w:val="Level3"/>
        <w:numPr>
          <w:ilvl w:val="0"/>
          <w:numId w:val="0"/>
        </w:numPr>
        <w:spacing w:after="120" w:line="240" w:lineRule="auto"/>
        <w:ind w:left="1418"/>
        <w:jc w:val="left"/>
        <w:rPr>
          <w:rFonts w:ascii="Verdana" w:hAnsi="Verdana"/>
        </w:rPr>
      </w:pPr>
      <w:r w:rsidRPr="00F74141">
        <w:rPr>
          <w:rFonts w:ascii="Verdana" w:hAnsi="Verdana"/>
        </w:rPr>
        <w:t>Barra da Tijuca, Rio de Janeiro, CEP: 22.640-102</w:t>
      </w:r>
    </w:p>
    <w:p w:rsidR="00204B37" w:rsidRPr="00F74141" w:rsidRDefault="00706572">
      <w:pPr>
        <w:pStyle w:val="Level3"/>
        <w:numPr>
          <w:ilvl w:val="0"/>
          <w:numId w:val="0"/>
        </w:numPr>
        <w:spacing w:after="120" w:line="240" w:lineRule="auto"/>
        <w:ind w:left="1418"/>
        <w:jc w:val="left"/>
        <w:rPr>
          <w:rFonts w:ascii="Verdana" w:hAnsi="Verdana"/>
        </w:rPr>
      </w:pPr>
      <w:r w:rsidRPr="00F74141">
        <w:rPr>
          <w:rFonts w:ascii="Verdana" w:hAnsi="Verdana"/>
        </w:rPr>
        <w:t xml:space="preserve">At.: </w:t>
      </w:r>
      <w:proofErr w:type="spellStart"/>
      <w:r w:rsidRPr="00F74141">
        <w:rPr>
          <w:rFonts w:ascii="Verdana" w:hAnsi="Verdana"/>
        </w:rPr>
        <w:t>Antonio</w:t>
      </w:r>
      <w:proofErr w:type="spellEnd"/>
      <w:r w:rsidRPr="00F74141">
        <w:rPr>
          <w:rFonts w:ascii="Verdana" w:hAnsi="Verdana"/>
        </w:rPr>
        <w:t xml:space="preserve"> Amaro / Maria Carolina Abrantes </w:t>
      </w:r>
      <w:proofErr w:type="spellStart"/>
      <w:r w:rsidRPr="00F74141">
        <w:rPr>
          <w:rFonts w:ascii="Verdana" w:hAnsi="Verdana"/>
        </w:rPr>
        <w:t>Lodi</w:t>
      </w:r>
      <w:proofErr w:type="spellEnd"/>
      <w:r w:rsidRPr="00F74141">
        <w:rPr>
          <w:rFonts w:ascii="Verdana" w:hAnsi="Verdana"/>
        </w:rPr>
        <w:t xml:space="preserve"> de Oliveira</w:t>
      </w:r>
    </w:p>
    <w:p w:rsidR="00204B37" w:rsidRPr="00F74141" w:rsidRDefault="00706572">
      <w:pPr>
        <w:pStyle w:val="Level3"/>
        <w:numPr>
          <w:ilvl w:val="0"/>
          <w:numId w:val="0"/>
        </w:numPr>
        <w:spacing w:after="120" w:line="240" w:lineRule="auto"/>
        <w:ind w:left="1418"/>
        <w:jc w:val="left"/>
        <w:rPr>
          <w:rFonts w:ascii="Verdana" w:hAnsi="Verdana"/>
        </w:rPr>
      </w:pPr>
      <w:r w:rsidRPr="00F74141">
        <w:rPr>
          <w:rFonts w:ascii="Verdana" w:hAnsi="Verdana"/>
        </w:rPr>
        <w:t>Telefone: (21) 3514-0000</w:t>
      </w:r>
    </w:p>
    <w:p w:rsidR="00204B37" w:rsidRPr="00F74141" w:rsidRDefault="00706572">
      <w:pPr>
        <w:pStyle w:val="Level3"/>
        <w:numPr>
          <w:ilvl w:val="0"/>
          <w:numId w:val="0"/>
        </w:numPr>
        <w:spacing w:after="120" w:line="240" w:lineRule="auto"/>
        <w:ind w:left="1418"/>
        <w:jc w:val="left"/>
        <w:rPr>
          <w:rFonts w:ascii="Verdana" w:hAnsi="Verdana"/>
        </w:rPr>
      </w:pPr>
      <w:r w:rsidRPr="00F74141">
        <w:rPr>
          <w:rFonts w:ascii="Verdana" w:hAnsi="Verdana"/>
        </w:rPr>
        <w:t xml:space="preserve">E-mail: </w:t>
      </w:r>
      <w:hyperlink r:id="rId14" w:history="1">
        <w:r w:rsidRPr="00F74141">
          <w:rPr>
            <w:rStyle w:val="Hyperlink"/>
            <w:rFonts w:ascii="Verdana" w:hAnsi="Verdana"/>
            <w:color w:val="auto"/>
          </w:rPr>
          <w:t>antonio.amaro@oliveiratrust.com.br</w:t>
        </w:r>
      </w:hyperlink>
      <w:r w:rsidRPr="00F74141">
        <w:rPr>
          <w:rFonts w:ascii="Verdana" w:hAnsi="Verdana"/>
        </w:rPr>
        <w:t xml:space="preserve"> / </w:t>
      </w:r>
      <w:hyperlink r:id="rId15" w:history="1">
        <w:r w:rsidRPr="00F74141">
          <w:rPr>
            <w:rStyle w:val="Hyperlink"/>
            <w:rFonts w:ascii="Verdana" w:hAnsi="Verdana"/>
            <w:color w:val="auto"/>
          </w:rPr>
          <w:t>ger2.agente@oliveiratrust.com.br</w:t>
        </w:r>
      </w:hyperlink>
    </w:p>
    <w:p w:rsidR="00204B37" w:rsidRPr="00F74141" w:rsidRDefault="00204B37">
      <w:pPr>
        <w:pStyle w:val="Level3"/>
        <w:numPr>
          <w:ilvl w:val="0"/>
          <w:numId w:val="0"/>
        </w:numPr>
        <w:spacing w:before="120" w:after="120" w:line="240" w:lineRule="auto"/>
        <w:ind w:left="1418"/>
        <w:jc w:val="left"/>
        <w:rPr>
          <w:rFonts w:ascii="Verdana" w:hAnsi="Verdana"/>
          <w:szCs w:val="20"/>
        </w:rPr>
      </w:pPr>
    </w:p>
    <w:p w:rsidR="00204B37" w:rsidRPr="00F74141" w:rsidRDefault="00706572">
      <w:pPr>
        <w:pStyle w:val="CM17"/>
        <w:widowControl/>
        <w:spacing w:before="120" w:after="120"/>
        <w:ind w:left="1418"/>
        <w:rPr>
          <w:rFonts w:ascii="Verdana" w:hAnsi="Verdana" w:cs="Arial"/>
          <w:sz w:val="20"/>
          <w:szCs w:val="20"/>
        </w:rPr>
      </w:pPr>
      <w:r w:rsidRPr="00F74141">
        <w:rPr>
          <w:rFonts w:ascii="Verdana" w:hAnsi="Verdana" w:cs="Arial"/>
          <w:sz w:val="20"/>
          <w:szCs w:val="20"/>
          <w:u w:val="single"/>
        </w:rPr>
        <w:t xml:space="preserve">Para o Agente de Liquidação e </w:t>
      </w:r>
      <w:proofErr w:type="spellStart"/>
      <w:r w:rsidRPr="00F74141">
        <w:rPr>
          <w:rFonts w:ascii="Verdana" w:hAnsi="Verdana" w:cs="Arial"/>
          <w:sz w:val="20"/>
          <w:szCs w:val="20"/>
          <w:u w:val="single"/>
        </w:rPr>
        <w:t>Escriturador</w:t>
      </w:r>
      <w:proofErr w:type="spellEnd"/>
      <w:r w:rsidRPr="00F74141">
        <w:rPr>
          <w:rFonts w:ascii="Verdana" w:hAnsi="Verdana" w:cs="Arial"/>
          <w:sz w:val="20"/>
          <w:szCs w:val="20"/>
        </w:rPr>
        <w:t>:</w:t>
      </w:r>
    </w:p>
    <w:p w:rsidR="00204B37" w:rsidRPr="00F74141" w:rsidRDefault="00706572">
      <w:pPr>
        <w:pStyle w:val="p0"/>
        <w:keepNext/>
        <w:widowControl/>
        <w:spacing w:after="120" w:line="240" w:lineRule="auto"/>
        <w:ind w:left="1418"/>
        <w:jc w:val="left"/>
        <w:rPr>
          <w:rFonts w:ascii="Verdana" w:hAnsi="Verdana"/>
        </w:rPr>
      </w:pPr>
      <w:r w:rsidRPr="00F74141">
        <w:rPr>
          <w:rFonts w:ascii="Verdana" w:hAnsi="Verdana"/>
          <w:b/>
          <w:sz w:val="20"/>
        </w:rPr>
        <w:t>OLIVEIRA TRUST DISTRIBUIDORA DE TÍTULOS E VALORES MOBILIÁRIOS S.A.</w:t>
      </w:r>
    </w:p>
    <w:p w:rsidR="00204B37" w:rsidRPr="00F74141" w:rsidRDefault="00706572">
      <w:pPr>
        <w:pStyle w:val="Level3"/>
        <w:numPr>
          <w:ilvl w:val="0"/>
          <w:numId w:val="0"/>
        </w:numPr>
        <w:spacing w:before="120" w:after="120" w:line="240" w:lineRule="auto"/>
        <w:ind w:left="1418"/>
        <w:jc w:val="left"/>
        <w:rPr>
          <w:rFonts w:ascii="Verdana" w:hAnsi="Verdana"/>
        </w:rPr>
      </w:pPr>
      <w:r w:rsidRPr="00F74141">
        <w:rPr>
          <w:rFonts w:ascii="Verdana" w:hAnsi="Verdana"/>
        </w:rPr>
        <w:t>Avenida das Américas, 3434, bloco 07, sala 201</w:t>
      </w:r>
    </w:p>
    <w:p w:rsidR="00204B37" w:rsidRPr="00F74141" w:rsidRDefault="00706572">
      <w:pPr>
        <w:pStyle w:val="Level3"/>
        <w:numPr>
          <w:ilvl w:val="0"/>
          <w:numId w:val="0"/>
        </w:numPr>
        <w:spacing w:before="120" w:after="120" w:line="240" w:lineRule="auto"/>
        <w:ind w:left="1418"/>
        <w:jc w:val="left"/>
        <w:rPr>
          <w:rFonts w:ascii="Verdana" w:hAnsi="Verdana"/>
        </w:rPr>
      </w:pPr>
      <w:r w:rsidRPr="00F74141">
        <w:rPr>
          <w:rFonts w:ascii="Verdana" w:hAnsi="Verdana"/>
        </w:rPr>
        <w:t>Barra da Tijuca, Rio de Janeiro, CEP: 22.640-102</w:t>
      </w:r>
    </w:p>
    <w:p w:rsidR="00204B37" w:rsidRPr="00F74141" w:rsidRDefault="00706572">
      <w:pPr>
        <w:pStyle w:val="Level3"/>
        <w:numPr>
          <w:ilvl w:val="0"/>
          <w:numId w:val="0"/>
        </w:numPr>
        <w:spacing w:before="120" w:after="120" w:line="240" w:lineRule="auto"/>
        <w:ind w:left="1418"/>
        <w:jc w:val="left"/>
        <w:rPr>
          <w:rFonts w:ascii="Verdana" w:hAnsi="Verdana"/>
          <w:szCs w:val="20"/>
        </w:rPr>
      </w:pPr>
      <w:r w:rsidRPr="00F74141">
        <w:rPr>
          <w:rFonts w:ascii="Verdana" w:hAnsi="Verdana"/>
        </w:rPr>
        <w:t>At.: João Beze</w:t>
      </w:r>
      <w:r w:rsidRPr="00F74141">
        <w:rPr>
          <w:rFonts w:ascii="Verdana" w:hAnsi="Verdana"/>
          <w:szCs w:val="20"/>
        </w:rPr>
        <w:t>rra</w:t>
      </w:r>
    </w:p>
    <w:p w:rsidR="00204B37" w:rsidRPr="00F74141" w:rsidRDefault="00706572">
      <w:pPr>
        <w:pStyle w:val="Level3"/>
        <w:numPr>
          <w:ilvl w:val="0"/>
          <w:numId w:val="0"/>
        </w:numPr>
        <w:spacing w:before="120" w:after="120" w:line="240" w:lineRule="auto"/>
        <w:ind w:left="1418"/>
        <w:jc w:val="left"/>
        <w:rPr>
          <w:rFonts w:ascii="Verdana" w:hAnsi="Verdana"/>
          <w:szCs w:val="20"/>
        </w:rPr>
      </w:pPr>
      <w:r w:rsidRPr="00F74141">
        <w:rPr>
          <w:rFonts w:ascii="Verdana" w:hAnsi="Verdana"/>
          <w:szCs w:val="20"/>
        </w:rPr>
        <w:t>Telefone: (21) 3514-0000</w:t>
      </w:r>
    </w:p>
    <w:p w:rsidR="00204B37" w:rsidRPr="00F74141" w:rsidRDefault="00706572">
      <w:pPr>
        <w:pStyle w:val="p0"/>
        <w:widowControl/>
        <w:spacing w:before="120" w:after="120" w:line="240" w:lineRule="auto"/>
        <w:ind w:left="1418"/>
        <w:jc w:val="left"/>
        <w:rPr>
          <w:rFonts w:ascii="Verdana" w:hAnsi="Verdana" w:cs="Arial"/>
          <w:snapToGrid/>
          <w:w w:val="100"/>
          <w:sz w:val="20"/>
        </w:rPr>
      </w:pPr>
      <w:r w:rsidRPr="00F74141">
        <w:rPr>
          <w:rFonts w:ascii="Verdana" w:hAnsi="Verdana"/>
          <w:sz w:val="20"/>
        </w:rPr>
        <w:t xml:space="preserve">E-mail: </w:t>
      </w:r>
      <w:hyperlink r:id="rId16" w:history="1">
        <w:r w:rsidRPr="00F74141">
          <w:rPr>
            <w:rStyle w:val="Hyperlink"/>
            <w:rFonts w:ascii="Verdana" w:hAnsi="Verdana"/>
            <w:color w:val="auto"/>
            <w:sz w:val="20"/>
          </w:rPr>
          <w:t>sqescrituracao@oliveiratrust.com.br</w:t>
        </w:r>
      </w:hyperlink>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 xml:space="preserve">As comunicações serão consideradas entregues quando recebidas sob protocolo ou com AR. As comunicações também poderão ser feitas por fac-símile ou correio eletrônico e serão consideradas recebidas na data de seu envio, desde que seu recebimento seja confirmado através de indicativo (recibo emitido pela máquina de fac-símile utilizada pelo remetente ou aviso de recebimento emitido pelo correio eletrônico do destinatário). </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 xml:space="preserve">A mudança de qualquer dos endereços acima deverá ser comunicada imediatamente pela Parte à outra Parte e aos prestadores de serviços indicados na Cláusula </w:t>
      </w:r>
      <w:r w:rsidRPr="00F74141">
        <w:rPr>
          <w:rFonts w:ascii="Verdana" w:hAnsi="Verdana"/>
          <w:szCs w:val="20"/>
        </w:rPr>
        <w:fldChar w:fldCharType="begin"/>
      </w:r>
      <w:r w:rsidRPr="00F74141">
        <w:rPr>
          <w:rFonts w:ascii="Verdana" w:hAnsi="Verdana"/>
          <w:szCs w:val="20"/>
        </w:rPr>
        <w:instrText xml:space="preserve"> REF _Ref468387236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12.1 acima</w:t>
      </w:r>
      <w:r w:rsidRPr="00F74141">
        <w:rPr>
          <w:rFonts w:ascii="Verdana" w:hAnsi="Verdana"/>
          <w:szCs w:val="20"/>
        </w:rPr>
        <w:fldChar w:fldCharType="end"/>
      </w:r>
      <w:r w:rsidRPr="00F74141">
        <w:rPr>
          <w:rFonts w:ascii="Verdana" w:hAnsi="Verdana"/>
          <w:szCs w:val="20"/>
        </w:rPr>
        <w:t xml:space="preserve">, na forma prevista na Cláusula </w:t>
      </w:r>
      <w:r w:rsidRPr="00F74141">
        <w:rPr>
          <w:rFonts w:ascii="Verdana" w:hAnsi="Verdana"/>
          <w:szCs w:val="20"/>
        </w:rPr>
        <w:fldChar w:fldCharType="begin"/>
      </w:r>
      <w:r w:rsidRPr="00F74141">
        <w:rPr>
          <w:rFonts w:ascii="Verdana" w:hAnsi="Verdana"/>
          <w:szCs w:val="20"/>
        </w:rPr>
        <w:instrText xml:space="preserve"> REF _Ref468387236 \r \p \h  \* MERGEFORMAT </w:instrText>
      </w:r>
      <w:r w:rsidRPr="00F74141">
        <w:rPr>
          <w:rFonts w:ascii="Verdana" w:hAnsi="Verdana"/>
          <w:szCs w:val="20"/>
        </w:rPr>
      </w:r>
      <w:r w:rsidRPr="00F74141">
        <w:rPr>
          <w:rFonts w:ascii="Verdana" w:hAnsi="Verdana"/>
          <w:szCs w:val="20"/>
        </w:rPr>
        <w:fldChar w:fldCharType="separate"/>
      </w:r>
      <w:r w:rsidRPr="00F74141">
        <w:rPr>
          <w:rFonts w:ascii="Verdana" w:hAnsi="Verdana"/>
          <w:szCs w:val="20"/>
        </w:rPr>
        <w:t>12.1 acima</w:t>
      </w:r>
      <w:r w:rsidRPr="00F74141">
        <w:rPr>
          <w:rFonts w:ascii="Verdana" w:hAnsi="Verdana"/>
          <w:szCs w:val="20"/>
        </w:rPr>
        <w:fldChar w:fldCharType="end"/>
      </w:r>
      <w:r w:rsidRPr="00F74141">
        <w:rPr>
          <w:rFonts w:ascii="Verdana" w:hAnsi="Verdana"/>
          <w:szCs w:val="20"/>
        </w:rPr>
        <w:t>.</w:t>
      </w:r>
    </w:p>
    <w:p w:rsidR="00204B37" w:rsidRPr="00F74141" w:rsidRDefault="00706572">
      <w:pPr>
        <w:pStyle w:val="Level1"/>
        <w:keepNext w:val="0"/>
        <w:numPr>
          <w:ilvl w:val="0"/>
          <w:numId w:val="9"/>
        </w:numPr>
        <w:spacing w:before="240" w:after="240" w:line="320" w:lineRule="exact"/>
        <w:rPr>
          <w:rFonts w:ascii="Verdana" w:hAnsi="Verdana"/>
          <w:sz w:val="20"/>
          <w:szCs w:val="20"/>
        </w:rPr>
      </w:pPr>
      <w:r w:rsidRPr="00F74141">
        <w:rPr>
          <w:rFonts w:ascii="Verdana" w:hAnsi="Verdana"/>
          <w:sz w:val="20"/>
          <w:szCs w:val="20"/>
        </w:rPr>
        <w:t>DAS DISPOSIÇÕES GERAIS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Não se presume a renúncia a qualquer dos direitos decorrentes da presente Escritura de Emissão. Desta forma, nenhum atraso, omissão ou liberalidade no exercício de qualquer direito ou faculdade que caiba ao Agente Fiduciário e/ou aos Debenturistas em razão de qualquer inadimplemento da Emissora prejudicará o exercício de tal direito ou faculdade, ou será interpretado como renúncia a ele, nem constituirá novação ou precedente no tocante a qualquer outro inadimplemento ou atraso.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Fica desde já dispensada a realização de Assembleia Geral de Debenturistas para deliberar sobre: (i) a correção de erros materiais, sejam eles erros grosseiros, de digitação ou aritméticos, (</w:t>
      </w:r>
      <w:proofErr w:type="spellStart"/>
      <w:r w:rsidRPr="00F74141">
        <w:rPr>
          <w:rFonts w:ascii="Verdana" w:hAnsi="Verdana"/>
          <w:szCs w:val="20"/>
        </w:rPr>
        <w:t>ii</w:t>
      </w:r>
      <w:proofErr w:type="spellEnd"/>
      <w:r w:rsidRPr="00F74141">
        <w:rPr>
          <w:rFonts w:ascii="Verdana" w:hAnsi="Verdana"/>
          <w:szCs w:val="20"/>
        </w:rPr>
        <w:t>) alterações de quaisquer documentos da Emissão já expressamente permitidas nos termos do(s) respectivo(s) instrumentos, (</w:t>
      </w:r>
      <w:proofErr w:type="spellStart"/>
      <w:r w:rsidRPr="00F74141">
        <w:rPr>
          <w:rFonts w:ascii="Verdana" w:hAnsi="Verdana"/>
          <w:szCs w:val="20"/>
        </w:rPr>
        <w:t>iii</w:t>
      </w:r>
      <w:proofErr w:type="spellEnd"/>
      <w:r w:rsidRPr="00F74141">
        <w:rPr>
          <w:rFonts w:ascii="Verdana" w:hAnsi="Verdana"/>
          <w:szCs w:val="20"/>
        </w:rPr>
        <w:t>) alterações de quaisquer documentos da Emissão em razão de exigências formuladas pela CVM, pela B3, pela ANBIMA, ou (</w:t>
      </w:r>
      <w:proofErr w:type="spellStart"/>
      <w:r w:rsidRPr="00F74141">
        <w:rPr>
          <w:rFonts w:ascii="Verdana" w:hAnsi="Verdana"/>
          <w:szCs w:val="20"/>
        </w:rPr>
        <w:t>iv</w:t>
      </w:r>
      <w:proofErr w:type="spellEnd"/>
      <w:r w:rsidRPr="00F74141">
        <w:rPr>
          <w:rFonts w:ascii="Verdana" w:hAnsi="Verdana"/>
          <w:szCs w:val="20"/>
        </w:rPr>
        <w:t>) em virtude da atualização dos dados cadastrais das Partes, tais como alteração na razão social, endereço e telefone, entre outros, desde que as alterações ou correções referidas conforme os itens (i), (</w:t>
      </w:r>
      <w:proofErr w:type="spellStart"/>
      <w:r w:rsidRPr="00F74141">
        <w:rPr>
          <w:rFonts w:ascii="Verdana" w:hAnsi="Verdana"/>
          <w:szCs w:val="20"/>
        </w:rPr>
        <w:t>ii</w:t>
      </w:r>
      <w:proofErr w:type="spellEnd"/>
      <w:r w:rsidRPr="00F74141">
        <w:rPr>
          <w:rFonts w:ascii="Verdana" w:hAnsi="Verdana"/>
          <w:szCs w:val="20"/>
        </w:rPr>
        <w:t>), (</w:t>
      </w:r>
      <w:proofErr w:type="spellStart"/>
      <w:r w:rsidRPr="00F74141">
        <w:rPr>
          <w:rFonts w:ascii="Verdana" w:hAnsi="Verdana"/>
          <w:szCs w:val="20"/>
        </w:rPr>
        <w:t>iii</w:t>
      </w:r>
      <w:proofErr w:type="spellEnd"/>
      <w:r w:rsidRPr="00F74141">
        <w:rPr>
          <w:rFonts w:ascii="Verdana" w:hAnsi="Verdana"/>
          <w:szCs w:val="20"/>
        </w:rPr>
        <w:t>) e (</w:t>
      </w:r>
      <w:proofErr w:type="spellStart"/>
      <w:r w:rsidRPr="00F74141">
        <w:rPr>
          <w:rFonts w:ascii="Verdana" w:hAnsi="Verdana"/>
          <w:szCs w:val="20"/>
        </w:rPr>
        <w:t>iv</w:t>
      </w:r>
      <w:proofErr w:type="spellEnd"/>
      <w:r w:rsidRPr="00F74141">
        <w:rPr>
          <w:rFonts w:ascii="Verdana" w:hAnsi="Verdana"/>
          <w:szCs w:val="20"/>
        </w:rPr>
        <w:t>) acima, não possam acarretar qualquer prejuízo aos Debenturistas ou qualquer alteração no fluxo de pagamentos das Debêntures, e desde que não haja qualquer custo ou despesa adicional para os Debenturistas.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A presente Escritura de Emissão é firmada em caráter irrevogável e irretratável, obrigando as Partes por si e seus sucessores.</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Todos e quaisquer custos incorridos em razão do registro, nas autoridades competentes, desta Escritura de Emissão e dos atos societários relacionados a esta Emissão serão de responsabilidade exclusiva da Emissora.</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Caso qualquer das disposições ora aprovadas venha a ser julgada ilegal, inválida ou ineficaz, prevalecerão todas as demais disposições não afetadas por tal julgamento, comprometendo-se as Partes, em boa-fé, a substituírem a disposição afetada por outra que, na medida do possível, produza o mesmo efeito.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Esta Escritura de Emissão é regida pelas Leis da República Federativa do Brasil.</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Esta Escritura de Emissão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de Emissão comportam execução específica e se submetem às disposições dos artigos 815 e seguintes do Código de Processo Civil, sem prejuízo do direito de declarar o vencimento antecipado das Debêntures, nos termos desta Escritura de Emissão.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Esta Escritura de Emissão é firmada em caráter irrevogável e irretratável, obrigando as Partes por si e seus sucessores.</w:t>
      </w:r>
    </w:p>
    <w:p w:rsidR="00204B37" w:rsidRPr="00F74141" w:rsidRDefault="00706572">
      <w:pPr>
        <w:pStyle w:val="Level1"/>
        <w:keepNext w:val="0"/>
        <w:numPr>
          <w:ilvl w:val="0"/>
          <w:numId w:val="9"/>
        </w:numPr>
        <w:spacing w:before="240" w:after="240" w:line="320" w:lineRule="exact"/>
        <w:rPr>
          <w:rFonts w:ascii="Verdana" w:hAnsi="Verdana"/>
          <w:sz w:val="20"/>
          <w:szCs w:val="20"/>
        </w:rPr>
      </w:pPr>
      <w:r w:rsidRPr="00F74141">
        <w:rPr>
          <w:rFonts w:ascii="Verdana" w:hAnsi="Verdana"/>
          <w:sz w:val="20"/>
          <w:szCs w:val="20"/>
        </w:rPr>
        <w:t>DO FORO</w:t>
      </w:r>
    </w:p>
    <w:p w:rsidR="00204B37" w:rsidRPr="00F74141" w:rsidRDefault="00706572">
      <w:pPr>
        <w:pStyle w:val="Level2"/>
        <w:numPr>
          <w:ilvl w:val="1"/>
          <w:numId w:val="9"/>
        </w:numPr>
        <w:spacing w:before="240" w:after="240" w:line="320" w:lineRule="exact"/>
        <w:rPr>
          <w:rFonts w:ascii="Verdana" w:hAnsi="Verdana"/>
          <w:szCs w:val="20"/>
        </w:rPr>
      </w:pPr>
      <w:r w:rsidRPr="00F74141">
        <w:rPr>
          <w:rFonts w:ascii="Verdana" w:hAnsi="Verdana"/>
          <w:szCs w:val="20"/>
        </w:rPr>
        <w:t>Fica eleito o Foro da Comarca da Cidade de São Paulo, Estado de São Paulo, para dirimir quaisquer dúvidas ou controvérsias oriundas desta Escritura de Emissão, com renúncia a qualquer outro, por mais privilegiado que seja.</w:t>
      </w:r>
    </w:p>
    <w:p w:rsidR="00204B37" w:rsidRPr="00F74141" w:rsidRDefault="00706572">
      <w:pPr>
        <w:pStyle w:val="CM17"/>
        <w:widowControl/>
        <w:spacing w:before="240" w:after="240" w:line="320" w:lineRule="exact"/>
        <w:jc w:val="both"/>
        <w:rPr>
          <w:rFonts w:ascii="Verdana" w:hAnsi="Verdana" w:cs="Arial"/>
          <w:sz w:val="20"/>
          <w:szCs w:val="20"/>
        </w:rPr>
      </w:pPr>
      <w:r w:rsidRPr="00F74141">
        <w:rPr>
          <w:rFonts w:ascii="Verdana" w:hAnsi="Verdana" w:cs="Arial"/>
          <w:sz w:val="20"/>
          <w:szCs w:val="20"/>
        </w:rPr>
        <w:t>E por estarem assim justas e contratadas, as partes firmam a presente Escritura de Emissão, em 3 (três) vias de igual teor e forma, na presença de 2 (duas) testemunhas.</w:t>
      </w:r>
    </w:p>
    <w:p w:rsidR="00204B37" w:rsidRPr="00F74141" w:rsidRDefault="00706572">
      <w:pPr>
        <w:pStyle w:val="CM17"/>
        <w:widowControl/>
        <w:spacing w:before="240" w:after="240" w:line="320" w:lineRule="exact"/>
        <w:jc w:val="center"/>
        <w:rPr>
          <w:rFonts w:ascii="Verdana" w:hAnsi="Verdana" w:cs="Arial"/>
          <w:sz w:val="20"/>
          <w:szCs w:val="20"/>
        </w:rPr>
      </w:pPr>
      <w:r w:rsidRPr="00F74141">
        <w:rPr>
          <w:rFonts w:ascii="Verdana" w:hAnsi="Verdana" w:cs="Arial"/>
          <w:sz w:val="20"/>
          <w:szCs w:val="20"/>
        </w:rPr>
        <w:t xml:space="preserve">Porto Alegre/RS, </w:t>
      </w:r>
      <w:r w:rsidR="00093422">
        <w:rPr>
          <w:rFonts w:ascii="Verdana" w:hAnsi="Verdana" w:cs="Arial"/>
          <w:sz w:val="20"/>
          <w:szCs w:val="20"/>
        </w:rPr>
        <w:t>13</w:t>
      </w:r>
      <w:r w:rsidR="00093422" w:rsidRPr="00F74141">
        <w:rPr>
          <w:rFonts w:ascii="Verdana" w:hAnsi="Verdana" w:cs="Arial"/>
          <w:iCs/>
          <w:sz w:val="20"/>
          <w:szCs w:val="20"/>
        </w:rPr>
        <w:t xml:space="preserve"> </w:t>
      </w:r>
      <w:r w:rsidRPr="00F74141">
        <w:rPr>
          <w:rFonts w:ascii="Verdana" w:hAnsi="Verdana" w:cs="Arial"/>
          <w:sz w:val="20"/>
          <w:szCs w:val="20"/>
        </w:rPr>
        <w:t xml:space="preserve">de </w:t>
      </w:r>
      <w:r w:rsidRPr="00F74141">
        <w:rPr>
          <w:rFonts w:ascii="Verdana" w:hAnsi="Verdana" w:cs="Arial"/>
          <w:iCs/>
          <w:sz w:val="20"/>
          <w:szCs w:val="20"/>
        </w:rPr>
        <w:t xml:space="preserve">setembro </w:t>
      </w:r>
      <w:r w:rsidRPr="00F74141">
        <w:rPr>
          <w:rFonts w:ascii="Verdana" w:hAnsi="Verdana" w:cs="Arial"/>
          <w:sz w:val="20"/>
          <w:szCs w:val="20"/>
        </w:rPr>
        <w:t>de 2019.</w:t>
      </w:r>
    </w:p>
    <w:p w:rsidR="00204B37" w:rsidRPr="00F74141" w:rsidRDefault="00706572">
      <w:pPr>
        <w:pStyle w:val="CM17"/>
        <w:widowControl/>
        <w:spacing w:before="240" w:after="240" w:line="320" w:lineRule="exact"/>
        <w:jc w:val="center"/>
        <w:rPr>
          <w:rFonts w:ascii="Verdana" w:hAnsi="Verdana" w:cs="Arial"/>
          <w:i/>
          <w:iCs/>
          <w:sz w:val="20"/>
          <w:szCs w:val="20"/>
        </w:rPr>
      </w:pPr>
      <w:r w:rsidRPr="00F74141">
        <w:rPr>
          <w:rFonts w:ascii="Verdana" w:hAnsi="Verdana" w:cs="Arial"/>
          <w:i/>
          <w:iCs/>
          <w:sz w:val="20"/>
          <w:szCs w:val="20"/>
        </w:rPr>
        <w:t xml:space="preserve">(assinaturas nas páginas seguintes) </w:t>
      </w:r>
    </w:p>
    <w:p w:rsidR="00204B37" w:rsidRPr="00F74141" w:rsidRDefault="00706572">
      <w:pPr>
        <w:pStyle w:val="Default"/>
        <w:widowControl/>
        <w:spacing w:before="240" w:after="240" w:line="320" w:lineRule="exact"/>
        <w:jc w:val="both"/>
        <w:rPr>
          <w:rFonts w:ascii="Verdana" w:hAnsi="Verdana"/>
          <w:i/>
          <w:color w:val="auto"/>
          <w:sz w:val="20"/>
          <w:szCs w:val="20"/>
        </w:rPr>
      </w:pPr>
      <w:r w:rsidRPr="00F74141">
        <w:rPr>
          <w:rFonts w:ascii="Verdana" w:hAnsi="Verdana"/>
          <w:color w:val="auto"/>
          <w:sz w:val="20"/>
          <w:szCs w:val="20"/>
        </w:rPr>
        <w:br w:type="page"/>
      </w:r>
      <w:r w:rsidRPr="00F74141">
        <w:rPr>
          <w:rFonts w:ascii="Verdana" w:hAnsi="Verdana"/>
          <w:i/>
          <w:color w:val="auto"/>
          <w:sz w:val="20"/>
          <w:szCs w:val="20"/>
        </w:rPr>
        <w:lastRenderedPageBreak/>
        <w:t>(Página de assinaturas 1/</w:t>
      </w:r>
      <w:r w:rsidRPr="00F74141">
        <w:rPr>
          <w:rFonts w:ascii="Verdana" w:hAnsi="Verdana" w:cs="Arial"/>
          <w:i/>
          <w:iCs/>
          <w:color w:val="auto"/>
          <w:sz w:val="20"/>
          <w:szCs w:val="20"/>
        </w:rPr>
        <w:t>2</w:t>
      </w:r>
      <w:r w:rsidRPr="00F74141">
        <w:rPr>
          <w:rFonts w:ascii="Verdana" w:hAnsi="Verdana"/>
          <w:i/>
          <w:color w:val="auto"/>
          <w:sz w:val="20"/>
          <w:szCs w:val="20"/>
        </w:rPr>
        <w:t xml:space="preserve"> do “Instrumento Particular de Escritura da 1ª (primeira) Emissão de Debêntures Simples, Não Conversíveis em Ações, em até 2 (duas) Séries, da Espécie com Garantia Real, para Distribuição Pública Com Esforços Restritos, da Ventos do Sul Energia S.A.”)</w:t>
      </w:r>
    </w:p>
    <w:p w:rsidR="00204B37" w:rsidRPr="00F74141" w:rsidRDefault="00706572">
      <w:pPr>
        <w:pStyle w:val="Default"/>
        <w:widowControl/>
        <w:spacing w:before="240" w:after="240" w:line="320" w:lineRule="exact"/>
        <w:jc w:val="center"/>
        <w:rPr>
          <w:rFonts w:ascii="Verdana" w:hAnsi="Verdana"/>
          <w:b/>
          <w:color w:val="auto"/>
          <w:sz w:val="20"/>
          <w:szCs w:val="20"/>
        </w:rPr>
      </w:pPr>
      <w:r w:rsidRPr="00F74141">
        <w:rPr>
          <w:rFonts w:ascii="Verdana" w:hAnsi="Verdana"/>
          <w:b/>
          <w:color w:val="auto"/>
          <w:sz w:val="20"/>
          <w:szCs w:val="20"/>
        </w:rPr>
        <w:t>VENTOS DO SUL ENERGIA S.A.</w:t>
      </w:r>
    </w:p>
    <w:p w:rsidR="00204B37" w:rsidRPr="00F74141" w:rsidRDefault="00204B37">
      <w:pPr>
        <w:pStyle w:val="Default"/>
        <w:widowControl/>
        <w:spacing w:before="240" w:after="240" w:line="320" w:lineRule="exact"/>
        <w:ind w:right="3547"/>
        <w:jc w:val="both"/>
        <w:rPr>
          <w:rFonts w:ascii="Verdana" w:hAnsi="Verdana" w:cs="Arial"/>
          <w:color w:val="auto"/>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_________________________________</w:t>
            </w:r>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__________________________________</w:t>
            </w:r>
          </w:p>
        </w:tc>
      </w:tr>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 xml:space="preserve">Nome: José Castellanos </w:t>
            </w:r>
            <w:proofErr w:type="spellStart"/>
            <w:r w:rsidRPr="00F74141">
              <w:rPr>
                <w:rFonts w:ascii="Verdana" w:hAnsi="Verdana" w:cs="Arial"/>
                <w:sz w:val="20"/>
                <w:szCs w:val="20"/>
              </w:rPr>
              <w:t>Ybarra</w:t>
            </w:r>
            <w:proofErr w:type="spellEnd"/>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Nome:</w:t>
            </w:r>
          </w:p>
        </w:tc>
      </w:tr>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Cargo: Diretor Presidente</w:t>
            </w:r>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Cargo:</w:t>
            </w:r>
          </w:p>
        </w:tc>
      </w:tr>
    </w:tbl>
    <w:p w:rsidR="00204B37" w:rsidRPr="00F74141" w:rsidRDefault="00204B37">
      <w:pPr>
        <w:pStyle w:val="Default"/>
        <w:widowControl/>
        <w:tabs>
          <w:tab w:val="left" w:pos="8099"/>
        </w:tabs>
        <w:spacing w:before="240" w:after="240" w:line="320" w:lineRule="exact"/>
        <w:jc w:val="both"/>
        <w:rPr>
          <w:rFonts w:ascii="Verdana" w:hAnsi="Verdana"/>
          <w:color w:val="auto"/>
          <w:sz w:val="20"/>
          <w:szCs w:val="20"/>
        </w:rPr>
      </w:pPr>
    </w:p>
    <w:p w:rsidR="00204B37" w:rsidRPr="00F74141" w:rsidRDefault="00706572">
      <w:pPr>
        <w:pStyle w:val="Default"/>
        <w:widowControl/>
        <w:spacing w:before="240" w:after="240" w:line="320" w:lineRule="exact"/>
        <w:jc w:val="both"/>
        <w:rPr>
          <w:rFonts w:ascii="Verdana" w:hAnsi="Verdana"/>
          <w:i/>
          <w:color w:val="auto"/>
          <w:sz w:val="20"/>
          <w:szCs w:val="20"/>
        </w:rPr>
      </w:pPr>
      <w:r w:rsidRPr="00F74141">
        <w:rPr>
          <w:rFonts w:ascii="Verdana" w:hAnsi="Verdana"/>
          <w:color w:val="auto"/>
          <w:sz w:val="20"/>
          <w:szCs w:val="20"/>
        </w:rPr>
        <w:br w:type="page"/>
      </w:r>
      <w:r w:rsidRPr="00F74141">
        <w:rPr>
          <w:rFonts w:ascii="Verdana" w:hAnsi="Verdana"/>
          <w:i/>
          <w:color w:val="auto"/>
          <w:sz w:val="20"/>
          <w:szCs w:val="20"/>
        </w:rPr>
        <w:lastRenderedPageBreak/>
        <w:t>(Página de assinaturas 2/</w:t>
      </w:r>
      <w:r w:rsidRPr="00F74141">
        <w:rPr>
          <w:rFonts w:ascii="Verdana" w:hAnsi="Verdana" w:cs="Arial"/>
          <w:i/>
          <w:iCs/>
          <w:color w:val="auto"/>
          <w:sz w:val="20"/>
          <w:szCs w:val="20"/>
        </w:rPr>
        <w:t>2</w:t>
      </w:r>
      <w:r w:rsidRPr="00F74141">
        <w:rPr>
          <w:rFonts w:ascii="Verdana" w:hAnsi="Verdana"/>
          <w:i/>
          <w:color w:val="auto"/>
          <w:sz w:val="20"/>
          <w:szCs w:val="20"/>
        </w:rPr>
        <w:t xml:space="preserve"> do “Instrumento Particular de Escritura da 1ª (primeira) Emissão de Debêntures Simples, Não Conversíveis em Ações, em até 2 (duas) Séries, da Espécie com Garantia Real, para Distribuição Pública Com Esforços Restritos, da Ventos do Sul Energia S.A.”)</w:t>
      </w:r>
    </w:p>
    <w:p w:rsidR="00204B37" w:rsidRPr="00F74141" w:rsidRDefault="00204B37">
      <w:pPr>
        <w:pStyle w:val="Default"/>
        <w:widowControl/>
        <w:spacing w:before="240" w:after="240" w:line="320" w:lineRule="exact"/>
        <w:jc w:val="center"/>
        <w:rPr>
          <w:rFonts w:ascii="Verdana" w:hAnsi="Verdana"/>
          <w:b/>
          <w:color w:val="auto"/>
          <w:sz w:val="20"/>
          <w:szCs w:val="20"/>
        </w:rPr>
      </w:pPr>
    </w:p>
    <w:p w:rsidR="00204B37" w:rsidRPr="00F74141" w:rsidRDefault="00706572">
      <w:pPr>
        <w:pStyle w:val="Default"/>
        <w:widowControl/>
        <w:spacing w:before="240" w:after="240" w:line="320" w:lineRule="exact"/>
        <w:jc w:val="center"/>
        <w:rPr>
          <w:rFonts w:ascii="Verdana" w:hAnsi="Verdana"/>
          <w:color w:val="auto"/>
          <w:sz w:val="20"/>
          <w:szCs w:val="20"/>
        </w:rPr>
      </w:pPr>
      <w:r w:rsidRPr="00F74141">
        <w:rPr>
          <w:rFonts w:ascii="Verdana" w:hAnsi="Verdana"/>
          <w:b/>
          <w:color w:val="auto"/>
          <w:sz w:val="20"/>
          <w:szCs w:val="20"/>
        </w:rPr>
        <w:t>OLIVEIRA TRUST DISTRIBUIDORA DE TÍTULOS E VALORES MOBILIÁRIOS S.A.</w:t>
      </w: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_________________________________</w:t>
            </w:r>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__________________________________</w:t>
            </w:r>
          </w:p>
        </w:tc>
      </w:tr>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Nome:</w:t>
            </w:r>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Nome:</w:t>
            </w:r>
          </w:p>
        </w:tc>
      </w:tr>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Cargo:</w:t>
            </w:r>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Cargo:</w:t>
            </w:r>
          </w:p>
        </w:tc>
      </w:tr>
    </w:tbl>
    <w:p w:rsidR="00204B37" w:rsidRPr="00F74141" w:rsidRDefault="00204B37">
      <w:pPr>
        <w:pStyle w:val="Default"/>
        <w:widowControl/>
        <w:tabs>
          <w:tab w:val="left" w:pos="8099"/>
        </w:tabs>
        <w:spacing w:before="240" w:after="240" w:line="320" w:lineRule="exact"/>
        <w:jc w:val="both"/>
        <w:rPr>
          <w:rFonts w:ascii="Verdana" w:hAnsi="Verdana"/>
          <w:color w:val="auto"/>
          <w:sz w:val="20"/>
          <w:szCs w:val="20"/>
        </w:rPr>
      </w:pPr>
    </w:p>
    <w:p w:rsidR="00204B37" w:rsidRPr="00F74141" w:rsidRDefault="00706572">
      <w:pPr>
        <w:spacing w:before="240" w:after="240" w:line="320" w:lineRule="exact"/>
        <w:rPr>
          <w:rFonts w:ascii="Verdana" w:hAnsi="Verdana" w:cs="Arial"/>
          <w:b/>
          <w:sz w:val="20"/>
          <w:szCs w:val="20"/>
        </w:rPr>
      </w:pPr>
      <w:r w:rsidRPr="00F74141">
        <w:rPr>
          <w:rFonts w:ascii="Verdana" w:hAnsi="Verdana" w:cs="Arial"/>
          <w:b/>
          <w:sz w:val="20"/>
          <w:szCs w:val="20"/>
        </w:rPr>
        <w:t>TESTEMUNHAS:</w:t>
      </w:r>
    </w:p>
    <w:p w:rsidR="00204B37" w:rsidRPr="00F74141" w:rsidRDefault="00204B37">
      <w:pPr>
        <w:spacing w:before="240" w:after="240" w:line="320" w:lineRule="exact"/>
        <w:rPr>
          <w:rFonts w:ascii="Verdana" w:hAnsi="Verdana" w:cs="Arial"/>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__________________________________</w:t>
            </w:r>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__________________________________</w:t>
            </w:r>
          </w:p>
        </w:tc>
      </w:tr>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Nome:</w:t>
            </w:r>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Nome:</w:t>
            </w:r>
          </w:p>
        </w:tc>
      </w:tr>
      <w:tr w:rsidR="00204B37" w:rsidRPr="00F74141">
        <w:trPr>
          <w:jc w:val="center"/>
        </w:trPr>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RG:</w:t>
            </w:r>
          </w:p>
        </w:tc>
        <w:tc>
          <w:tcPr>
            <w:tcW w:w="4642" w:type="dxa"/>
          </w:tcPr>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t>RG:</w:t>
            </w:r>
          </w:p>
        </w:tc>
      </w:tr>
    </w:tbl>
    <w:p w:rsidR="00204B37" w:rsidRPr="00F74141" w:rsidRDefault="00706572">
      <w:pPr>
        <w:spacing w:before="240" w:after="240" w:line="320" w:lineRule="exact"/>
        <w:rPr>
          <w:rFonts w:ascii="Verdana" w:hAnsi="Verdana" w:cs="Arial"/>
          <w:sz w:val="20"/>
          <w:szCs w:val="20"/>
        </w:rPr>
      </w:pPr>
      <w:r w:rsidRPr="00F74141">
        <w:rPr>
          <w:rFonts w:ascii="Verdana" w:hAnsi="Verdana" w:cs="Arial"/>
          <w:sz w:val="20"/>
          <w:szCs w:val="20"/>
        </w:rPr>
        <w:br w:type="page"/>
      </w:r>
    </w:p>
    <w:p w:rsidR="00204B37" w:rsidRPr="00F74141" w:rsidRDefault="00706572">
      <w:pPr>
        <w:spacing w:before="240" w:after="240" w:line="320" w:lineRule="exact"/>
        <w:jc w:val="center"/>
        <w:rPr>
          <w:rFonts w:ascii="Verdana" w:hAnsi="Verdana"/>
          <w:b/>
          <w:sz w:val="20"/>
          <w:szCs w:val="20"/>
          <w:u w:val="single"/>
        </w:rPr>
      </w:pPr>
      <w:r w:rsidRPr="00F74141">
        <w:rPr>
          <w:rFonts w:ascii="Verdana" w:hAnsi="Verdana"/>
          <w:b/>
          <w:sz w:val="20"/>
          <w:szCs w:val="20"/>
          <w:u w:val="single"/>
        </w:rPr>
        <w:lastRenderedPageBreak/>
        <w:t>ANEXO I</w:t>
      </w:r>
    </w:p>
    <w:p w:rsidR="00204B37" w:rsidRPr="00F74141" w:rsidRDefault="00706572">
      <w:pPr>
        <w:pBdr>
          <w:bottom w:val="single" w:sz="12" w:space="1" w:color="auto"/>
        </w:pBdr>
        <w:tabs>
          <w:tab w:val="left" w:pos="0"/>
          <w:tab w:val="left" w:pos="709"/>
        </w:tabs>
        <w:spacing w:before="240" w:after="240" w:line="320" w:lineRule="exact"/>
        <w:jc w:val="center"/>
        <w:rPr>
          <w:rFonts w:ascii="Verdana" w:hAnsi="Verdana"/>
          <w:b/>
          <w:sz w:val="20"/>
          <w:szCs w:val="20"/>
        </w:rPr>
      </w:pPr>
      <w:r w:rsidRPr="00F74141">
        <w:rPr>
          <w:rFonts w:ascii="Verdana" w:hAnsi="Verdana"/>
          <w:b/>
          <w:bCs/>
          <w:sz w:val="20"/>
          <w:szCs w:val="20"/>
          <w:lang w:eastAsia="en-US"/>
        </w:rPr>
        <w:t>DECLARAÇÃO ACERCA DA EXISTÊNCIA DE OUTRAS EMISSÕES DE VALORES MOBILIÁRIOS, PÚBLICOS OU PRIVADOS, FEITAS PELO EMISSOR, POR SOCIEDADE COLIGADA, CONTROLADA, CONTROLADORA OU INTEGRANTE DO MESMO GRUPO DA EMISSORA EM QUE TENHA ATUADO COMO AGENTE FIDUCIÁRIO</w:t>
      </w:r>
      <w:r w:rsidRPr="00F74141">
        <w:rPr>
          <w:rFonts w:ascii="Verdana" w:hAnsi="Verdana"/>
          <w:b/>
          <w:sz w:val="20"/>
          <w:szCs w:val="20"/>
        </w:rPr>
        <w:t>, NA DATA DE ASSINATURA DESTA ESCRITURA DE EMISSÃO</w:t>
      </w:r>
    </w:p>
    <w:p w:rsidR="00204B37" w:rsidRPr="00F74141" w:rsidRDefault="00204B37">
      <w:pPr>
        <w:spacing w:before="240" w:after="240" w:line="320" w:lineRule="exact"/>
        <w:rPr>
          <w:rFonts w:ascii="Verdana" w:hAnsi="Verdana"/>
          <w:sz w:val="18"/>
          <w:szCs w:val="18"/>
        </w:rPr>
      </w:pPr>
    </w:p>
    <w:tbl>
      <w:tblPr>
        <w:tblW w:w="0" w:type="auto"/>
        <w:shd w:val="clear" w:color="auto" w:fill="FFFFFF"/>
        <w:tblCellMar>
          <w:left w:w="0" w:type="dxa"/>
          <w:right w:w="0" w:type="dxa"/>
        </w:tblCellMar>
        <w:tblLook w:val="04A0" w:firstRow="1" w:lastRow="0" w:firstColumn="1" w:lastColumn="0" w:noHBand="0" w:noVBand="1"/>
      </w:tblPr>
      <w:tblGrid>
        <w:gridCol w:w="4717"/>
        <w:gridCol w:w="4683"/>
      </w:tblGrid>
      <w:tr w:rsidR="00204B37" w:rsidRPr="00F74141">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Emissora: </w:t>
            </w:r>
            <w:r w:rsidRPr="00F74141">
              <w:rPr>
                <w:rFonts w:ascii="Verdana" w:hAnsi="Verdana"/>
                <w:b/>
                <w:color w:val="222222"/>
                <w:sz w:val="18"/>
                <w:szCs w:val="18"/>
                <w:lang w:eastAsia="en-US"/>
              </w:rPr>
              <w:t>CACHOEIRA PAULISTA TRANSMISSORA DE ENERGIA S.A.</w:t>
            </w:r>
          </w:p>
        </w:tc>
      </w:tr>
      <w:tr w:rsidR="00204B37" w:rsidRPr="00F74141">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Ativo:</w:t>
            </w:r>
            <w:r w:rsidRPr="00F74141">
              <w:rPr>
                <w:rFonts w:ascii="Verdana" w:hAnsi="Verdana"/>
                <w:iCs/>
                <w:color w:val="222222"/>
                <w:sz w:val="18"/>
                <w:szCs w:val="18"/>
                <w:lang w:eastAsia="en-US"/>
              </w:rPr>
              <w:t xml:space="preserve"> </w:t>
            </w:r>
            <w:r w:rsidRPr="00F74141">
              <w:rPr>
                <w:rFonts w:ascii="Verdana" w:hAnsi="Verdana"/>
                <w:color w:val="222222"/>
                <w:sz w:val="18"/>
                <w:szCs w:val="18"/>
                <w:lang w:eastAsia="en-US"/>
              </w:rPr>
              <w:t>Debênture</w:t>
            </w:r>
          </w:p>
        </w:tc>
      </w:tr>
      <w:tr w:rsidR="00204B37" w:rsidRPr="00F74141">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Série: </w:t>
            </w:r>
            <w:r w:rsidRPr="00F74141">
              <w:rPr>
                <w:rFonts w:ascii="Verdana" w:hAnsi="Verdana"/>
                <w:iCs/>
                <w:color w:val="222222"/>
                <w:sz w:val="18"/>
                <w:szCs w:val="18"/>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Emissão: </w:t>
            </w:r>
            <w:r w:rsidRPr="00F74141">
              <w:rPr>
                <w:rFonts w:ascii="Verdana" w:hAnsi="Verdana"/>
                <w:iCs/>
                <w:color w:val="222222"/>
                <w:sz w:val="18"/>
                <w:szCs w:val="18"/>
                <w:lang w:eastAsia="en-US"/>
              </w:rPr>
              <w:t>1</w:t>
            </w:r>
          </w:p>
        </w:tc>
      </w:tr>
      <w:tr w:rsidR="00204B37" w:rsidRPr="00F74141">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Volume na Data de Emissão: </w:t>
            </w:r>
            <w:r w:rsidRPr="00F74141">
              <w:rPr>
                <w:rFonts w:ascii="Verdana" w:hAnsi="Verdana"/>
                <w:iCs/>
                <w:color w:val="222222"/>
                <w:sz w:val="18"/>
                <w:szCs w:val="18"/>
                <w:lang w:eastAsia="en-US"/>
              </w:rPr>
              <w:t>R$ 220.000.000,00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Quantidade de ativos: </w:t>
            </w:r>
            <w:r w:rsidRPr="00F74141">
              <w:rPr>
                <w:rFonts w:ascii="Verdana" w:hAnsi="Verdana"/>
                <w:iCs/>
                <w:color w:val="222222"/>
                <w:sz w:val="18"/>
                <w:szCs w:val="18"/>
                <w:lang w:eastAsia="en-US"/>
              </w:rPr>
              <w:t>220.000</w:t>
            </w:r>
          </w:p>
        </w:tc>
      </w:tr>
      <w:tr w:rsidR="00204B37" w:rsidRPr="00F74141">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Data de Vencimento: </w:t>
            </w:r>
            <w:r w:rsidRPr="00F74141">
              <w:rPr>
                <w:rFonts w:ascii="Verdana" w:hAnsi="Verdana"/>
                <w:iCs/>
                <w:color w:val="222222"/>
                <w:sz w:val="18"/>
                <w:szCs w:val="18"/>
                <w:lang w:eastAsia="en-US"/>
              </w:rPr>
              <w:t>11/11/2023</w:t>
            </w:r>
          </w:p>
        </w:tc>
      </w:tr>
      <w:tr w:rsidR="00204B37" w:rsidRPr="00F74141">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Taxa de Juros: </w:t>
            </w:r>
            <w:r w:rsidRPr="00F74141">
              <w:rPr>
                <w:rFonts w:ascii="Verdana" w:hAnsi="Verdana"/>
                <w:iCs/>
                <w:color w:val="222222"/>
                <w:sz w:val="18"/>
                <w:szCs w:val="18"/>
                <w:lang w:eastAsia="en-US"/>
              </w:rPr>
              <w:t>7,8% a.a. na base 252.</w:t>
            </w:r>
          </w:p>
        </w:tc>
      </w:tr>
      <w:tr w:rsidR="00204B37" w:rsidRPr="00F74141">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jc w:val="both"/>
              <w:rPr>
                <w:rFonts w:ascii="Verdana" w:hAnsi="Verdana"/>
                <w:b/>
                <w:iCs/>
                <w:color w:val="222222"/>
                <w:sz w:val="18"/>
                <w:szCs w:val="18"/>
                <w:lang w:eastAsia="en-US"/>
              </w:rPr>
            </w:pPr>
            <w:r w:rsidRPr="00F74141">
              <w:rPr>
                <w:rFonts w:ascii="Verdana" w:hAnsi="Verdana"/>
                <w:b/>
                <w:sz w:val="18"/>
                <w:szCs w:val="18"/>
                <w:lang w:eastAsia="en-US"/>
              </w:rPr>
              <w:t xml:space="preserve">Status: </w:t>
            </w:r>
            <w:r w:rsidRPr="00F74141">
              <w:rPr>
                <w:rFonts w:ascii="Verdana" w:hAnsi="Verdana"/>
                <w:iCs/>
                <w:color w:val="222222"/>
                <w:sz w:val="18"/>
                <w:szCs w:val="18"/>
                <w:lang w:eastAsia="en-US"/>
              </w:rPr>
              <w:t>ATIVO</w:t>
            </w:r>
          </w:p>
        </w:tc>
      </w:tr>
      <w:tr w:rsidR="00204B37" w:rsidRPr="00F74141">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jc w:val="both"/>
              <w:rPr>
                <w:rFonts w:ascii="Verdana" w:hAnsi="Verdana"/>
                <w:b/>
                <w:iCs/>
                <w:color w:val="222222"/>
                <w:sz w:val="18"/>
                <w:szCs w:val="18"/>
                <w:lang w:eastAsia="en-US"/>
              </w:rPr>
            </w:pPr>
            <w:r w:rsidRPr="00F74141">
              <w:rPr>
                <w:rFonts w:ascii="Verdana" w:hAnsi="Verdana"/>
                <w:b/>
                <w:sz w:val="18"/>
                <w:szCs w:val="18"/>
                <w:lang w:eastAsia="en-US"/>
              </w:rPr>
              <w:t xml:space="preserve">Inadimplementos no período: </w:t>
            </w:r>
            <w:r w:rsidRPr="00F74141">
              <w:rPr>
                <w:rFonts w:ascii="Verdana" w:hAnsi="Verdana"/>
                <w:iCs/>
                <w:color w:val="222222"/>
                <w:sz w:val="18"/>
                <w:szCs w:val="18"/>
                <w:lang w:eastAsia="en-US"/>
              </w:rPr>
              <w:t>Não ocorreram inadimplementos no período.</w:t>
            </w:r>
          </w:p>
        </w:tc>
      </w:tr>
      <w:tr w:rsidR="00204B37" w:rsidRPr="00F74141">
        <w:trPr>
          <w:trHeight w:val="759"/>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rsidR="00204B37" w:rsidRPr="00F74141" w:rsidRDefault="00706572">
            <w:pPr>
              <w:spacing w:after="0" w:line="320" w:lineRule="exact"/>
              <w:jc w:val="both"/>
              <w:rPr>
                <w:rFonts w:ascii="Verdana" w:hAnsi="Verdana"/>
                <w:b/>
                <w:color w:val="222222"/>
                <w:sz w:val="18"/>
                <w:szCs w:val="18"/>
                <w:lang w:eastAsia="en-US"/>
              </w:rPr>
            </w:pPr>
            <w:r w:rsidRPr="00F74141">
              <w:rPr>
                <w:rFonts w:ascii="Verdana" w:hAnsi="Verdana"/>
                <w:b/>
                <w:iCs/>
                <w:color w:val="222222"/>
                <w:sz w:val="18"/>
                <w:szCs w:val="18"/>
                <w:lang w:eastAsia="en-US"/>
              </w:rPr>
              <w:t xml:space="preserve">Garantias: </w:t>
            </w:r>
            <w:r w:rsidRPr="00F74141">
              <w:rPr>
                <w:rFonts w:ascii="Verdana" w:hAnsi="Verdana"/>
                <w:iCs/>
                <w:color w:val="222222"/>
                <w:sz w:val="18"/>
                <w:szCs w:val="18"/>
                <w:lang w:eastAsia="en-US"/>
              </w:rPr>
              <w:t xml:space="preserve">consubstanciada por: (i) Alienação Fiduciária das ações detidas pela </w:t>
            </w:r>
            <w:proofErr w:type="spellStart"/>
            <w:r w:rsidRPr="00F74141">
              <w:rPr>
                <w:rFonts w:ascii="Verdana" w:hAnsi="Verdana"/>
                <w:iCs/>
                <w:color w:val="222222"/>
                <w:sz w:val="18"/>
                <w:szCs w:val="18"/>
                <w:lang w:eastAsia="en-US"/>
              </w:rPr>
              <w:t>Celeo</w:t>
            </w:r>
            <w:proofErr w:type="spellEnd"/>
            <w:r w:rsidRPr="00F74141">
              <w:rPr>
                <w:rFonts w:ascii="Verdana" w:hAnsi="Verdana"/>
                <w:iCs/>
                <w:color w:val="222222"/>
                <w:sz w:val="18"/>
                <w:szCs w:val="18"/>
                <w:lang w:eastAsia="en-US"/>
              </w:rPr>
              <w:t xml:space="preserve"> Redes Brasil S.A. no capital social da Emissora; e (</w:t>
            </w:r>
            <w:proofErr w:type="spellStart"/>
            <w:r w:rsidRPr="00F74141">
              <w:rPr>
                <w:rFonts w:ascii="Verdana" w:hAnsi="Verdana"/>
                <w:iCs/>
                <w:color w:val="222222"/>
                <w:sz w:val="18"/>
                <w:szCs w:val="18"/>
                <w:lang w:eastAsia="en-US"/>
              </w:rPr>
              <w:t>ii</w:t>
            </w:r>
            <w:proofErr w:type="spellEnd"/>
            <w:r w:rsidRPr="00F74141">
              <w:rPr>
                <w:rFonts w:ascii="Verdana" w:hAnsi="Verdana"/>
                <w:iCs/>
                <w:color w:val="222222"/>
                <w:sz w:val="18"/>
                <w:szCs w:val="18"/>
                <w:lang w:eastAsia="en-US"/>
              </w:rPr>
              <w:t>) cessão fiduciária de todos os direitos relativos às Contas de Garantia, quais sejam: Conta para Pagamento do Financiamento BNDES; Conta Reserva de Amortização, Conta de Complementação de ICSD e Conta Reserva de O&amp;M.</w:t>
            </w:r>
          </w:p>
        </w:tc>
      </w:tr>
    </w:tbl>
    <w:p w:rsidR="00204B37" w:rsidRPr="00F74141" w:rsidRDefault="00204B37">
      <w:pPr>
        <w:spacing w:before="240" w:after="240" w:line="320" w:lineRule="exact"/>
        <w:rPr>
          <w:rFonts w:ascii="Verdana" w:hAnsi="Verdana"/>
          <w:sz w:val="18"/>
          <w:szCs w:val="18"/>
        </w:rPr>
      </w:pPr>
    </w:p>
    <w:tbl>
      <w:tblPr>
        <w:tblW w:w="0" w:type="auto"/>
        <w:shd w:val="clear" w:color="auto" w:fill="FFFFFF"/>
        <w:tblCellMar>
          <w:left w:w="0" w:type="dxa"/>
          <w:right w:w="0" w:type="dxa"/>
        </w:tblCellMar>
        <w:tblLook w:val="04A0" w:firstRow="1" w:lastRow="0" w:firstColumn="1" w:lastColumn="0" w:noHBand="0" w:noVBand="1"/>
      </w:tblPr>
      <w:tblGrid>
        <w:gridCol w:w="4717"/>
        <w:gridCol w:w="4683"/>
      </w:tblGrid>
      <w:tr w:rsidR="00204B37" w:rsidRPr="00F74141">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Emissora: </w:t>
            </w:r>
            <w:r w:rsidRPr="00F74141">
              <w:rPr>
                <w:rFonts w:ascii="Verdana" w:hAnsi="Verdana"/>
                <w:b/>
                <w:color w:val="222222"/>
                <w:sz w:val="18"/>
                <w:szCs w:val="18"/>
                <w:lang w:eastAsia="en-US"/>
              </w:rPr>
              <w:t>CANTAREIRA TRANSMISSORA DE ENERGIA S.A.</w:t>
            </w:r>
          </w:p>
        </w:tc>
      </w:tr>
      <w:tr w:rsidR="00204B37" w:rsidRPr="00F74141">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Ativo:</w:t>
            </w:r>
            <w:r w:rsidRPr="00F74141">
              <w:rPr>
                <w:rFonts w:ascii="Verdana" w:hAnsi="Verdana"/>
                <w:iCs/>
                <w:color w:val="222222"/>
                <w:sz w:val="18"/>
                <w:szCs w:val="18"/>
                <w:lang w:eastAsia="en-US"/>
              </w:rPr>
              <w:t xml:space="preserve"> </w:t>
            </w:r>
            <w:r w:rsidRPr="00F74141">
              <w:rPr>
                <w:rFonts w:ascii="Verdana" w:hAnsi="Verdana"/>
                <w:color w:val="222222"/>
                <w:sz w:val="18"/>
                <w:szCs w:val="18"/>
                <w:lang w:eastAsia="en-US"/>
              </w:rPr>
              <w:t>Debênture</w:t>
            </w:r>
          </w:p>
        </w:tc>
      </w:tr>
      <w:tr w:rsidR="00204B37" w:rsidRPr="00F74141">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Série: </w:t>
            </w:r>
            <w:r w:rsidRPr="00F74141">
              <w:rPr>
                <w:rFonts w:ascii="Verdana" w:hAnsi="Verdana"/>
                <w:iCs/>
                <w:color w:val="222222"/>
                <w:sz w:val="18"/>
                <w:szCs w:val="18"/>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Emissão: </w:t>
            </w:r>
            <w:r w:rsidRPr="00F74141">
              <w:rPr>
                <w:rFonts w:ascii="Verdana" w:hAnsi="Verdana"/>
                <w:iCs/>
                <w:color w:val="222222"/>
                <w:sz w:val="18"/>
                <w:szCs w:val="18"/>
                <w:lang w:eastAsia="en-US"/>
              </w:rPr>
              <w:t>1</w:t>
            </w:r>
          </w:p>
        </w:tc>
      </w:tr>
      <w:tr w:rsidR="00204B37" w:rsidRPr="00F74141">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Volume na Data de Emissão: </w:t>
            </w:r>
            <w:r w:rsidRPr="00F74141">
              <w:rPr>
                <w:rFonts w:ascii="Verdana" w:hAnsi="Verdana"/>
                <w:iCs/>
                <w:color w:val="222222"/>
                <w:sz w:val="18"/>
                <w:szCs w:val="18"/>
                <w:lang w:eastAsia="en-US"/>
              </w:rPr>
              <w:t>R$ 100.000.000,00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Quantidade de ativos: </w:t>
            </w:r>
            <w:r w:rsidRPr="00F74141">
              <w:rPr>
                <w:rFonts w:ascii="Verdana" w:hAnsi="Verdana"/>
                <w:iCs/>
                <w:color w:val="222222"/>
                <w:sz w:val="18"/>
                <w:szCs w:val="18"/>
                <w:lang w:eastAsia="en-US"/>
              </w:rPr>
              <w:t>100.000</w:t>
            </w:r>
          </w:p>
        </w:tc>
      </w:tr>
      <w:tr w:rsidR="00204B37" w:rsidRPr="00F74141">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Data de Vencimento: </w:t>
            </w:r>
            <w:r w:rsidRPr="00F74141">
              <w:rPr>
                <w:rFonts w:ascii="Verdana" w:hAnsi="Verdana"/>
                <w:iCs/>
                <w:color w:val="222222"/>
                <w:sz w:val="18"/>
                <w:szCs w:val="18"/>
                <w:lang w:eastAsia="en-US"/>
              </w:rPr>
              <w:t>15/08/2032</w:t>
            </w:r>
          </w:p>
        </w:tc>
      </w:tr>
      <w:tr w:rsidR="00204B37" w:rsidRPr="00F74141">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Taxa de Juros: </w:t>
            </w:r>
            <w:r w:rsidRPr="00F74141">
              <w:rPr>
                <w:rFonts w:ascii="Verdana" w:hAnsi="Verdana"/>
                <w:iCs/>
                <w:color w:val="222222"/>
                <w:sz w:val="18"/>
                <w:szCs w:val="18"/>
                <w:lang w:eastAsia="en-US"/>
              </w:rPr>
              <w:t>IPCA + 6,9094% a.a. na base 252.</w:t>
            </w:r>
          </w:p>
        </w:tc>
      </w:tr>
      <w:tr w:rsidR="00204B37" w:rsidRPr="00F74141">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jc w:val="both"/>
              <w:rPr>
                <w:rFonts w:ascii="Verdana" w:hAnsi="Verdana"/>
                <w:b/>
                <w:iCs/>
                <w:color w:val="222222"/>
                <w:sz w:val="18"/>
                <w:szCs w:val="18"/>
                <w:lang w:eastAsia="en-US"/>
              </w:rPr>
            </w:pPr>
            <w:r w:rsidRPr="00F74141">
              <w:rPr>
                <w:rFonts w:ascii="Verdana" w:hAnsi="Verdana"/>
                <w:b/>
                <w:sz w:val="18"/>
                <w:szCs w:val="18"/>
                <w:lang w:eastAsia="en-US"/>
              </w:rPr>
              <w:t xml:space="preserve">Status: </w:t>
            </w:r>
            <w:r w:rsidRPr="00F74141">
              <w:rPr>
                <w:rFonts w:ascii="Verdana" w:hAnsi="Verdana"/>
                <w:iCs/>
                <w:color w:val="222222"/>
                <w:sz w:val="18"/>
                <w:szCs w:val="18"/>
                <w:lang w:eastAsia="en-US"/>
              </w:rPr>
              <w:t>ATIVO</w:t>
            </w:r>
          </w:p>
        </w:tc>
      </w:tr>
      <w:tr w:rsidR="00204B37" w:rsidRPr="00F74141">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jc w:val="both"/>
              <w:rPr>
                <w:rFonts w:ascii="Verdana" w:hAnsi="Verdana"/>
                <w:b/>
                <w:iCs/>
                <w:color w:val="222222"/>
                <w:sz w:val="18"/>
                <w:szCs w:val="18"/>
                <w:lang w:eastAsia="en-US"/>
              </w:rPr>
            </w:pPr>
            <w:r w:rsidRPr="00F74141">
              <w:rPr>
                <w:rFonts w:ascii="Verdana" w:hAnsi="Verdana"/>
                <w:b/>
                <w:sz w:val="18"/>
                <w:szCs w:val="18"/>
                <w:lang w:eastAsia="en-US"/>
              </w:rPr>
              <w:t xml:space="preserve">Inadimplementos no período: </w:t>
            </w:r>
            <w:r w:rsidRPr="00F74141">
              <w:rPr>
                <w:rFonts w:ascii="Verdana" w:hAnsi="Verdana"/>
                <w:iCs/>
                <w:color w:val="222222"/>
                <w:sz w:val="18"/>
                <w:szCs w:val="18"/>
                <w:lang w:eastAsia="en-US"/>
              </w:rPr>
              <w:t>Não ocorreram inadimplementos no período.</w:t>
            </w:r>
          </w:p>
        </w:tc>
      </w:tr>
      <w:tr w:rsidR="00204B37" w:rsidRPr="00F74141">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rsidR="00204B37" w:rsidRPr="00F74141" w:rsidRDefault="00706572">
            <w:pPr>
              <w:spacing w:after="0" w:line="320" w:lineRule="exact"/>
              <w:jc w:val="both"/>
              <w:rPr>
                <w:rFonts w:ascii="Verdana" w:hAnsi="Verdana"/>
                <w:b/>
                <w:color w:val="222222"/>
                <w:sz w:val="18"/>
                <w:szCs w:val="18"/>
                <w:lang w:eastAsia="en-US"/>
              </w:rPr>
            </w:pPr>
            <w:r w:rsidRPr="00F74141">
              <w:rPr>
                <w:rFonts w:ascii="Verdana" w:hAnsi="Verdana"/>
                <w:b/>
                <w:iCs/>
                <w:color w:val="222222"/>
                <w:sz w:val="18"/>
                <w:szCs w:val="18"/>
                <w:lang w:eastAsia="en-US"/>
              </w:rPr>
              <w:t xml:space="preserve">Garantias: </w:t>
            </w:r>
            <w:r w:rsidRPr="00F74141">
              <w:rPr>
                <w:rFonts w:ascii="Verdana" w:hAnsi="Verdana"/>
                <w:iCs/>
                <w:color w:val="222222"/>
                <w:sz w:val="18"/>
                <w:szCs w:val="18"/>
                <w:lang w:eastAsia="en-US"/>
              </w:rPr>
              <w:t xml:space="preserve">As Debêntures contam com as seguintes garantias reais: (i) penhor, pela </w:t>
            </w:r>
            <w:proofErr w:type="spellStart"/>
            <w:r w:rsidRPr="00F74141">
              <w:rPr>
                <w:rFonts w:ascii="Verdana" w:hAnsi="Verdana"/>
                <w:iCs/>
                <w:color w:val="222222"/>
                <w:sz w:val="18"/>
                <w:szCs w:val="18"/>
                <w:lang w:eastAsia="en-US"/>
              </w:rPr>
              <w:t>Celeo</w:t>
            </w:r>
            <w:proofErr w:type="spellEnd"/>
            <w:r w:rsidRPr="00F74141">
              <w:rPr>
                <w:rFonts w:ascii="Verdana" w:hAnsi="Verdana"/>
                <w:iCs/>
                <w:color w:val="222222"/>
                <w:sz w:val="18"/>
                <w:szCs w:val="18"/>
                <w:lang w:eastAsia="en-US"/>
              </w:rPr>
              <w:t xml:space="preserve"> e pela Copel GET, da totalidade das ações atuais e futuramente detidas, de emissão da Emissora de titularidade da </w:t>
            </w:r>
            <w:proofErr w:type="spellStart"/>
            <w:r w:rsidRPr="00F74141">
              <w:rPr>
                <w:rFonts w:ascii="Verdana" w:hAnsi="Verdana"/>
                <w:iCs/>
                <w:color w:val="222222"/>
                <w:sz w:val="18"/>
                <w:szCs w:val="18"/>
                <w:lang w:eastAsia="en-US"/>
              </w:rPr>
              <w:t>Celeo</w:t>
            </w:r>
            <w:proofErr w:type="spellEnd"/>
            <w:r w:rsidRPr="00F74141">
              <w:rPr>
                <w:rFonts w:ascii="Verdana" w:hAnsi="Verdana"/>
                <w:iCs/>
                <w:color w:val="222222"/>
                <w:sz w:val="18"/>
                <w:szCs w:val="18"/>
                <w:lang w:eastAsia="en-US"/>
              </w:rPr>
              <w:t xml:space="preserve"> e da Copel GET, bem como quaisquer outras ações representativas do capital </w:t>
            </w:r>
            <w:r w:rsidRPr="00F74141">
              <w:rPr>
                <w:rFonts w:ascii="Verdana" w:hAnsi="Verdana"/>
                <w:iCs/>
                <w:color w:val="222222"/>
                <w:sz w:val="18"/>
                <w:szCs w:val="18"/>
                <w:lang w:eastAsia="en-US"/>
              </w:rPr>
              <w:lastRenderedPageBreak/>
              <w:t>social da Emissora, que venham a ser subscritas, integralizadas, recebidas, conferidas, compradas ou de outra forma adquiridas pelas mesmas, até o pagamento integral das obrigações estabelecidas na presente Escritura de Emissão e no Contrato de Financiamento BNDES. (</w:t>
            </w:r>
            <w:proofErr w:type="spellStart"/>
            <w:r w:rsidRPr="00F74141">
              <w:rPr>
                <w:rFonts w:ascii="Verdana" w:hAnsi="Verdana"/>
                <w:iCs/>
                <w:color w:val="222222"/>
                <w:sz w:val="18"/>
                <w:szCs w:val="18"/>
                <w:lang w:eastAsia="en-US"/>
              </w:rPr>
              <w:t>ii</w:t>
            </w:r>
            <w:proofErr w:type="spellEnd"/>
            <w:r w:rsidRPr="00F74141">
              <w:rPr>
                <w:rFonts w:ascii="Verdana" w:hAnsi="Verdana"/>
                <w:iCs/>
                <w:color w:val="222222"/>
                <w:sz w:val="18"/>
                <w:szCs w:val="18"/>
                <w:lang w:eastAsia="en-US"/>
              </w:rPr>
              <w:t xml:space="preserve">) cessão fiduciária, pela Emissora, da totalidade dos direitos creditórios de titularidade da Emissora emergentes do Contrato de Concessão 019/2014-ANEEL, celebrado em 05 de setembro de 2014, entre a União, representada pela Agência Nacional de Energia Elétrica - ANEEL, e a Emissora, e seus posteriores aditivos, provenientes do Contrato de Prestação de Serviços de Transmissão nº 019/2014, firmado entre a Emissora e o Operador Nacional do Sistema Elétrico ? ONS, em 05 de novembro de 2014, e seus posteriores aditivos e provenientes dos Contratos de Uso do Sistema de Transmissão, celebrados entre o ONS e as concessionárias de transmissão e as usuárias do sistema de transmissão, compreendendo, mas não se limitando: (a) ao direito de receber todos e quaisquer valores que, efetiva ou potencialmente, sejam ou venham a se tornar exigíveis e pendentes de pagamento pelo poder concedente à Emissora, incluído o direito de receber todas as indenizações pela extinção da concessão outorgada nos termos do Contrato de Concessão; (b) aos direitos creditórios da Emissora, provenientes da prestação de serviços de transmissão de energia elétrica, previstos no Contrato de Concessão, no CPST e nos </w:t>
            </w:r>
            <w:proofErr w:type="spellStart"/>
            <w:r w:rsidRPr="00F74141">
              <w:rPr>
                <w:rFonts w:ascii="Verdana" w:hAnsi="Verdana"/>
                <w:iCs/>
                <w:color w:val="222222"/>
                <w:sz w:val="18"/>
                <w:szCs w:val="18"/>
                <w:lang w:eastAsia="en-US"/>
              </w:rPr>
              <w:t>CUSTs</w:t>
            </w:r>
            <w:proofErr w:type="spellEnd"/>
            <w:r w:rsidRPr="00F74141">
              <w:rPr>
                <w:rFonts w:ascii="Verdana" w:hAnsi="Verdana"/>
                <w:iCs/>
                <w:color w:val="222222"/>
                <w:sz w:val="18"/>
                <w:szCs w:val="18"/>
                <w:lang w:eastAsia="en-US"/>
              </w:rPr>
              <w:t>, inclusive a totalidade da receita proveniente da prestação dos serviços de transmissão; (c) os direitos creditórios de conta centralizadora na qual serão depositados todos os recursos provenientes dos direitos cedidos previstos neste item (</w:t>
            </w:r>
            <w:proofErr w:type="spellStart"/>
            <w:r w:rsidRPr="00F74141">
              <w:rPr>
                <w:rFonts w:ascii="Verdana" w:hAnsi="Verdana"/>
                <w:iCs/>
                <w:color w:val="222222"/>
                <w:sz w:val="18"/>
                <w:szCs w:val="18"/>
                <w:lang w:eastAsia="en-US"/>
              </w:rPr>
              <w:t>ii</w:t>
            </w:r>
            <w:proofErr w:type="spellEnd"/>
            <w:r w:rsidRPr="00F74141">
              <w:rPr>
                <w:rFonts w:ascii="Verdana" w:hAnsi="Verdana"/>
                <w:iCs/>
                <w:color w:val="222222"/>
                <w:sz w:val="18"/>
                <w:szCs w:val="18"/>
                <w:lang w:eastAsia="en-US"/>
              </w:rPr>
              <w:t xml:space="preserve">) e de conta reserva que será constituída para pagamento das prestações de amortização do principal e dos acessórios da dívida decorrente do Contrato de Financiamento BNDES e desta Escritura de Emissão, no caso de insuficiência de recursos na Conta Centralizadora; e (d) todos os demais direitos, corpóreos ou incorpóreos, potenciais ou não, da Emissora que possam ser objeto de cessão fiduciária de acordo com as normas legais e regulamentares aplicáveis, decorrentes do Contrato de Concessão, do CPST e dos </w:t>
            </w:r>
            <w:proofErr w:type="spellStart"/>
            <w:r w:rsidRPr="00F74141">
              <w:rPr>
                <w:rFonts w:ascii="Verdana" w:hAnsi="Verdana"/>
                <w:iCs/>
                <w:color w:val="222222"/>
                <w:sz w:val="18"/>
                <w:szCs w:val="18"/>
                <w:lang w:eastAsia="en-US"/>
              </w:rPr>
              <w:t>CUSTs</w:t>
            </w:r>
            <w:proofErr w:type="spellEnd"/>
            <w:r w:rsidRPr="00F74141">
              <w:rPr>
                <w:rFonts w:ascii="Verdana" w:hAnsi="Verdana"/>
                <w:iCs/>
                <w:color w:val="222222"/>
                <w:sz w:val="18"/>
                <w:szCs w:val="18"/>
                <w:lang w:eastAsia="en-US"/>
              </w:rPr>
              <w:t xml:space="preserve">, ou decorrentes, a qualquer título, da prestação de serviços de transmissão de energia elétrica pela Emissora. Consubstanciada por garantia adicional fidejussória, por intermédio de fiança, prestada pela </w:t>
            </w:r>
            <w:proofErr w:type="spellStart"/>
            <w:r w:rsidRPr="00F74141">
              <w:rPr>
                <w:rFonts w:ascii="Verdana" w:hAnsi="Verdana"/>
                <w:iCs/>
                <w:color w:val="222222"/>
                <w:sz w:val="18"/>
                <w:szCs w:val="18"/>
                <w:lang w:eastAsia="en-US"/>
              </w:rPr>
              <w:t>Celeo</w:t>
            </w:r>
            <w:proofErr w:type="spellEnd"/>
            <w:r w:rsidRPr="00F74141">
              <w:rPr>
                <w:rFonts w:ascii="Verdana" w:hAnsi="Verdana"/>
                <w:iCs/>
                <w:color w:val="222222"/>
                <w:sz w:val="18"/>
                <w:szCs w:val="18"/>
                <w:lang w:eastAsia="en-US"/>
              </w:rPr>
              <w:t xml:space="preserve"> Redes Brasil S.A. e Companhia Paranaense de Energia - Copel.</w:t>
            </w:r>
          </w:p>
        </w:tc>
      </w:tr>
    </w:tbl>
    <w:p w:rsidR="00204B37" w:rsidRPr="00F74141" w:rsidRDefault="00204B37">
      <w:pPr>
        <w:spacing w:before="240" w:after="240" w:line="320" w:lineRule="exact"/>
        <w:rPr>
          <w:rFonts w:ascii="Verdana" w:hAnsi="Verdana"/>
          <w:sz w:val="18"/>
          <w:szCs w:val="18"/>
        </w:rPr>
      </w:pPr>
    </w:p>
    <w:tbl>
      <w:tblPr>
        <w:tblW w:w="0" w:type="auto"/>
        <w:shd w:val="clear" w:color="auto" w:fill="FFFFFF"/>
        <w:tblCellMar>
          <w:left w:w="0" w:type="dxa"/>
          <w:right w:w="0" w:type="dxa"/>
        </w:tblCellMar>
        <w:tblLook w:val="04A0" w:firstRow="1" w:lastRow="0" w:firstColumn="1" w:lastColumn="0" w:noHBand="0" w:noVBand="1"/>
      </w:tblPr>
      <w:tblGrid>
        <w:gridCol w:w="4717"/>
        <w:gridCol w:w="4683"/>
      </w:tblGrid>
      <w:tr w:rsidR="00204B37" w:rsidRPr="00F74141">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Emissora: </w:t>
            </w:r>
            <w:r w:rsidRPr="00F74141">
              <w:rPr>
                <w:rFonts w:ascii="Verdana" w:hAnsi="Verdana"/>
                <w:b/>
                <w:color w:val="222222"/>
                <w:sz w:val="18"/>
                <w:szCs w:val="18"/>
                <w:lang w:eastAsia="en-US"/>
              </w:rPr>
              <w:t>CELEO REDES TRANSMISSÃO DE ENERGIA S.A.</w:t>
            </w:r>
          </w:p>
        </w:tc>
      </w:tr>
      <w:tr w:rsidR="00204B37" w:rsidRPr="00F74141">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Ativo: </w:t>
            </w:r>
            <w:r w:rsidRPr="00F74141">
              <w:rPr>
                <w:rFonts w:ascii="Verdana" w:hAnsi="Verdana"/>
                <w:color w:val="222222"/>
                <w:sz w:val="18"/>
                <w:szCs w:val="18"/>
                <w:lang w:eastAsia="en-US"/>
              </w:rPr>
              <w:t>Debênture</w:t>
            </w:r>
          </w:p>
        </w:tc>
      </w:tr>
      <w:tr w:rsidR="00204B37" w:rsidRPr="00F74141">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Série: </w:t>
            </w:r>
            <w:r w:rsidRPr="00F74141">
              <w:rPr>
                <w:rFonts w:ascii="Verdana" w:hAnsi="Verdana"/>
                <w:iCs/>
                <w:color w:val="222222"/>
                <w:sz w:val="18"/>
                <w:szCs w:val="18"/>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Emissão: </w:t>
            </w:r>
            <w:r w:rsidRPr="00F74141">
              <w:rPr>
                <w:rFonts w:ascii="Verdana" w:hAnsi="Verdana"/>
                <w:iCs/>
                <w:color w:val="222222"/>
                <w:sz w:val="18"/>
                <w:szCs w:val="18"/>
                <w:lang w:eastAsia="en-US"/>
              </w:rPr>
              <w:t>1</w:t>
            </w:r>
          </w:p>
        </w:tc>
      </w:tr>
      <w:tr w:rsidR="00204B37" w:rsidRPr="00F74141">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Volume na Data de Emissão: </w:t>
            </w:r>
            <w:r w:rsidRPr="00F74141">
              <w:rPr>
                <w:rFonts w:ascii="Verdana" w:hAnsi="Verdana"/>
                <w:iCs/>
                <w:color w:val="222222"/>
                <w:sz w:val="18"/>
                <w:szCs w:val="18"/>
                <w:lang w:eastAsia="en-US"/>
              </w:rPr>
              <w:t>R$ 565.000.000,00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Quantidade de ativos: </w:t>
            </w:r>
            <w:r w:rsidRPr="00F74141">
              <w:rPr>
                <w:rFonts w:ascii="Verdana" w:hAnsi="Verdana"/>
                <w:iCs/>
                <w:color w:val="222222"/>
                <w:sz w:val="18"/>
                <w:szCs w:val="18"/>
                <w:lang w:eastAsia="en-US"/>
              </w:rPr>
              <w:t>565.000</w:t>
            </w:r>
          </w:p>
        </w:tc>
      </w:tr>
      <w:tr w:rsidR="00204B37" w:rsidRPr="00F74141">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Data de Vencimento: </w:t>
            </w:r>
            <w:r w:rsidRPr="00F74141">
              <w:rPr>
                <w:rFonts w:ascii="Verdana" w:hAnsi="Verdana"/>
                <w:iCs/>
                <w:color w:val="222222"/>
                <w:sz w:val="18"/>
                <w:szCs w:val="18"/>
                <w:lang w:eastAsia="en-US"/>
              </w:rPr>
              <w:t>15/11/2023</w:t>
            </w:r>
          </w:p>
        </w:tc>
      </w:tr>
      <w:tr w:rsidR="00204B37" w:rsidRPr="00F74141">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rPr>
                <w:rFonts w:ascii="Verdana" w:hAnsi="Verdana"/>
                <w:b/>
                <w:color w:val="222222"/>
                <w:sz w:val="18"/>
                <w:szCs w:val="18"/>
                <w:lang w:eastAsia="en-US"/>
              </w:rPr>
            </w:pPr>
            <w:r w:rsidRPr="00F74141">
              <w:rPr>
                <w:rFonts w:ascii="Verdana" w:hAnsi="Verdana"/>
                <w:b/>
                <w:iCs/>
                <w:color w:val="222222"/>
                <w:sz w:val="18"/>
                <w:szCs w:val="18"/>
                <w:lang w:eastAsia="en-US"/>
              </w:rPr>
              <w:t xml:space="preserve">Taxa de Juros: </w:t>
            </w:r>
            <w:r w:rsidRPr="00F74141">
              <w:rPr>
                <w:rFonts w:ascii="Verdana" w:hAnsi="Verdana"/>
                <w:iCs/>
                <w:color w:val="222222"/>
                <w:sz w:val="18"/>
                <w:szCs w:val="18"/>
                <w:lang w:eastAsia="en-US"/>
              </w:rPr>
              <w:t>100% do CDI + 0,75% a.a. na base 252.</w:t>
            </w:r>
          </w:p>
        </w:tc>
      </w:tr>
      <w:tr w:rsidR="00204B37" w:rsidRPr="00F74141">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jc w:val="both"/>
              <w:rPr>
                <w:rFonts w:ascii="Verdana" w:hAnsi="Verdana"/>
                <w:b/>
                <w:iCs/>
                <w:color w:val="222222"/>
                <w:sz w:val="18"/>
                <w:szCs w:val="18"/>
                <w:lang w:eastAsia="en-US"/>
              </w:rPr>
            </w:pPr>
            <w:r w:rsidRPr="00F74141">
              <w:rPr>
                <w:rFonts w:ascii="Verdana" w:hAnsi="Verdana"/>
                <w:b/>
                <w:sz w:val="18"/>
                <w:szCs w:val="18"/>
                <w:lang w:eastAsia="en-US"/>
              </w:rPr>
              <w:t xml:space="preserve">Status: </w:t>
            </w:r>
            <w:r w:rsidRPr="00F74141">
              <w:rPr>
                <w:rFonts w:ascii="Verdana" w:hAnsi="Verdana"/>
                <w:iCs/>
                <w:color w:val="222222"/>
                <w:sz w:val="18"/>
                <w:szCs w:val="18"/>
                <w:lang w:eastAsia="en-US"/>
              </w:rPr>
              <w:t>ATIVO</w:t>
            </w:r>
          </w:p>
        </w:tc>
      </w:tr>
      <w:tr w:rsidR="00204B37" w:rsidRPr="00F74141">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04B37" w:rsidRPr="00F74141" w:rsidRDefault="00706572">
            <w:pPr>
              <w:spacing w:after="0" w:line="320" w:lineRule="exact"/>
              <w:jc w:val="both"/>
              <w:rPr>
                <w:rFonts w:ascii="Verdana" w:hAnsi="Verdana"/>
                <w:b/>
                <w:iCs/>
                <w:color w:val="222222"/>
                <w:sz w:val="18"/>
                <w:szCs w:val="18"/>
                <w:lang w:eastAsia="en-US"/>
              </w:rPr>
            </w:pPr>
            <w:r w:rsidRPr="00F74141">
              <w:rPr>
                <w:rFonts w:ascii="Verdana" w:hAnsi="Verdana"/>
                <w:b/>
                <w:sz w:val="18"/>
                <w:szCs w:val="18"/>
                <w:lang w:eastAsia="en-US"/>
              </w:rPr>
              <w:lastRenderedPageBreak/>
              <w:t xml:space="preserve">Pendências no período: </w:t>
            </w:r>
            <w:r w:rsidRPr="00F74141">
              <w:rPr>
                <w:rFonts w:ascii="Verdana" w:hAnsi="Verdana"/>
                <w:iCs/>
                <w:color w:val="222222"/>
                <w:sz w:val="18"/>
                <w:szCs w:val="18"/>
                <w:lang w:eastAsia="en-US"/>
              </w:rPr>
              <w:t xml:space="preserve"> Primeiro Aditamento à Escritura de Emissão, devidamente registrado na JUCERJA.</w:t>
            </w:r>
          </w:p>
        </w:tc>
      </w:tr>
      <w:tr w:rsidR="00204B37" w:rsidRPr="00F74141">
        <w:trPr>
          <w:trHeight w:val="2113"/>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rsidR="00204B37" w:rsidRPr="00F74141" w:rsidRDefault="00706572">
            <w:pPr>
              <w:spacing w:after="0" w:line="320" w:lineRule="exact"/>
              <w:jc w:val="both"/>
              <w:rPr>
                <w:rFonts w:ascii="Verdana" w:hAnsi="Verdana"/>
                <w:b/>
                <w:color w:val="222222"/>
                <w:sz w:val="18"/>
                <w:szCs w:val="18"/>
                <w:lang w:eastAsia="en-US"/>
              </w:rPr>
            </w:pPr>
            <w:r w:rsidRPr="00F74141">
              <w:rPr>
                <w:rFonts w:ascii="Verdana" w:hAnsi="Verdana"/>
                <w:b/>
                <w:iCs/>
                <w:color w:val="222222"/>
                <w:sz w:val="18"/>
                <w:szCs w:val="18"/>
                <w:lang w:eastAsia="en-US"/>
              </w:rPr>
              <w:t xml:space="preserve">Garantias: </w:t>
            </w:r>
            <w:r w:rsidRPr="00F74141">
              <w:rPr>
                <w:rFonts w:ascii="Verdana" w:hAnsi="Verdana"/>
                <w:iCs/>
                <w:color w:val="222222"/>
                <w:sz w:val="18"/>
                <w:szCs w:val="18"/>
                <w:lang w:eastAsia="en-US"/>
              </w:rPr>
              <w:t>Em garantia do fiel, pontual e integral cumprimento das Obrigações Garantidas a referida Emissão de Debêntures conta com as seguintes garantias: (i) Alienação Fiduciária de Ações Ordinárias representando a totalidade do capital social das Concessionárias, detidas na Data de Emissão pela Emissora; (</w:t>
            </w:r>
            <w:proofErr w:type="spellStart"/>
            <w:r w:rsidRPr="00F74141">
              <w:rPr>
                <w:rFonts w:ascii="Verdana" w:hAnsi="Verdana"/>
                <w:iCs/>
                <w:color w:val="222222"/>
                <w:sz w:val="18"/>
                <w:szCs w:val="18"/>
                <w:lang w:eastAsia="en-US"/>
              </w:rPr>
              <w:t>ii</w:t>
            </w:r>
            <w:proofErr w:type="spellEnd"/>
            <w:r w:rsidRPr="00F74141">
              <w:rPr>
                <w:rFonts w:ascii="Verdana" w:hAnsi="Verdana"/>
                <w:iCs/>
                <w:color w:val="222222"/>
                <w:sz w:val="18"/>
                <w:szCs w:val="18"/>
                <w:lang w:eastAsia="en-US"/>
              </w:rPr>
              <w:t>) cessão fiduciária de todos os direitos creditórios, atuais ou futuros, detidos e a serem detidos pela Emissora contra o Banco Citibank S.A. ("Banco Depositário"), como resultado dos valores depositados (1) na conta corrente nº 86083198, agência nº 001, no Banco Depositário ("Conta Reserva do Serviço da Dívida") e (2) na conta corrente nº 86083201, agência nº 001, no Banco Depositário ("Conta Reserva de Despesas O&amp;M", e em conjunto com a Conta Reserva do Serviço da Dívida, as "Contas Reserva").</w:t>
            </w:r>
          </w:p>
        </w:tc>
      </w:tr>
    </w:tbl>
    <w:p w:rsidR="00204B37" w:rsidRPr="00F74141" w:rsidRDefault="00204B37">
      <w:pPr>
        <w:spacing w:after="0"/>
        <w:rPr>
          <w:rFonts w:ascii="Verdana" w:hAnsi="Verdana"/>
          <w:sz w:val="18"/>
          <w:szCs w:val="18"/>
        </w:rPr>
      </w:pPr>
    </w:p>
    <w:sectPr w:rsidR="00204B37" w:rsidRPr="00F74141" w:rsidSect="00D11B34">
      <w:headerReference w:type="even" r:id="rId17"/>
      <w:headerReference w:type="default" r:id="rId18"/>
      <w:footerReference w:type="even" r:id="rId19"/>
      <w:footerReference w:type="default" r:id="rId20"/>
      <w:headerReference w:type="first" r:id="rId21"/>
      <w:footerReference w:type="first" r:id="rId22"/>
      <w:type w:val="continuous"/>
      <w:pgSz w:w="12242" w:h="15842" w:code="1"/>
      <w:pgMar w:top="1699" w:right="1411" w:bottom="1354" w:left="1411"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3396" w:rsidRDefault="007E3396">
      <w:pPr>
        <w:spacing w:after="0" w:line="240" w:lineRule="auto"/>
      </w:pPr>
      <w:r>
        <w:separator/>
      </w:r>
    </w:p>
  </w:endnote>
  <w:endnote w:type="continuationSeparator" w:id="0">
    <w:p w:rsidR="007E3396" w:rsidRDefault="007E3396">
      <w:pPr>
        <w:spacing w:after="0" w:line="240" w:lineRule="auto"/>
      </w:pPr>
      <w:r>
        <w:continuationSeparator/>
      </w:r>
    </w:p>
  </w:endnote>
  <w:endnote w:type="continuationNotice" w:id="1">
    <w:p w:rsidR="007E3396" w:rsidRDefault="007E33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Negrito">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T108t00">
    <w:altName w:val="MS Gothic"/>
    <w:charset w:val="80"/>
    <w:family w:val="swiss"/>
    <w:pitch w:val="variable"/>
    <w:sig w:usb0="00000001"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396" w:rsidRDefault="007E339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Verdana" w:hAnsi="Verdana"/>
        <w:sz w:val="20"/>
        <w:szCs w:val="20"/>
      </w:rPr>
      <w:id w:val="-15000661"/>
      <w:docPartObj>
        <w:docPartGallery w:val="Page Numbers (Bottom of Page)"/>
        <w:docPartUnique/>
      </w:docPartObj>
    </w:sdtPr>
    <w:sdtContent>
      <w:p w:rsidR="007E3396" w:rsidRDefault="007E3396" w:rsidP="00D11B34">
        <w:pPr>
          <w:pStyle w:val="Rodap"/>
          <w:tabs>
            <w:tab w:val="clear" w:pos="8504"/>
            <w:tab w:val="right" w:pos="9356"/>
          </w:tabs>
          <w:rPr>
            <w:rFonts w:ascii="Verdana" w:hAnsi="Verdana"/>
            <w:sz w:val="14"/>
            <w:szCs w:val="20"/>
          </w:rPr>
        </w:pPr>
        <w:r>
          <w:rPr>
            <w:rFonts w:ascii="Verdana" w:hAnsi="Verdana"/>
            <w:sz w:val="14"/>
            <w:szCs w:val="20"/>
          </w:rPr>
          <w:fldChar w:fldCharType="begin"/>
        </w:r>
        <w:r>
          <w:rPr>
            <w:rFonts w:ascii="Verdana" w:hAnsi="Verdana"/>
            <w:sz w:val="14"/>
            <w:szCs w:val="20"/>
          </w:rPr>
          <w:instrText xml:space="preserve"> DOCPROPERTY "iManageFooter"  \* MERGEFORMAT </w:instrText>
        </w:r>
        <w:r>
          <w:rPr>
            <w:rFonts w:ascii="Verdana" w:hAnsi="Verdana"/>
            <w:sz w:val="14"/>
            <w:szCs w:val="20"/>
          </w:rPr>
          <w:fldChar w:fldCharType="separate"/>
        </w:r>
      </w:p>
      <w:p w:rsidR="007E3396" w:rsidRDefault="007E3396" w:rsidP="00567A6B">
        <w:pPr>
          <w:pStyle w:val="Rodap"/>
          <w:tabs>
            <w:tab w:val="clear" w:pos="8504"/>
            <w:tab w:val="right" w:pos="9356"/>
          </w:tabs>
          <w:rPr>
            <w:rFonts w:ascii="Verdana" w:hAnsi="Verdana"/>
            <w:sz w:val="20"/>
            <w:szCs w:val="20"/>
          </w:rPr>
        </w:pPr>
        <w:r>
          <w:rPr>
            <w:rFonts w:ascii="Verdana" w:hAnsi="Verdana"/>
            <w:sz w:val="14"/>
            <w:szCs w:val="20"/>
          </w:rPr>
          <w:fldChar w:fldCharType="end"/>
        </w:r>
        <w:r>
          <w:rPr>
            <w:rFonts w:ascii="Verdana" w:hAnsi="Verdana"/>
            <w:sz w:val="14"/>
            <w:szCs w:val="20"/>
          </w:rPr>
          <w:tab/>
        </w:r>
        <w:r>
          <w:rPr>
            <w:rFonts w:ascii="Verdana" w:hAnsi="Verdana"/>
            <w:sz w:val="14"/>
            <w:szCs w:val="20"/>
          </w:rPr>
          <w:tab/>
        </w:r>
        <w:r>
          <w:rPr>
            <w:rFonts w:ascii="Verdana" w:hAnsi="Verdana"/>
            <w:sz w:val="20"/>
            <w:szCs w:val="20"/>
          </w:rPr>
          <w:fldChar w:fldCharType="begin"/>
        </w:r>
        <w:r>
          <w:rPr>
            <w:rFonts w:ascii="Verdana" w:hAnsi="Verdana"/>
            <w:sz w:val="20"/>
            <w:szCs w:val="20"/>
          </w:rPr>
          <w:instrText>PAGE   \* MERGEFORMAT</w:instrText>
        </w:r>
        <w:r>
          <w:rPr>
            <w:rFonts w:ascii="Verdana" w:hAnsi="Verdana"/>
            <w:sz w:val="20"/>
            <w:szCs w:val="20"/>
          </w:rPr>
          <w:fldChar w:fldCharType="separate"/>
        </w:r>
        <w:r>
          <w:rPr>
            <w:rFonts w:ascii="Verdana" w:hAnsi="Verdana"/>
            <w:noProof/>
            <w:sz w:val="20"/>
            <w:szCs w:val="20"/>
          </w:rPr>
          <w:t>29</w:t>
        </w:r>
        <w:r>
          <w:rPr>
            <w:rFonts w:ascii="Verdana" w:hAnsi="Verdana"/>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396" w:rsidRPr="00D11B34" w:rsidRDefault="007E3396" w:rsidP="00D11B34">
    <w:pPr>
      <w:pStyle w:val="Rodap"/>
      <w:rPr>
        <w:rFonts w:ascii="Verdana" w:hAnsi="Verdana"/>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3396" w:rsidRDefault="007E3396">
      <w:pPr>
        <w:spacing w:after="0" w:line="240" w:lineRule="auto"/>
      </w:pPr>
      <w:r>
        <w:separator/>
      </w:r>
    </w:p>
  </w:footnote>
  <w:footnote w:type="continuationSeparator" w:id="0">
    <w:p w:rsidR="007E3396" w:rsidRDefault="007E3396">
      <w:pPr>
        <w:spacing w:after="0" w:line="240" w:lineRule="auto"/>
      </w:pPr>
      <w:r>
        <w:continuationSeparator/>
      </w:r>
    </w:p>
  </w:footnote>
  <w:footnote w:type="continuationNotice" w:id="1">
    <w:p w:rsidR="007E3396" w:rsidRDefault="007E33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396" w:rsidRDefault="007E339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396" w:rsidRDefault="007E3396">
    <w:pPr>
      <w:pStyle w:val="Cabealho"/>
      <w:spacing w:after="0"/>
      <w:jc w:val="right"/>
      <w:rPr>
        <w:rFonts w:ascii="Verdana" w:hAnsi="Verdana"/>
        <w:b/>
        <w:sz w:val="20"/>
        <w:szCs w:val="20"/>
      </w:rPr>
    </w:pPr>
    <w:r>
      <w:rPr>
        <w:noProof/>
      </w:rPr>
      <w:drawing>
        <wp:anchor distT="0" distB="0" distL="114300" distR="114300" simplePos="0" relativeHeight="251662336" behindDoc="0" locked="0" layoutInCell="1" allowOverlap="1">
          <wp:simplePos x="0" y="0"/>
          <wp:positionH relativeFrom="column">
            <wp:posOffset>17948</wp:posOffset>
          </wp:positionH>
          <wp:positionV relativeFrom="paragraph">
            <wp:posOffset>0</wp:posOffset>
          </wp:positionV>
          <wp:extent cx="895350" cy="485775"/>
          <wp:effectExtent l="0" t="0" r="0" b="9525"/>
          <wp:wrapNone/>
          <wp:docPr id="11" name="Imagem 1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4857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396" w:rsidRDefault="007E3396">
    <w:pPr>
      <w:pStyle w:val="Cabealho"/>
      <w:spacing w:after="0"/>
      <w:jc w:val="right"/>
      <w:rPr>
        <w:rFonts w:ascii="Verdana" w:hAnsi="Verdana"/>
        <w:b/>
        <w:sz w:val="20"/>
        <w:szCs w:val="20"/>
      </w:rPr>
    </w:pPr>
    <w:r>
      <w:rPr>
        <w:noProof/>
      </w:rPr>
      <w:drawing>
        <wp:anchor distT="0" distB="0" distL="114300" distR="114300" simplePos="0" relativeHeight="251658240" behindDoc="0" locked="0" layoutInCell="1" allowOverlap="1">
          <wp:simplePos x="0" y="0"/>
          <wp:positionH relativeFrom="column">
            <wp:posOffset>17948</wp:posOffset>
          </wp:positionH>
          <wp:positionV relativeFrom="paragraph">
            <wp:posOffset>0</wp:posOffset>
          </wp:positionV>
          <wp:extent cx="895350" cy="485775"/>
          <wp:effectExtent l="0" t="0" r="0" b="9525"/>
          <wp:wrapNone/>
          <wp:docPr id="12" name="Imagem 12"/>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4857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C"/>
    <w:multiLevelType w:val="multilevel"/>
    <w:tmpl w:val="358454A0"/>
    <w:lvl w:ilvl="0">
      <w:start w:val="1"/>
      <w:numFmt w:val="upperRoman"/>
      <w:pStyle w:val="PargrafodaLista1"/>
      <w:lvlText w:val="CLÁUSULA %1."/>
      <w:lvlJc w:val="center"/>
      <w:pPr>
        <w:tabs>
          <w:tab w:val="num" w:pos="0"/>
        </w:tabs>
        <w:ind w:firstLine="288"/>
      </w:pPr>
      <w:rPr>
        <w:rFonts w:cs="Times New Roman" w:hint="eastAsia"/>
        <w:b w:val="0"/>
        <w:i w:val="0"/>
      </w:rPr>
    </w:lvl>
    <w:lvl w:ilvl="1">
      <w:start w:val="1"/>
      <w:numFmt w:val="decimal"/>
      <w:pStyle w:val="ContratoN3"/>
      <w:lvlText w:val="%1.%2."/>
      <w:lvlJc w:val="left"/>
      <w:pPr>
        <w:tabs>
          <w:tab w:val="num" w:pos="1134"/>
        </w:tabs>
      </w:pPr>
      <w:rPr>
        <w:rFonts w:cs="Times New Roman" w:hint="eastAsia"/>
      </w:rPr>
    </w:lvl>
    <w:lvl w:ilvl="2">
      <w:start w:val="1"/>
      <w:numFmt w:val="decimal"/>
      <w:pStyle w:val="EstiloContratoN1PretoVersalete"/>
      <w:lvlText w:val="%1.%2.%3."/>
      <w:lvlJc w:val="left"/>
      <w:pPr>
        <w:tabs>
          <w:tab w:val="num" w:pos="1854"/>
        </w:tabs>
        <w:ind w:left="1638" w:hanging="504"/>
      </w:pPr>
      <w:rPr>
        <w:rFonts w:ascii="Times New Roman Negrito" w:hAnsi="Times New Roman Negrito" w:cs="Times New Roman" w:hint="default"/>
      </w:rPr>
    </w:lvl>
    <w:lvl w:ilvl="3">
      <w:start w:val="1"/>
      <w:numFmt w:val="decimal"/>
      <w:lvlText w:val="%1.%2.%3.%4."/>
      <w:lvlJc w:val="left"/>
      <w:pPr>
        <w:tabs>
          <w:tab w:val="num" w:pos="1440"/>
        </w:tabs>
        <w:ind w:left="1368" w:hanging="648"/>
      </w:pPr>
      <w:rPr>
        <w:rFonts w:cs="Times New Roman" w:hint="eastAsia"/>
      </w:rPr>
    </w:lvl>
    <w:lvl w:ilvl="4">
      <w:start w:val="1"/>
      <w:numFmt w:val="decimal"/>
      <w:lvlText w:val="%1.%2.%3.%4.%5."/>
      <w:lvlJc w:val="left"/>
      <w:pPr>
        <w:tabs>
          <w:tab w:val="num" w:pos="2160"/>
        </w:tabs>
        <w:ind w:left="1872" w:hanging="792"/>
      </w:pPr>
      <w:rPr>
        <w:rFonts w:cs="Times New Roman" w:hint="eastAsia"/>
      </w:rPr>
    </w:lvl>
    <w:lvl w:ilvl="5">
      <w:start w:val="1"/>
      <w:numFmt w:val="decimal"/>
      <w:lvlText w:val="%1.%2.%3.%4.%5.%6."/>
      <w:lvlJc w:val="left"/>
      <w:pPr>
        <w:tabs>
          <w:tab w:val="num" w:pos="2520"/>
        </w:tabs>
        <w:ind w:left="2376" w:hanging="936"/>
      </w:pPr>
      <w:rPr>
        <w:rFonts w:cs="Times New Roman" w:hint="eastAsia"/>
      </w:rPr>
    </w:lvl>
    <w:lvl w:ilvl="6">
      <w:start w:val="1"/>
      <w:numFmt w:val="decimal"/>
      <w:lvlText w:val="%1.%2.%3.%4.%5.%6.%7."/>
      <w:lvlJc w:val="left"/>
      <w:pPr>
        <w:tabs>
          <w:tab w:val="num" w:pos="3240"/>
        </w:tabs>
        <w:ind w:left="2880" w:hanging="1080"/>
      </w:pPr>
      <w:rPr>
        <w:rFonts w:cs="Times New Roman" w:hint="eastAsia"/>
      </w:rPr>
    </w:lvl>
    <w:lvl w:ilvl="7">
      <w:start w:val="1"/>
      <w:numFmt w:val="decimal"/>
      <w:lvlText w:val="%1.%2.%3.%4.%5.%6.%7.%8."/>
      <w:lvlJc w:val="left"/>
      <w:pPr>
        <w:tabs>
          <w:tab w:val="num" w:pos="3600"/>
        </w:tabs>
        <w:ind w:left="3384" w:hanging="1224"/>
      </w:pPr>
      <w:rPr>
        <w:rFonts w:cs="Times New Roman" w:hint="eastAsia"/>
      </w:rPr>
    </w:lvl>
    <w:lvl w:ilvl="8">
      <w:start w:val="1"/>
      <w:numFmt w:val="decimal"/>
      <w:lvlText w:val="%1.%2.%3.%4.%5.%6.%7.%8.%9."/>
      <w:lvlJc w:val="left"/>
      <w:pPr>
        <w:tabs>
          <w:tab w:val="num" w:pos="4320"/>
        </w:tabs>
        <w:ind w:left="3960" w:hanging="1440"/>
      </w:pPr>
      <w:rPr>
        <w:rFonts w:cs="Times New Roman" w:hint="eastAsia"/>
      </w:rPr>
    </w:lvl>
  </w:abstractNum>
  <w:abstractNum w:abstractNumId="1" w15:restartNumberingAfterBreak="0">
    <w:nsid w:val="13EF675F"/>
    <w:multiLevelType w:val="multilevel"/>
    <w:tmpl w:val="22D6D71E"/>
    <w:lvl w:ilvl="0">
      <w:start w:val="1"/>
      <w:numFmt w:val="decimal"/>
      <w:lvlRestart w:val="0"/>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lowerRoman"/>
      <w:lvlText w:val="(%4)"/>
      <w:lvlJc w:val="left"/>
      <w:pPr>
        <w:tabs>
          <w:tab w:val="num" w:pos="3941"/>
        </w:tabs>
        <w:ind w:left="3941" w:hanging="680"/>
      </w:pPr>
      <w:rPr>
        <w:rFonts w:cs="Tahoma" w:hint="default"/>
        <w:b/>
        <w:i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B611F2"/>
    <w:multiLevelType w:val="multilevel"/>
    <w:tmpl w:val="51CA4006"/>
    <w:lvl w:ilvl="0">
      <w:start w:val="1"/>
      <w:numFmt w:val="decimal"/>
      <w:lvlRestart w:val="0"/>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lowerRoman"/>
      <w:lvlText w:val="(%4)"/>
      <w:lvlJc w:val="left"/>
      <w:pPr>
        <w:tabs>
          <w:tab w:val="num" w:pos="3941"/>
        </w:tabs>
        <w:ind w:left="3941" w:hanging="680"/>
      </w:pPr>
      <w:rPr>
        <w:rFonts w:cs="Times New Roman" w:hint="default"/>
        <w:b/>
        <w:i w:val="0"/>
        <w:caps w:val="0"/>
        <w:strike w:val="0"/>
        <w:dstrike w:val="0"/>
        <w:vanish w:val="0"/>
        <w:color w:val="000000"/>
        <w:sz w:val="20"/>
        <w:szCs w:val="20"/>
        <w:vertAlign w:val="baseline"/>
      </w:rPr>
    </w:lvl>
    <w:lvl w:ilvl="4">
      <w:start w:val="1"/>
      <w:numFmt w:val="lowerLetter"/>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0A34F37"/>
    <w:multiLevelType w:val="multilevel"/>
    <w:tmpl w:val="47E8E316"/>
    <w:lvl w:ilvl="0">
      <w:start w:val="1"/>
      <w:numFmt w:val="decimal"/>
      <w:lvlRestart w:val="0"/>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lowerRoman"/>
      <w:lvlText w:val="(%4)"/>
      <w:lvlJc w:val="left"/>
      <w:pPr>
        <w:tabs>
          <w:tab w:val="num" w:pos="3941"/>
        </w:tabs>
        <w:ind w:left="3941" w:hanging="680"/>
      </w:pPr>
      <w:rPr>
        <w:rFonts w:cs="Times New Roman" w:hint="default"/>
        <w:b/>
        <w:i w:val="0"/>
        <w:caps w:val="0"/>
        <w:strike w:val="0"/>
        <w:dstrike w:val="0"/>
        <w:vanish w:val="0"/>
        <w:color w:val="000000"/>
        <w:sz w:val="20"/>
        <w:szCs w:val="20"/>
        <w:vertAlign w:val="baseline"/>
      </w:rPr>
    </w:lvl>
    <w:lvl w:ilvl="4">
      <w:start w:val="1"/>
      <w:numFmt w:val="lowerLetter"/>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2E1466E"/>
    <w:multiLevelType w:val="multilevel"/>
    <w:tmpl w:val="AECEC4E0"/>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b/>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701"/>
        </w:tabs>
        <w:ind w:left="851" w:firstLine="0"/>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684686"/>
    <w:multiLevelType w:val="multilevel"/>
    <w:tmpl w:val="6F50BBE0"/>
    <w:lvl w:ilvl="0">
      <w:start w:val="1"/>
      <w:numFmt w:val="decimal"/>
      <w:lvlRestart w:val="0"/>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lowerRoman"/>
      <w:lvlText w:val="(%4)"/>
      <w:lvlJc w:val="left"/>
      <w:pPr>
        <w:tabs>
          <w:tab w:val="num" w:pos="3941"/>
        </w:tabs>
        <w:ind w:left="3941" w:hanging="680"/>
      </w:pPr>
      <w:rPr>
        <w:rFonts w:hint="default"/>
        <w:b/>
        <w:i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F5874C5"/>
    <w:multiLevelType w:val="multilevel"/>
    <w:tmpl w:val="47E8E316"/>
    <w:lvl w:ilvl="0">
      <w:start w:val="1"/>
      <w:numFmt w:val="decimal"/>
      <w:lvlRestart w:val="0"/>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lowerRoman"/>
      <w:lvlText w:val="(%4)"/>
      <w:lvlJc w:val="left"/>
      <w:pPr>
        <w:tabs>
          <w:tab w:val="num" w:pos="3941"/>
        </w:tabs>
        <w:ind w:left="3941" w:hanging="680"/>
      </w:pPr>
      <w:rPr>
        <w:rFonts w:cs="Times New Roman" w:hint="default"/>
        <w:b/>
        <w:i w:val="0"/>
        <w:caps w:val="0"/>
        <w:strike w:val="0"/>
        <w:dstrike w:val="0"/>
        <w:vanish w:val="0"/>
        <w:color w:val="000000"/>
        <w:sz w:val="20"/>
        <w:szCs w:val="20"/>
        <w:vertAlign w:val="baseline"/>
      </w:rPr>
    </w:lvl>
    <w:lvl w:ilvl="4">
      <w:start w:val="1"/>
      <w:numFmt w:val="lowerLetter"/>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62D164F"/>
    <w:multiLevelType w:val="hybridMultilevel"/>
    <w:tmpl w:val="E4AC295A"/>
    <w:lvl w:ilvl="0" w:tplc="E512959C">
      <w:start w:val="1"/>
      <w:numFmt w:val="lowerRoman"/>
      <w:lvlText w:val="(%1)"/>
      <w:lvlJc w:val="left"/>
      <w:pPr>
        <w:ind w:left="1571" w:hanging="360"/>
      </w:pPr>
      <w:rPr>
        <w:rFonts w:cs="Times New Roman" w:hint="default"/>
        <w:b/>
        <w:sz w:val="20"/>
        <w:szCs w:val="20"/>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8"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3A5936A8"/>
    <w:multiLevelType w:val="multilevel"/>
    <w:tmpl w:val="38266FB8"/>
    <w:lvl w:ilvl="0">
      <w:start w:val="1"/>
      <w:numFmt w:val="upperRoman"/>
      <w:pStyle w:val="Estilo1"/>
      <w:suff w:val="nothing"/>
      <w:lvlText w:val="CLÁUSULA %1"/>
      <w:lvlJc w:val="left"/>
      <w:pPr>
        <w:ind w:left="0" w:firstLine="0"/>
      </w:pPr>
      <w:rPr>
        <w:rFonts w:hint="default"/>
        <w:b/>
        <w:i w:val="0"/>
        <w:sz w:val="20"/>
        <w:szCs w:val="20"/>
      </w:rPr>
    </w:lvl>
    <w:lvl w:ilvl="1">
      <w:start w:val="1"/>
      <w:numFmt w:val="decimal"/>
      <w:isLgl/>
      <w:lvlText w:val="%1.%2."/>
      <w:lvlJc w:val="left"/>
      <w:pPr>
        <w:tabs>
          <w:tab w:val="num" w:pos="1134"/>
        </w:tabs>
        <w:ind w:left="0" w:firstLine="0"/>
      </w:pPr>
      <w:rPr>
        <w:rFonts w:hint="default"/>
        <w:b w:val="0"/>
        <w:sz w:val="20"/>
        <w:szCs w:val="20"/>
      </w:rPr>
    </w:lvl>
    <w:lvl w:ilvl="2">
      <w:start w:val="1"/>
      <w:numFmt w:val="decimal"/>
      <w:isLgl/>
      <w:lvlText w:val="%1.%2.%3."/>
      <w:lvlJc w:val="left"/>
      <w:pPr>
        <w:tabs>
          <w:tab w:val="num" w:pos="1134"/>
        </w:tabs>
        <w:ind w:left="0" w:firstLine="0"/>
      </w:pPr>
      <w:rPr>
        <w:rFonts w:hint="default"/>
        <w:b w:val="0"/>
        <w:i w:val="0"/>
        <w:sz w:val="20"/>
        <w:szCs w:val="20"/>
      </w:rPr>
    </w:lvl>
    <w:lvl w:ilvl="3">
      <w:start w:val="1"/>
      <w:numFmt w:val="decimal"/>
      <w:isLgl/>
      <w:lvlText w:val="%1.%2.%3.%4."/>
      <w:lvlJc w:val="left"/>
      <w:pPr>
        <w:tabs>
          <w:tab w:val="num" w:pos="1134"/>
        </w:tabs>
        <w:ind w:left="0" w:firstLine="0"/>
      </w:pPr>
      <w:rPr>
        <w:rFonts w:hint="default"/>
        <w:b w:val="0"/>
        <w:i w:val="0"/>
      </w:rPr>
    </w:lvl>
    <w:lvl w:ilvl="4">
      <w:start w:val="1"/>
      <w:numFmt w:val="decimal"/>
      <w:isLgl/>
      <w:lvlText w:val="%1.%2.%3.%4.%5."/>
      <w:lvlJc w:val="left"/>
      <w:pPr>
        <w:tabs>
          <w:tab w:val="num" w:pos="1134"/>
        </w:tabs>
        <w:ind w:left="0" w:firstLine="0"/>
      </w:pPr>
      <w:rPr>
        <w:rFonts w:hint="default"/>
        <w:i w: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F7235EB"/>
    <w:multiLevelType w:val="multilevel"/>
    <w:tmpl w:val="3522E3DC"/>
    <w:lvl w:ilvl="0">
      <w:start w:val="4"/>
      <w:numFmt w:val="decimal"/>
      <w:lvlText w:val="%1"/>
      <w:lvlJc w:val="left"/>
      <w:pPr>
        <w:ind w:left="705" w:hanging="705"/>
      </w:pPr>
      <w:rPr>
        <w:rFonts w:hint="default"/>
      </w:rPr>
    </w:lvl>
    <w:lvl w:ilvl="1">
      <w:start w:val="21"/>
      <w:numFmt w:val="decimal"/>
      <w:lvlText w:val="%1.%2"/>
      <w:lvlJc w:val="left"/>
      <w:pPr>
        <w:ind w:left="931" w:hanging="705"/>
      </w:pPr>
      <w:rPr>
        <w:rFonts w:hint="default"/>
      </w:rPr>
    </w:lvl>
    <w:lvl w:ilvl="2">
      <w:start w:val="2"/>
      <w:numFmt w:val="decimal"/>
      <w:lvlText w:val="%1.%2.%3"/>
      <w:lvlJc w:val="left"/>
      <w:pPr>
        <w:ind w:left="1172" w:hanging="720"/>
      </w:pPr>
      <w:rPr>
        <w:rFonts w:hint="default"/>
      </w:rPr>
    </w:lvl>
    <w:lvl w:ilvl="3">
      <w:start w:val="1"/>
      <w:numFmt w:val="decimal"/>
      <w:lvlText w:val="%1.%2.%3.%4"/>
      <w:lvlJc w:val="left"/>
      <w:pPr>
        <w:ind w:left="1398" w:hanging="720"/>
      </w:pPr>
      <w:rPr>
        <w:rFonts w:hint="default"/>
        <w:b/>
      </w:rPr>
    </w:lvl>
    <w:lvl w:ilvl="4">
      <w:start w:val="1"/>
      <w:numFmt w:val="decimal"/>
      <w:lvlText w:val="%1.%2.%3.%4.%5"/>
      <w:lvlJc w:val="left"/>
      <w:pPr>
        <w:ind w:left="1984" w:hanging="1080"/>
      </w:pPr>
      <w:rPr>
        <w:rFonts w:hint="default"/>
      </w:rPr>
    </w:lvl>
    <w:lvl w:ilvl="5">
      <w:start w:val="1"/>
      <w:numFmt w:val="decimal"/>
      <w:lvlText w:val="%1.%2.%3.%4.%5.%6"/>
      <w:lvlJc w:val="left"/>
      <w:pPr>
        <w:ind w:left="2210" w:hanging="1080"/>
      </w:pPr>
      <w:rPr>
        <w:rFonts w:hint="default"/>
      </w:rPr>
    </w:lvl>
    <w:lvl w:ilvl="6">
      <w:start w:val="1"/>
      <w:numFmt w:val="decimal"/>
      <w:lvlText w:val="%1.%2.%3.%4.%5.%6.%7"/>
      <w:lvlJc w:val="left"/>
      <w:pPr>
        <w:ind w:left="2796" w:hanging="1440"/>
      </w:pPr>
      <w:rPr>
        <w:rFonts w:hint="default"/>
      </w:rPr>
    </w:lvl>
    <w:lvl w:ilvl="7">
      <w:start w:val="1"/>
      <w:numFmt w:val="decimal"/>
      <w:lvlText w:val="%1.%2.%3.%4.%5.%6.%7.%8"/>
      <w:lvlJc w:val="left"/>
      <w:pPr>
        <w:ind w:left="3022" w:hanging="1440"/>
      </w:pPr>
      <w:rPr>
        <w:rFonts w:hint="default"/>
      </w:rPr>
    </w:lvl>
    <w:lvl w:ilvl="8">
      <w:start w:val="1"/>
      <w:numFmt w:val="decimal"/>
      <w:lvlText w:val="%1.%2.%3.%4.%5.%6.%7.%8.%9"/>
      <w:lvlJc w:val="left"/>
      <w:pPr>
        <w:ind w:left="3608" w:hanging="1800"/>
      </w:pPr>
      <w:rPr>
        <w:rFonts w:hint="default"/>
      </w:rPr>
    </w:lvl>
  </w:abstractNum>
  <w:abstractNum w:abstractNumId="11" w15:restartNumberingAfterBreak="0">
    <w:nsid w:val="451F7FEE"/>
    <w:multiLevelType w:val="multilevel"/>
    <w:tmpl w:val="441C7240"/>
    <w:lvl w:ilvl="0">
      <w:start w:val="1"/>
      <w:numFmt w:val="decimal"/>
      <w:lvlRestart w:val="0"/>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lowerRoman"/>
      <w:lvlText w:val="(%4)"/>
      <w:lvlJc w:val="left"/>
      <w:pPr>
        <w:tabs>
          <w:tab w:val="num" w:pos="3941"/>
        </w:tabs>
        <w:ind w:left="3941" w:hanging="680"/>
      </w:pPr>
      <w:rPr>
        <w:rFonts w:ascii="Verdana" w:eastAsia="Times New Roman" w:hAnsi="Verdana" w:cs="Times New Roman" w:hint="default"/>
        <w:b/>
        <w:i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84D0628"/>
    <w:multiLevelType w:val="multilevel"/>
    <w:tmpl w:val="59DCBF72"/>
    <w:lvl w:ilvl="0">
      <w:start w:val="1"/>
      <w:numFmt w:val="decimal"/>
      <w:lvlRestart w:val="0"/>
      <w:pStyle w:val="Level1"/>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pStyle w:val="Level2"/>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pStyle w:val="Level3"/>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decimal"/>
      <w:pStyle w:val="Level4"/>
      <w:lvlText w:val="4.22.1.%4"/>
      <w:lvlJc w:val="left"/>
      <w:pPr>
        <w:tabs>
          <w:tab w:val="num" w:pos="3941"/>
        </w:tabs>
        <w:ind w:left="3941" w:hanging="680"/>
      </w:pPr>
      <w:rPr>
        <w:rFonts w:ascii="Verdana" w:hAnsi="Verdana" w:cs="Arial" w:hint="default"/>
        <w:b/>
        <w:i w:val="0"/>
        <w:caps w:val="0"/>
        <w:strike w:val="0"/>
        <w:dstrike w:val="0"/>
        <w:vanish w:val="0"/>
        <w:color w:val="000000"/>
        <w:sz w:val="20"/>
        <w:vertAlign w:val="baseline"/>
      </w:rPr>
    </w:lvl>
    <w:lvl w:ilvl="4">
      <w:start w:val="1"/>
      <w:numFmt w:val="lowerLetter"/>
      <w:pStyle w:val="Level5"/>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C3D004D"/>
    <w:multiLevelType w:val="multilevel"/>
    <w:tmpl w:val="53762E88"/>
    <w:lvl w:ilvl="0">
      <w:start w:val="1"/>
      <w:numFmt w:val="decimal"/>
      <w:lvlRestart w:val="0"/>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lowerRoman"/>
      <w:lvlText w:val="(%4)"/>
      <w:lvlJc w:val="left"/>
      <w:pPr>
        <w:tabs>
          <w:tab w:val="num" w:pos="3941"/>
        </w:tabs>
        <w:ind w:left="3941" w:hanging="680"/>
      </w:pPr>
      <w:rPr>
        <w:rFonts w:cs="Times New Roman" w:hint="default"/>
        <w:b/>
        <w:i w:val="0"/>
        <w:caps w:val="0"/>
        <w:strike w:val="0"/>
        <w:dstrike w:val="0"/>
        <w:vanish w:val="0"/>
        <w:color w:val="000000"/>
        <w:sz w:val="20"/>
        <w:szCs w:val="20"/>
        <w:vertAlign w:val="baseline"/>
      </w:rPr>
    </w:lvl>
    <w:lvl w:ilvl="4">
      <w:start w:val="1"/>
      <w:numFmt w:val="lowerLetter"/>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327F9E"/>
    <w:multiLevelType w:val="hybridMultilevel"/>
    <w:tmpl w:val="A52E4CC2"/>
    <w:lvl w:ilvl="0" w:tplc="9E78E85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9E78E854">
      <w:start w:val="1"/>
      <w:numFmt w:val="lowerLetter"/>
      <w:lvlText w:val="(%4)"/>
      <w:lvlJc w:val="left"/>
      <w:pPr>
        <w:ind w:left="2880" w:hanging="360"/>
      </w:pPr>
      <w:rPr>
        <w:rFonts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B1A5038"/>
    <w:multiLevelType w:val="hybridMultilevel"/>
    <w:tmpl w:val="E4AC295A"/>
    <w:lvl w:ilvl="0" w:tplc="E512959C">
      <w:start w:val="1"/>
      <w:numFmt w:val="lowerRoman"/>
      <w:lvlText w:val="(%1)"/>
      <w:lvlJc w:val="left"/>
      <w:pPr>
        <w:ind w:left="1571" w:hanging="360"/>
      </w:pPr>
      <w:rPr>
        <w:rFonts w:cs="Times New Roman" w:hint="default"/>
        <w:b/>
        <w:sz w:val="20"/>
        <w:szCs w:val="20"/>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6" w15:restartNumberingAfterBreak="0">
    <w:nsid w:val="651C2893"/>
    <w:multiLevelType w:val="multilevel"/>
    <w:tmpl w:val="4D3ED420"/>
    <w:lvl w:ilvl="0">
      <w:start w:val="4"/>
      <w:numFmt w:val="decimal"/>
      <w:lvlText w:val="%1"/>
      <w:lvlJc w:val="left"/>
      <w:pPr>
        <w:ind w:left="825" w:hanging="825"/>
      </w:pPr>
      <w:rPr>
        <w:rFonts w:hint="default"/>
      </w:rPr>
    </w:lvl>
    <w:lvl w:ilvl="1">
      <w:start w:val="23"/>
      <w:numFmt w:val="decimal"/>
      <w:lvlText w:val="%1.%2"/>
      <w:lvlJc w:val="left"/>
      <w:pPr>
        <w:ind w:left="1912" w:hanging="825"/>
      </w:pPr>
      <w:rPr>
        <w:rFonts w:hint="default"/>
      </w:rPr>
    </w:lvl>
    <w:lvl w:ilvl="2">
      <w:start w:val="1"/>
      <w:numFmt w:val="decimal"/>
      <w:lvlText w:val="%1.%2.%3"/>
      <w:lvlJc w:val="left"/>
      <w:pPr>
        <w:ind w:left="2999" w:hanging="825"/>
      </w:pPr>
      <w:rPr>
        <w:rFonts w:hint="default"/>
        <w:b/>
        <w:i w:val="0"/>
      </w:rPr>
    </w:lvl>
    <w:lvl w:ilvl="3">
      <w:start w:val="1"/>
      <w:numFmt w:val="decimal"/>
      <w:lvlText w:val="%1.%2.%3.%4"/>
      <w:lvlJc w:val="left"/>
      <w:pPr>
        <w:ind w:left="4341" w:hanging="1080"/>
      </w:pPr>
      <w:rPr>
        <w:rFonts w:hint="default"/>
        <w:b/>
        <w:i w:val="0"/>
      </w:rPr>
    </w:lvl>
    <w:lvl w:ilvl="4">
      <w:start w:val="1"/>
      <w:numFmt w:val="decimal"/>
      <w:lvlText w:val="%1.%2.%3.%4.%5"/>
      <w:lvlJc w:val="left"/>
      <w:pPr>
        <w:ind w:left="5788" w:hanging="1440"/>
      </w:pPr>
      <w:rPr>
        <w:rFonts w:hint="default"/>
      </w:rPr>
    </w:lvl>
    <w:lvl w:ilvl="5">
      <w:start w:val="1"/>
      <w:numFmt w:val="decimal"/>
      <w:lvlText w:val="%1.%2.%3.%4.%5.%6"/>
      <w:lvlJc w:val="left"/>
      <w:pPr>
        <w:ind w:left="6875" w:hanging="1440"/>
      </w:pPr>
      <w:rPr>
        <w:rFonts w:hint="default"/>
      </w:rPr>
    </w:lvl>
    <w:lvl w:ilvl="6">
      <w:start w:val="1"/>
      <w:numFmt w:val="decimal"/>
      <w:lvlText w:val="%1.%2.%3.%4.%5.%6.%7"/>
      <w:lvlJc w:val="left"/>
      <w:pPr>
        <w:ind w:left="8322" w:hanging="1800"/>
      </w:pPr>
      <w:rPr>
        <w:rFonts w:hint="default"/>
      </w:rPr>
    </w:lvl>
    <w:lvl w:ilvl="7">
      <w:start w:val="1"/>
      <w:numFmt w:val="decimal"/>
      <w:lvlText w:val="%1.%2.%3.%4.%5.%6.%7.%8"/>
      <w:lvlJc w:val="left"/>
      <w:pPr>
        <w:ind w:left="9769" w:hanging="2160"/>
      </w:pPr>
      <w:rPr>
        <w:rFonts w:hint="default"/>
      </w:rPr>
    </w:lvl>
    <w:lvl w:ilvl="8">
      <w:start w:val="1"/>
      <w:numFmt w:val="decimal"/>
      <w:lvlText w:val="%1.%2.%3.%4.%5.%6.%7.%8.%9"/>
      <w:lvlJc w:val="left"/>
      <w:pPr>
        <w:ind w:left="10856" w:hanging="2160"/>
      </w:pPr>
      <w:rPr>
        <w:rFonts w:hint="default"/>
      </w:rPr>
    </w:lvl>
  </w:abstractNum>
  <w:abstractNum w:abstractNumId="17" w15:restartNumberingAfterBreak="0">
    <w:nsid w:val="68D628E2"/>
    <w:multiLevelType w:val="multilevel"/>
    <w:tmpl w:val="FABA5C34"/>
    <w:name w:val="Bullets_House_Style"/>
    <w:lvl w:ilvl="0">
      <w:start w:val="1"/>
      <w:numFmt w:val="bullet"/>
      <w:lvlRestart w:val="0"/>
      <w:pStyle w:val="Bullet1"/>
      <w:lvlText w:val=""/>
      <w:lvlJc w:val="left"/>
      <w:pPr>
        <w:tabs>
          <w:tab w:val="num" w:pos="680"/>
        </w:tabs>
        <w:ind w:left="680" w:hanging="680"/>
      </w:pPr>
      <w:rPr>
        <w:rFonts w:ascii="Symbol" w:hAnsi="Symbol" w:hint="default"/>
        <w:b w:val="0"/>
        <w:caps w:val="0"/>
        <w:strike w:val="0"/>
        <w:dstrike w:val="0"/>
        <w:vanish w:val="0"/>
        <w:color w:val="000000"/>
        <w:sz w:val="20"/>
        <w:vertAlign w:val="baseline"/>
      </w:rPr>
    </w:lvl>
    <w:lvl w:ilvl="1">
      <w:start w:val="1"/>
      <w:numFmt w:val="bullet"/>
      <w:lvlRestart w:val="0"/>
      <w:pStyle w:val="Bullet2"/>
      <w:lvlText w:val=""/>
      <w:lvlJc w:val="left"/>
      <w:pPr>
        <w:tabs>
          <w:tab w:val="num" w:pos="680"/>
        </w:tabs>
        <w:ind w:left="680" w:hanging="680"/>
      </w:pPr>
      <w:rPr>
        <w:rFonts w:ascii="Symbol" w:hAnsi="Symbol" w:hint="default"/>
        <w:b w:val="0"/>
        <w:caps w:val="0"/>
        <w:strike w:val="0"/>
        <w:dstrike w:val="0"/>
        <w:vanish w:val="0"/>
        <w:color w:val="000000"/>
        <w:sz w:val="20"/>
        <w:vertAlign w:val="baseline"/>
      </w:rPr>
    </w:lvl>
    <w:lvl w:ilvl="2">
      <w:start w:val="1"/>
      <w:numFmt w:val="bullet"/>
      <w:lvlRestart w:val="0"/>
      <w:pStyle w:val="Bullet3"/>
      <w:lvlText w:val="o"/>
      <w:lvlJc w:val="left"/>
      <w:pPr>
        <w:tabs>
          <w:tab w:val="num" w:pos="680"/>
        </w:tabs>
        <w:ind w:left="680" w:hanging="680"/>
      </w:pPr>
      <w:rPr>
        <w:rFonts w:ascii="Symbol" w:hAnsi="Symbol" w:hint="default"/>
        <w:b w:val="0"/>
        <w:caps w:val="0"/>
        <w:strike w:val="0"/>
        <w:dstrike w:val="0"/>
        <w:vanish w:val="0"/>
        <w:color w:val="000000"/>
        <w:sz w:val="20"/>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0B467AA"/>
    <w:multiLevelType w:val="multilevel"/>
    <w:tmpl w:val="96387D48"/>
    <w:lvl w:ilvl="0">
      <w:start w:val="1"/>
      <w:numFmt w:val="decimal"/>
      <w:lvlText w:val="%1."/>
      <w:lvlJc w:val="left"/>
      <w:pPr>
        <w:ind w:left="360" w:hanging="360"/>
      </w:pPr>
      <w:rPr>
        <w:rFonts w:hint="default"/>
        <w:b/>
        <w:vanish/>
        <w:color w:val="FFFFFF"/>
      </w:rPr>
    </w:lvl>
    <w:lvl w:ilvl="1">
      <w:start w:val="1"/>
      <w:numFmt w:val="decimal"/>
      <w:lvlText w:val="%1.%2."/>
      <w:lvlJc w:val="left"/>
      <w:pPr>
        <w:ind w:left="0" w:firstLine="0"/>
      </w:pPr>
      <w:rPr>
        <w:rFonts w:hint="default"/>
        <w:b/>
      </w:rPr>
    </w:lvl>
    <w:lvl w:ilvl="2">
      <w:start w:val="1"/>
      <w:numFmt w:val="decimal"/>
      <w:lvlText w:val="%1.%2.%3."/>
      <w:lvlJc w:val="left"/>
      <w:pPr>
        <w:ind w:left="1224" w:hanging="504"/>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20" w15:restartNumberingAfterBreak="0">
    <w:nsid w:val="76E157C8"/>
    <w:multiLevelType w:val="multilevel"/>
    <w:tmpl w:val="BEE02B1E"/>
    <w:lvl w:ilvl="0">
      <w:start w:val="1"/>
      <w:numFmt w:val="decimal"/>
      <w:lvlRestart w:val="0"/>
      <w:pStyle w:val="Parties"/>
      <w:lvlText w:val="(%1)"/>
      <w:lvlJc w:val="left"/>
      <w:pPr>
        <w:tabs>
          <w:tab w:val="num" w:pos="680"/>
        </w:tabs>
        <w:ind w:left="680" w:hanging="680"/>
      </w:pPr>
      <w:rPr>
        <w:rFonts w:ascii="Verdana" w:hAnsi="Verdana" w:cs="Arial" w:hint="default"/>
        <w:b/>
        <w:i w:val="0"/>
        <w:caps w:val="0"/>
        <w:strike w:val="0"/>
        <w:dstrike w:val="0"/>
        <w:vanish w:val="0"/>
        <w:color w:val="000000"/>
        <w:sz w:val="20"/>
        <w:vertAlign w:val="baseline"/>
      </w:rPr>
    </w:lvl>
    <w:lvl w:ilvl="1">
      <w:start w:val="1"/>
      <w:numFmt w:val="upperLetter"/>
      <w:lvlRestart w:val="0"/>
      <w:pStyle w:val="Recitals"/>
      <w:lvlText w:val="(%2)"/>
      <w:lvlJc w:val="left"/>
      <w:pPr>
        <w:tabs>
          <w:tab w:val="num" w:pos="680"/>
        </w:tabs>
        <w:ind w:left="680" w:hanging="680"/>
      </w:pPr>
      <w:rPr>
        <w:rFonts w:ascii="Arial" w:hAnsi="Arial" w:cs="Arial"/>
        <w:b w:val="0"/>
        <w:i w:val="0"/>
        <w:caps w:val="0"/>
        <w:strike w:val="0"/>
        <w:dstrike w:val="0"/>
        <w:vanish w:val="0"/>
        <w:color w:val="000000"/>
        <w:sz w:val="20"/>
        <w:vertAlign w:val="baseline"/>
      </w:rPr>
    </w:lvl>
    <w:lvl w:ilvl="2">
      <w:start w:val="1"/>
      <w:numFmt w:val="decimal"/>
      <w:lvlRestart w:val="0"/>
      <w:pStyle w:val="Parties2"/>
      <w:lvlText w:val="(%3)"/>
      <w:lvlJc w:val="left"/>
      <w:pPr>
        <w:tabs>
          <w:tab w:val="num" w:pos="680"/>
        </w:tabs>
        <w:ind w:left="680" w:hanging="680"/>
      </w:pPr>
      <w:rPr>
        <w:rFonts w:ascii="Arial" w:hAnsi="Arial" w:cs="Arial"/>
        <w:b/>
        <w:i w:val="0"/>
        <w:caps w:val="0"/>
        <w:strike w:val="0"/>
        <w:dstrike w:val="0"/>
        <w:vanish w:val="0"/>
        <w:color w:val="000000"/>
        <w:sz w:val="20"/>
        <w:vertAlign w:val="baseline"/>
      </w:rPr>
    </w:lvl>
    <w:lvl w:ilvl="3">
      <w:start w:val="1"/>
      <w:numFmt w:val="upperLetter"/>
      <w:lvlRestart w:val="0"/>
      <w:pStyle w:val="Recitals2"/>
      <w:lvlText w:val="(%4)"/>
      <w:lvlJc w:val="left"/>
      <w:pPr>
        <w:tabs>
          <w:tab w:val="num" w:pos="680"/>
        </w:tabs>
        <w:ind w:left="680" w:hanging="680"/>
      </w:pPr>
      <w:rPr>
        <w:rFonts w:ascii="Arial" w:hAnsi="Arial" w:cs="Arial"/>
        <w:b w:val="0"/>
        <w:i w:val="0"/>
        <w:caps w:val="0"/>
        <w:strike w:val="0"/>
        <w:dstrike w:val="0"/>
        <w:vanish w:val="0"/>
        <w:color w:val="000000"/>
        <w:sz w:val="20"/>
        <w:vertAlign w:val="baseline"/>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rPr>
        <w:b/>
      </w:r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1" w15:restartNumberingAfterBreak="0">
    <w:nsid w:val="77B1048E"/>
    <w:multiLevelType w:val="hybridMultilevel"/>
    <w:tmpl w:val="DDBE7ADE"/>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2" w15:restartNumberingAfterBreak="0">
    <w:nsid w:val="78355D7B"/>
    <w:multiLevelType w:val="multilevel"/>
    <w:tmpl w:val="FD86C1B8"/>
    <w:name w:val="House_Style2"/>
    <w:lvl w:ilvl="0">
      <w:start w:val="1"/>
      <w:numFmt w:val="decimal"/>
      <w:lvlRestart w:val="0"/>
      <w:lvlText w:val="%1"/>
      <w:lvlJc w:val="left"/>
      <w:pPr>
        <w:tabs>
          <w:tab w:val="num" w:pos="680"/>
        </w:tabs>
        <w:ind w:left="680" w:hanging="680"/>
      </w:pPr>
      <w:rPr>
        <w:rFonts w:ascii="Arial" w:hAnsi="Arial" w:cs="Arial" w:hint="default"/>
        <w:b/>
        <w:caps w:val="0"/>
        <w:strike w:val="0"/>
        <w:dstrike w:val="0"/>
        <w:vanish w:val="0"/>
        <w:color w:val="000000"/>
        <w:sz w:val="22"/>
        <w:vertAlign w:val="baseline"/>
      </w:rPr>
    </w:lvl>
    <w:lvl w:ilvl="1">
      <w:start w:val="1"/>
      <w:numFmt w:val="decimal"/>
      <w:lvlText w:val="%1.%2"/>
      <w:lvlJc w:val="left"/>
      <w:pPr>
        <w:tabs>
          <w:tab w:val="num" w:pos="680"/>
        </w:tabs>
        <w:ind w:left="680" w:hanging="680"/>
      </w:pPr>
      <w:rPr>
        <w:rFonts w:ascii="Arial" w:hAnsi="Arial" w:cs="Arial" w:hint="default"/>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E3748DF"/>
    <w:multiLevelType w:val="multilevel"/>
    <w:tmpl w:val="8188DEC4"/>
    <w:name w:val="House_Style"/>
    <w:lvl w:ilvl="0">
      <w:start w:val="1"/>
      <w:numFmt w:val="decimal"/>
      <w:lvlRestart w:val="0"/>
      <w:lvlText w:val="%1"/>
      <w:lvlJc w:val="left"/>
      <w:pPr>
        <w:tabs>
          <w:tab w:val="num" w:pos="680"/>
        </w:tabs>
        <w:ind w:left="680" w:hanging="680"/>
      </w:pPr>
      <w:rPr>
        <w:rFonts w:ascii="Arial" w:hAnsi="Arial" w:cs="Arial"/>
        <w:b/>
        <w:caps w:val="0"/>
        <w:strike w:val="0"/>
        <w:dstrike w:val="0"/>
        <w:vanish w:val="0"/>
        <w:color w:val="000000"/>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i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lowerRoman"/>
      <w:lvlText w:val="(%6)"/>
      <w:lvlJc w:val="left"/>
      <w:pPr>
        <w:tabs>
          <w:tab w:val="num" w:pos="3402"/>
        </w:tabs>
        <w:ind w:left="3402" w:hanging="681"/>
      </w:pPr>
      <w:rPr>
        <w:rFonts w:hint="default"/>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F98417E"/>
    <w:multiLevelType w:val="multilevel"/>
    <w:tmpl w:val="22D6D71E"/>
    <w:lvl w:ilvl="0">
      <w:start w:val="1"/>
      <w:numFmt w:val="decimal"/>
      <w:lvlRestart w:val="0"/>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1">
      <w:start w:val="1"/>
      <w:numFmt w:val="decimal"/>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 w:ilvl="3">
      <w:start w:val="1"/>
      <w:numFmt w:val="lowerRoman"/>
      <w:lvlText w:val="(%4)"/>
      <w:lvlJc w:val="left"/>
      <w:pPr>
        <w:tabs>
          <w:tab w:val="num" w:pos="3941"/>
        </w:tabs>
        <w:ind w:left="3941" w:hanging="680"/>
      </w:pPr>
      <w:rPr>
        <w:rFonts w:cs="Tahoma" w:hint="default"/>
        <w:b/>
        <w:i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2"/>
  </w:num>
  <w:num w:numId="2">
    <w:abstractNumId w:val="4"/>
  </w:num>
  <w:num w:numId="3">
    <w:abstractNumId w:val="20"/>
  </w:num>
  <w:num w:numId="4">
    <w:abstractNumId w:val="19"/>
  </w:num>
  <w:num w:numId="5">
    <w:abstractNumId w:val="8"/>
  </w:num>
  <w:num w:numId="6">
    <w:abstractNumId w:val="17"/>
  </w:num>
  <w:num w:numId="7">
    <w:abstractNumId w:val="14"/>
  </w:num>
  <w:num w:numId="8">
    <w:abstractNumId w:val="21"/>
  </w:num>
  <w:num w:numId="9">
    <w:abstractNumId w:val="12"/>
    <w:lvlOverride w:ilvl="0">
      <w:lvl w:ilvl="0">
        <w:start w:val="1"/>
        <w:numFmt w:val="decimal"/>
        <w:lvlRestart w:val="0"/>
        <w:pStyle w:val="Level1"/>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Override>
    <w:lvlOverride w:ilvl="1">
      <w:lvl w:ilvl="1">
        <w:start w:val="1"/>
        <w:numFmt w:val="decimal"/>
        <w:pStyle w:val="Level2"/>
        <w:lvlText w:val="%1.%2"/>
        <w:lvlJc w:val="left"/>
        <w:pPr>
          <w:tabs>
            <w:tab w:val="num" w:pos="1390"/>
          </w:tabs>
          <w:ind w:left="1390" w:hanging="680"/>
        </w:pPr>
        <w:rPr>
          <w:rFonts w:ascii="Verdana" w:hAnsi="Verdana" w:cs="Arial" w:hint="default"/>
          <w:b/>
          <w:i w:val="0"/>
          <w:caps w:val="0"/>
          <w:strike w:val="0"/>
          <w:dstrike w:val="0"/>
          <w:vanish w:val="0"/>
          <w:color w:val="000000"/>
          <w:sz w:val="20"/>
          <w:szCs w:val="20"/>
          <w:vertAlign w:val="baseline"/>
        </w:rPr>
      </w:lvl>
    </w:lvlOverride>
    <w:lvlOverride w:ilvl="2">
      <w:lvl w:ilvl="2">
        <w:start w:val="1"/>
        <w:numFmt w:val="decimal"/>
        <w:pStyle w:val="Level3"/>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Override>
    <w:lvlOverride w:ilvl="3">
      <w:lvl w:ilvl="3">
        <w:start w:val="1"/>
        <w:numFmt w:val="decimal"/>
        <w:pStyle w:val="Level4"/>
        <w:lvlText w:val="5.1.1.%4"/>
        <w:lvlJc w:val="left"/>
        <w:pPr>
          <w:tabs>
            <w:tab w:val="num" w:pos="3941"/>
          </w:tabs>
          <w:ind w:left="3941" w:hanging="680"/>
        </w:pPr>
        <w:rPr>
          <w:rFonts w:ascii="Verdana" w:hAnsi="Verdana" w:cs="Arial" w:hint="default"/>
          <w:b/>
          <w:i w:val="0"/>
          <w:caps w:val="0"/>
          <w:strike w:val="0"/>
          <w:dstrike w:val="0"/>
          <w:vanish w:val="0"/>
          <w:color w:val="000000"/>
          <w:sz w:val="20"/>
          <w:vertAlign w:val="baseline"/>
        </w:rPr>
      </w:lvl>
    </w:lvlOverride>
    <w:lvlOverride w:ilvl="4">
      <w:lvl w:ilvl="4">
        <w:start w:val="1"/>
        <w:numFmt w:val="lowerLetter"/>
        <w:pStyle w:val="Level5"/>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Override>
    <w:lvlOverride w:ilvl="5">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abstractNumId w:val="5"/>
  </w:num>
  <w:num w:numId="11">
    <w:abstractNumId w:val="1"/>
  </w:num>
  <w:num w:numId="12">
    <w:abstractNumId w:val="11"/>
  </w:num>
  <w:num w:numId="13">
    <w:abstractNumId w:val="7"/>
  </w:num>
  <w:num w:numId="14">
    <w:abstractNumId w:val="2"/>
  </w:num>
  <w:num w:numId="15">
    <w:abstractNumId w:val="15"/>
  </w:num>
  <w:num w:numId="16">
    <w:abstractNumId w:val="3"/>
  </w:num>
  <w:num w:numId="17">
    <w:abstractNumId w:val="6"/>
  </w:num>
  <w:num w:numId="18">
    <w:abstractNumId w:val="13"/>
  </w:num>
  <w:num w:numId="19">
    <w:abstractNumId w:val="0"/>
  </w:num>
  <w:num w:numId="20">
    <w:abstractNumId w:val="9"/>
  </w:num>
  <w:num w:numId="21">
    <w:abstractNumId w:val="16"/>
  </w:num>
  <w:num w:numId="22">
    <w:abstractNumId w:val="12"/>
    <w:lvlOverride w:ilvl="0">
      <w:lvl w:ilvl="0">
        <w:start w:val="1"/>
        <w:numFmt w:val="decimal"/>
        <w:lvlRestart w:val="0"/>
        <w:pStyle w:val="Level1"/>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Override>
    <w:lvlOverride w:ilvl="1">
      <w:lvl w:ilvl="1">
        <w:start w:val="1"/>
        <w:numFmt w:val="decimal"/>
        <w:pStyle w:val="Level2"/>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Override>
    <w:lvlOverride w:ilvl="2">
      <w:lvl w:ilvl="2">
        <w:start w:val="1"/>
        <w:numFmt w:val="decimal"/>
        <w:pStyle w:val="Level3"/>
        <w:lvlText w:val="%1.%2.2.1"/>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Override>
    <w:lvlOverride w:ilvl="3">
      <w:lvl w:ilvl="3">
        <w:start w:val="1"/>
        <w:numFmt w:val="decimal"/>
        <w:pStyle w:val="Level4"/>
        <w:lvlText w:val="4.22.1.%4"/>
        <w:lvlJc w:val="left"/>
        <w:pPr>
          <w:tabs>
            <w:tab w:val="num" w:pos="3941"/>
          </w:tabs>
          <w:ind w:left="3941" w:hanging="680"/>
        </w:pPr>
        <w:rPr>
          <w:rFonts w:ascii="Verdana" w:hAnsi="Verdana" w:cs="Arial" w:hint="default"/>
          <w:b/>
          <w:i w:val="0"/>
          <w:caps w:val="0"/>
          <w:strike w:val="0"/>
          <w:dstrike w:val="0"/>
          <w:vanish w:val="0"/>
          <w:color w:val="000000"/>
          <w:sz w:val="20"/>
          <w:vertAlign w:val="baseline"/>
        </w:rPr>
      </w:lvl>
    </w:lvlOverride>
    <w:lvlOverride w:ilvl="4">
      <w:lvl w:ilvl="4">
        <w:start w:val="1"/>
        <w:numFmt w:val="lowerLetter"/>
        <w:pStyle w:val="Level5"/>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Override>
    <w:lvlOverride w:ilvl="5">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abstractNumId w:val="12"/>
    <w:lvlOverride w:ilvl="0">
      <w:startOverride w:val="1"/>
      <w:lvl w:ilvl="0">
        <w:start w:val="1"/>
        <w:numFmt w:val="decimal"/>
        <w:lvlRestart w:val="0"/>
        <w:pStyle w:val="Level1"/>
        <w:lvlText w:val="%1"/>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Override>
    <w:lvlOverride w:ilvl="1">
      <w:startOverride w:val="1"/>
      <w:lvl w:ilvl="1">
        <w:start w:val="1"/>
        <w:numFmt w:val="decimal"/>
        <w:pStyle w:val="Level2"/>
        <w:lvlText w:val="%1.%2"/>
        <w:lvlJc w:val="left"/>
        <w:pPr>
          <w:tabs>
            <w:tab w:val="num" w:pos="680"/>
          </w:tabs>
          <w:ind w:left="680" w:hanging="680"/>
        </w:pPr>
        <w:rPr>
          <w:rFonts w:ascii="Verdana" w:hAnsi="Verdana" w:cs="Arial" w:hint="default"/>
          <w:b/>
          <w:i w:val="0"/>
          <w:caps w:val="0"/>
          <w:strike w:val="0"/>
          <w:dstrike w:val="0"/>
          <w:vanish w:val="0"/>
          <w:color w:val="000000"/>
          <w:sz w:val="20"/>
          <w:szCs w:val="20"/>
          <w:vertAlign w:val="baseline"/>
        </w:rPr>
      </w:lvl>
    </w:lvlOverride>
    <w:lvlOverride w:ilvl="2">
      <w:startOverride w:val="1"/>
      <w:lvl w:ilvl="2">
        <w:start w:val="1"/>
        <w:numFmt w:val="decimal"/>
        <w:pStyle w:val="Level3"/>
        <w:lvlText w:val="%1.%2.%3"/>
        <w:lvlJc w:val="left"/>
        <w:pPr>
          <w:tabs>
            <w:tab w:val="num" w:pos="1361"/>
          </w:tabs>
          <w:ind w:left="1361" w:hanging="681"/>
        </w:pPr>
        <w:rPr>
          <w:rFonts w:ascii="Verdana" w:hAnsi="Verdana" w:cs="Arial" w:hint="default"/>
          <w:b/>
          <w:i w:val="0"/>
          <w:caps w:val="0"/>
          <w:strike w:val="0"/>
          <w:dstrike w:val="0"/>
          <w:vanish w:val="0"/>
          <w:color w:val="000000"/>
          <w:sz w:val="20"/>
          <w:szCs w:val="20"/>
          <w:vertAlign w:val="baseline"/>
        </w:rPr>
      </w:lvl>
    </w:lvlOverride>
    <w:lvlOverride w:ilvl="3">
      <w:startOverride w:val="1"/>
      <w:lvl w:ilvl="3">
        <w:start w:val="1"/>
        <w:numFmt w:val="decimal"/>
        <w:pStyle w:val="Level4"/>
        <w:lvlText w:val="4.24.2.%4"/>
        <w:lvlJc w:val="left"/>
        <w:pPr>
          <w:tabs>
            <w:tab w:val="num" w:pos="3941"/>
          </w:tabs>
          <w:ind w:left="3941" w:hanging="680"/>
        </w:pPr>
        <w:rPr>
          <w:rFonts w:ascii="Verdana" w:hAnsi="Verdana" w:cs="Arial" w:hint="default"/>
          <w:b/>
          <w:i w:val="0"/>
          <w:caps w:val="0"/>
          <w:strike w:val="0"/>
          <w:dstrike w:val="0"/>
          <w:vanish w:val="0"/>
          <w:color w:val="000000"/>
          <w:sz w:val="20"/>
          <w:vertAlign w:val="baseline"/>
        </w:rPr>
      </w:lvl>
    </w:lvlOverride>
    <w:lvlOverride w:ilvl="4">
      <w:startOverride w:val="1"/>
      <w:lvl w:ilvl="4">
        <w:start w:val="1"/>
        <w:numFmt w:val="lowerLetter"/>
        <w:pStyle w:val="Level5"/>
        <w:lvlText w:val="(%5)"/>
        <w:lvlJc w:val="left"/>
        <w:pPr>
          <w:tabs>
            <w:tab w:val="num" w:pos="2721"/>
          </w:tabs>
          <w:ind w:left="2721" w:hanging="680"/>
        </w:pPr>
        <w:rPr>
          <w:rFonts w:ascii="Verdana" w:hAnsi="Verdana" w:cs="Arial" w:hint="default"/>
          <w:b w:val="0"/>
          <w:i w:val="0"/>
          <w:caps w:val="0"/>
          <w:strike w:val="0"/>
          <w:dstrike w:val="0"/>
          <w:vanish w:val="0"/>
          <w:color w:val="000000"/>
          <w:sz w:val="20"/>
          <w:szCs w:val="20"/>
          <w:vertAlign w:val="baseline"/>
        </w:rPr>
      </w:lvl>
    </w:lvlOverride>
    <w:lvlOverride w:ilvl="5">
      <w:startOverride w:val="1"/>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z w:val="20"/>
          <w:vertAlign w:val="baseline"/>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4">
    <w:abstractNumId w:val="10"/>
  </w:num>
  <w:num w:numId="25">
    <w:abstractNumId w:val="24"/>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num w:numId="41">
    <w:abstractNumId w:val="18"/>
  </w:num>
  <w:num w:numId="42">
    <w:abstractNumId w:val="12"/>
  </w:num>
  <w:num w:numId="43">
    <w:abstractNumId w:val="12"/>
  </w:num>
  <w:num w:numId="44">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activeWritingStyle w:appName="MSWord" w:lang="pt-BR" w:vendorID="64" w:dllVersion="0" w:nlCheck="1" w:checkStyle="0"/>
  <w:activeWritingStyle w:appName="MSWord" w:lang="en-US" w:vendorID="64" w:dllVersion="0" w:nlCheck="1" w:checkStyle="1"/>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s-ES" w:vendorID="64" w:dllVersion="6" w:nlCheck="1" w:checkStyle="1"/>
  <w:activeWritingStyle w:appName="MSWord" w:lang="es-ES" w:vendorID="64" w:dllVersion="0" w:nlCheck="1" w:checkStyle="0"/>
  <w:proofState w:spelling="clean" w:grammar="clean"/>
  <w:doNotTrackFormatting/>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867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B37"/>
    <w:rsid w:val="00021A2C"/>
    <w:rsid w:val="000267AD"/>
    <w:rsid w:val="00031650"/>
    <w:rsid w:val="00032593"/>
    <w:rsid w:val="000345D3"/>
    <w:rsid w:val="00042866"/>
    <w:rsid w:val="00063B0A"/>
    <w:rsid w:val="00066D3D"/>
    <w:rsid w:val="00086A3A"/>
    <w:rsid w:val="00093422"/>
    <w:rsid w:val="000A1065"/>
    <w:rsid w:val="000A2C19"/>
    <w:rsid w:val="000C4264"/>
    <w:rsid w:val="000D0A3C"/>
    <w:rsid w:val="000D7EB4"/>
    <w:rsid w:val="00101537"/>
    <w:rsid w:val="001015C0"/>
    <w:rsid w:val="00114135"/>
    <w:rsid w:val="00116EB3"/>
    <w:rsid w:val="00126245"/>
    <w:rsid w:val="00134EF8"/>
    <w:rsid w:val="0014767E"/>
    <w:rsid w:val="00195A77"/>
    <w:rsid w:val="001A4B81"/>
    <w:rsid w:val="001B3322"/>
    <w:rsid w:val="001B6258"/>
    <w:rsid w:val="001C0B79"/>
    <w:rsid w:val="001C1AB8"/>
    <w:rsid w:val="001D2D9C"/>
    <w:rsid w:val="001E53D6"/>
    <w:rsid w:val="00204B37"/>
    <w:rsid w:val="00231CEA"/>
    <w:rsid w:val="00236C99"/>
    <w:rsid w:val="00276757"/>
    <w:rsid w:val="00283DFA"/>
    <w:rsid w:val="0028504E"/>
    <w:rsid w:val="0029434A"/>
    <w:rsid w:val="002B7DBB"/>
    <w:rsid w:val="002C2E11"/>
    <w:rsid w:val="002C5B4B"/>
    <w:rsid w:val="002D079E"/>
    <w:rsid w:val="002D5EB4"/>
    <w:rsid w:val="002E0215"/>
    <w:rsid w:val="002E611F"/>
    <w:rsid w:val="002F5760"/>
    <w:rsid w:val="00302CF9"/>
    <w:rsid w:val="003561D9"/>
    <w:rsid w:val="003704EA"/>
    <w:rsid w:val="00372E04"/>
    <w:rsid w:val="00373A1B"/>
    <w:rsid w:val="003B14C6"/>
    <w:rsid w:val="003E3661"/>
    <w:rsid w:val="003E5CAD"/>
    <w:rsid w:val="003E5EDB"/>
    <w:rsid w:val="003F0399"/>
    <w:rsid w:val="004076E9"/>
    <w:rsid w:val="00412D9D"/>
    <w:rsid w:val="00416454"/>
    <w:rsid w:val="004219BA"/>
    <w:rsid w:val="0042368D"/>
    <w:rsid w:val="004264A5"/>
    <w:rsid w:val="00433ED3"/>
    <w:rsid w:val="00443E3C"/>
    <w:rsid w:val="00453010"/>
    <w:rsid w:val="00460AB0"/>
    <w:rsid w:val="004824B3"/>
    <w:rsid w:val="0048504F"/>
    <w:rsid w:val="004900A3"/>
    <w:rsid w:val="0049109E"/>
    <w:rsid w:val="004B60BE"/>
    <w:rsid w:val="004C1830"/>
    <w:rsid w:val="004D2F4F"/>
    <w:rsid w:val="004D5FB3"/>
    <w:rsid w:val="004E14E3"/>
    <w:rsid w:val="004F6D3E"/>
    <w:rsid w:val="00504D93"/>
    <w:rsid w:val="00507454"/>
    <w:rsid w:val="0051028E"/>
    <w:rsid w:val="005144D8"/>
    <w:rsid w:val="00531873"/>
    <w:rsid w:val="005324EB"/>
    <w:rsid w:val="005544FE"/>
    <w:rsid w:val="00561C42"/>
    <w:rsid w:val="00567A6B"/>
    <w:rsid w:val="005A32A0"/>
    <w:rsid w:val="005C3403"/>
    <w:rsid w:val="005D331A"/>
    <w:rsid w:val="005D6B0E"/>
    <w:rsid w:val="00615350"/>
    <w:rsid w:val="00642B4F"/>
    <w:rsid w:val="0064707C"/>
    <w:rsid w:val="00647B7A"/>
    <w:rsid w:val="00667DFC"/>
    <w:rsid w:val="00683FDF"/>
    <w:rsid w:val="006A3D53"/>
    <w:rsid w:val="006D39B8"/>
    <w:rsid w:val="006D6BA4"/>
    <w:rsid w:val="006E55D1"/>
    <w:rsid w:val="00706572"/>
    <w:rsid w:val="00712352"/>
    <w:rsid w:val="007261EF"/>
    <w:rsid w:val="007316FD"/>
    <w:rsid w:val="00743BD1"/>
    <w:rsid w:val="00751258"/>
    <w:rsid w:val="00766499"/>
    <w:rsid w:val="00775A3A"/>
    <w:rsid w:val="007A1AD1"/>
    <w:rsid w:val="007A4331"/>
    <w:rsid w:val="007A53DF"/>
    <w:rsid w:val="007C1383"/>
    <w:rsid w:val="007C52AA"/>
    <w:rsid w:val="007C6C92"/>
    <w:rsid w:val="007E16ED"/>
    <w:rsid w:val="007E1A5C"/>
    <w:rsid w:val="007E3396"/>
    <w:rsid w:val="007F18B7"/>
    <w:rsid w:val="007F38F1"/>
    <w:rsid w:val="00807D95"/>
    <w:rsid w:val="00815E63"/>
    <w:rsid w:val="0084605A"/>
    <w:rsid w:val="0087588D"/>
    <w:rsid w:val="00883D66"/>
    <w:rsid w:val="00886A8B"/>
    <w:rsid w:val="008931FF"/>
    <w:rsid w:val="00893530"/>
    <w:rsid w:val="008A6CED"/>
    <w:rsid w:val="008B3A33"/>
    <w:rsid w:val="008F67DD"/>
    <w:rsid w:val="009028FA"/>
    <w:rsid w:val="009059EE"/>
    <w:rsid w:val="00905C1F"/>
    <w:rsid w:val="009138E0"/>
    <w:rsid w:val="0092233F"/>
    <w:rsid w:val="009356E7"/>
    <w:rsid w:val="0093602A"/>
    <w:rsid w:val="009426A4"/>
    <w:rsid w:val="00943739"/>
    <w:rsid w:val="00945096"/>
    <w:rsid w:val="00961EDD"/>
    <w:rsid w:val="009755E8"/>
    <w:rsid w:val="00981D04"/>
    <w:rsid w:val="00986D71"/>
    <w:rsid w:val="00991536"/>
    <w:rsid w:val="009A38AA"/>
    <w:rsid w:val="009E2754"/>
    <w:rsid w:val="009F790E"/>
    <w:rsid w:val="00A1514F"/>
    <w:rsid w:val="00A41F55"/>
    <w:rsid w:val="00A44437"/>
    <w:rsid w:val="00A64F54"/>
    <w:rsid w:val="00A7031A"/>
    <w:rsid w:val="00A7055D"/>
    <w:rsid w:val="00A7490D"/>
    <w:rsid w:val="00A76F67"/>
    <w:rsid w:val="00A83A4D"/>
    <w:rsid w:val="00AA2BF3"/>
    <w:rsid w:val="00AB120B"/>
    <w:rsid w:val="00AC272D"/>
    <w:rsid w:val="00AD3DA5"/>
    <w:rsid w:val="00AF0781"/>
    <w:rsid w:val="00AF42FA"/>
    <w:rsid w:val="00B06E8B"/>
    <w:rsid w:val="00B147D1"/>
    <w:rsid w:val="00B26173"/>
    <w:rsid w:val="00B4658C"/>
    <w:rsid w:val="00B53594"/>
    <w:rsid w:val="00B54D53"/>
    <w:rsid w:val="00B64617"/>
    <w:rsid w:val="00B652D4"/>
    <w:rsid w:val="00B75EF1"/>
    <w:rsid w:val="00B956EB"/>
    <w:rsid w:val="00B97961"/>
    <w:rsid w:val="00BA13F5"/>
    <w:rsid w:val="00BA25EA"/>
    <w:rsid w:val="00BA73D6"/>
    <w:rsid w:val="00BA7721"/>
    <w:rsid w:val="00BB482B"/>
    <w:rsid w:val="00BE1D88"/>
    <w:rsid w:val="00BE473C"/>
    <w:rsid w:val="00C075B5"/>
    <w:rsid w:val="00C2159B"/>
    <w:rsid w:val="00C33D2A"/>
    <w:rsid w:val="00C37A35"/>
    <w:rsid w:val="00C42798"/>
    <w:rsid w:val="00C4578B"/>
    <w:rsid w:val="00C45A62"/>
    <w:rsid w:val="00C600A3"/>
    <w:rsid w:val="00C62FFE"/>
    <w:rsid w:val="00C72BC4"/>
    <w:rsid w:val="00C73B0F"/>
    <w:rsid w:val="00C74475"/>
    <w:rsid w:val="00C766ED"/>
    <w:rsid w:val="00C9184C"/>
    <w:rsid w:val="00CA2C6F"/>
    <w:rsid w:val="00CA2E15"/>
    <w:rsid w:val="00CA3BDF"/>
    <w:rsid w:val="00CB5924"/>
    <w:rsid w:val="00CC33D9"/>
    <w:rsid w:val="00CD3734"/>
    <w:rsid w:val="00CD6E30"/>
    <w:rsid w:val="00CD795E"/>
    <w:rsid w:val="00CE074A"/>
    <w:rsid w:val="00CE7BE4"/>
    <w:rsid w:val="00D04FEA"/>
    <w:rsid w:val="00D10279"/>
    <w:rsid w:val="00D11B34"/>
    <w:rsid w:val="00D16940"/>
    <w:rsid w:val="00D3389E"/>
    <w:rsid w:val="00D34BA9"/>
    <w:rsid w:val="00D4376E"/>
    <w:rsid w:val="00D44E2A"/>
    <w:rsid w:val="00D46BEA"/>
    <w:rsid w:val="00D71C4B"/>
    <w:rsid w:val="00D92FAB"/>
    <w:rsid w:val="00DA07A1"/>
    <w:rsid w:val="00DA1A3F"/>
    <w:rsid w:val="00DA5607"/>
    <w:rsid w:val="00E3253C"/>
    <w:rsid w:val="00E4022B"/>
    <w:rsid w:val="00E501F8"/>
    <w:rsid w:val="00E61E03"/>
    <w:rsid w:val="00E62A1C"/>
    <w:rsid w:val="00E71A9F"/>
    <w:rsid w:val="00E84A46"/>
    <w:rsid w:val="00E877CC"/>
    <w:rsid w:val="00EA2FF1"/>
    <w:rsid w:val="00EA7771"/>
    <w:rsid w:val="00EB0230"/>
    <w:rsid w:val="00EB5E92"/>
    <w:rsid w:val="00EB6057"/>
    <w:rsid w:val="00ED59A0"/>
    <w:rsid w:val="00EE2A94"/>
    <w:rsid w:val="00EE393C"/>
    <w:rsid w:val="00EE63CE"/>
    <w:rsid w:val="00EE6784"/>
    <w:rsid w:val="00EF1759"/>
    <w:rsid w:val="00EF5B9B"/>
    <w:rsid w:val="00F02667"/>
    <w:rsid w:val="00F14CFA"/>
    <w:rsid w:val="00F17786"/>
    <w:rsid w:val="00F35A06"/>
    <w:rsid w:val="00F35A3B"/>
    <w:rsid w:val="00F40DF0"/>
    <w:rsid w:val="00F53255"/>
    <w:rsid w:val="00F56B65"/>
    <w:rsid w:val="00F72381"/>
    <w:rsid w:val="00F73769"/>
    <w:rsid w:val="00F74141"/>
    <w:rsid w:val="00F9059F"/>
    <w:rsid w:val="00FC4C38"/>
    <w:rsid w:val="00FD0F4B"/>
    <w:rsid w:val="00FE324D"/>
    <w:rsid w:val="00FE5E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8673"/>
    <o:shapelayout v:ext="edit">
      <o:idmap v:ext="edit" data="1"/>
    </o:shapelayout>
  </w:shapeDefaults>
  <w:decimalSymbol w:val=","/>
  <w:listSeparator w:val=";"/>
  <w14:docId w14:val="0E38863A"/>
  <w14:defaultImageDpi w14:val="96"/>
  <w15:docId w15:val="{993845F6-EC0A-4A48-A6B0-8A8A7782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paragraph" w:styleId="Ttulo1">
    <w:name w:val="heading 1"/>
    <w:basedOn w:val="Normal"/>
    <w:next w:val="Normal"/>
    <w:link w:val="Ttulo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qFormat/>
    <w:pPr>
      <w:keepNext/>
      <w:spacing w:after="120" w:line="240" w:lineRule="auto"/>
      <w:ind w:right="227"/>
      <w:jc w:val="center"/>
      <w:outlineLvl w:val="4"/>
    </w:pPr>
    <w:rPr>
      <w:rFonts w:ascii="Times New Roman" w:eastAsia="MS Mincho" w:hAnsi="Times New Roman"/>
      <w:sz w:val="24"/>
      <w:szCs w:val="20"/>
    </w:rPr>
  </w:style>
  <w:style w:type="paragraph" w:styleId="Ttulo6">
    <w:name w:val="heading 6"/>
    <w:basedOn w:val="Normal"/>
    <w:next w:val="Normal"/>
    <w:link w:val="Ttulo6Char"/>
    <w:qFormat/>
    <w:pPr>
      <w:keepNext/>
      <w:spacing w:after="0" w:line="320" w:lineRule="exact"/>
      <w:jc w:val="both"/>
      <w:outlineLvl w:val="5"/>
    </w:pPr>
    <w:rPr>
      <w:rFonts w:ascii="Times New Roman" w:eastAsia="MS Mincho" w:hAnsi="Times New Roman"/>
      <w:sz w:val="26"/>
      <w:szCs w:val="20"/>
    </w:rPr>
  </w:style>
  <w:style w:type="paragraph" w:styleId="Ttulo7">
    <w:name w:val="heading 7"/>
    <w:basedOn w:val="Normal"/>
    <w:next w:val="Normal"/>
    <w:link w:val="Ttulo7Char"/>
    <w:qFormat/>
    <w:pPr>
      <w:keepNext/>
      <w:spacing w:after="120" w:line="240" w:lineRule="auto"/>
      <w:ind w:right="227"/>
      <w:jc w:val="right"/>
      <w:outlineLvl w:val="6"/>
    </w:pPr>
    <w:rPr>
      <w:rFonts w:ascii="Times New Roman" w:eastAsia="MS Mincho" w:hAnsi="Times New Roman"/>
      <w:sz w:val="24"/>
      <w:szCs w:val="20"/>
    </w:rPr>
  </w:style>
  <w:style w:type="paragraph" w:styleId="Ttulo8">
    <w:name w:val="heading 8"/>
    <w:basedOn w:val="Normal"/>
    <w:next w:val="Normal"/>
    <w:link w:val="Ttulo8Char"/>
    <w:qFormat/>
    <w:pPr>
      <w:keepNext/>
      <w:spacing w:after="0" w:line="300" w:lineRule="exact"/>
      <w:ind w:right="18"/>
      <w:jc w:val="both"/>
      <w:outlineLvl w:val="7"/>
    </w:pPr>
    <w:rPr>
      <w:rFonts w:ascii="Times New Roman" w:eastAsia="MS Mincho" w:hAnsi="Times New Roman"/>
      <w:sz w:val="24"/>
      <w:szCs w:val="20"/>
    </w:rPr>
  </w:style>
  <w:style w:type="paragraph" w:styleId="Ttulo9">
    <w:name w:val="heading 9"/>
    <w:basedOn w:val="Normal"/>
    <w:next w:val="Normal"/>
    <w:link w:val="Ttulo9Char"/>
    <w:qFormat/>
    <w:pPr>
      <w:keepNext/>
      <w:spacing w:after="0" w:line="240" w:lineRule="auto"/>
      <w:jc w:val="center"/>
      <w:outlineLvl w:val="8"/>
    </w:pPr>
    <w:rPr>
      <w:rFonts w:ascii="Times New Roman" w:eastAsia="MS Mincho" w:hAnsi="Times New Roman"/>
      <w:color w:val="000000"/>
      <w:kern w:val="16"/>
      <w:sz w:val="24"/>
      <w:szCs w:val="2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pPr>
      <w:widowControl w:val="0"/>
      <w:autoSpaceDE w:val="0"/>
      <w:autoSpaceDN w:val="0"/>
      <w:adjustRightInd w:val="0"/>
    </w:pPr>
    <w:rPr>
      <w:rFonts w:ascii="Times" w:hAnsi="Times" w:cs="Times"/>
      <w:color w:val="000000"/>
      <w:sz w:val="24"/>
      <w:szCs w:val="24"/>
    </w:rPr>
  </w:style>
  <w:style w:type="paragraph" w:customStyle="1" w:styleId="CM1">
    <w:name w:val="CM1"/>
    <w:basedOn w:val="Default"/>
    <w:next w:val="Default"/>
    <w:uiPriority w:val="99"/>
    <w:pPr>
      <w:spacing w:line="300" w:lineRule="atLeast"/>
      <w:jc w:val="both"/>
    </w:pPr>
    <w:rPr>
      <w:rFonts w:ascii="Times New Roman" w:hAnsi="Times New Roman"/>
      <w:color w:val="auto"/>
      <w:sz w:val="22"/>
    </w:rPr>
  </w:style>
  <w:style w:type="paragraph" w:customStyle="1" w:styleId="CM13">
    <w:name w:val="CM13"/>
    <w:basedOn w:val="Default"/>
    <w:next w:val="Default"/>
    <w:uiPriority w:val="99"/>
    <w:rPr>
      <w:color w:val="auto"/>
    </w:rPr>
  </w:style>
  <w:style w:type="paragraph" w:customStyle="1" w:styleId="CM2">
    <w:name w:val="CM2"/>
    <w:basedOn w:val="Default"/>
    <w:next w:val="Default"/>
    <w:uiPriority w:val="99"/>
    <w:rPr>
      <w:color w:val="auto"/>
    </w:rPr>
  </w:style>
  <w:style w:type="paragraph" w:customStyle="1" w:styleId="CM14">
    <w:name w:val="CM14"/>
    <w:basedOn w:val="Default"/>
    <w:next w:val="Default"/>
    <w:uiPriority w:val="99"/>
    <w:rPr>
      <w:color w:val="auto"/>
    </w:rPr>
  </w:style>
  <w:style w:type="paragraph" w:customStyle="1" w:styleId="CM15">
    <w:name w:val="CM15"/>
    <w:basedOn w:val="Default"/>
    <w:next w:val="Default"/>
    <w:uiPriority w:val="99"/>
    <w:rPr>
      <w:color w:val="auto"/>
    </w:rPr>
  </w:style>
  <w:style w:type="paragraph" w:customStyle="1" w:styleId="CM3">
    <w:name w:val="CM3"/>
    <w:basedOn w:val="Default"/>
    <w:next w:val="Default"/>
    <w:uiPriority w:val="99"/>
    <w:pPr>
      <w:spacing w:line="348" w:lineRule="atLeast"/>
    </w:pPr>
    <w:rPr>
      <w:color w:val="auto"/>
    </w:rPr>
  </w:style>
  <w:style w:type="paragraph" w:customStyle="1" w:styleId="CM16">
    <w:name w:val="CM16"/>
    <w:basedOn w:val="Default"/>
    <w:next w:val="Default"/>
    <w:uiPriority w:val="99"/>
    <w:rPr>
      <w:color w:val="auto"/>
    </w:rPr>
  </w:style>
  <w:style w:type="paragraph" w:customStyle="1" w:styleId="CM17">
    <w:name w:val="CM17"/>
    <w:basedOn w:val="Default"/>
    <w:next w:val="Default"/>
    <w:uiPriority w:val="99"/>
    <w:rPr>
      <w:color w:val="auto"/>
    </w:rPr>
  </w:style>
  <w:style w:type="paragraph" w:customStyle="1" w:styleId="CM18">
    <w:name w:val="CM18"/>
    <w:basedOn w:val="Default"/>
    <w:next w:val="Default"/>
    <w:uiPriority w:val="99"/>
    <w:rPr>
      <w:color w:val="auto"/>
    </w:rPr>
  </w:style>
  <w:style w:type="paragraph" w:customStyle="1" w:styleId="CM20">
    <w:name w:val="CM20"/>
    <w:basedOn w:val="Default"/>
    <w:next w:val="Default"/>
    <w:uiPriority w:val="99"/>
    <w:rPr>
      <w:color w:val="auto"/>
    </w:rPr>
  </w:style>
  <w:style w:type="paragraph" w:customStyle="1" w:styleId="CM4">
    <w:name w:val="CM4"/>
    <w:basedOn w:val="Default"/>
    <w:next w:val="Default"/>
    <w:uiPriority w:val="99"/>
    <w:rPr>
      <w:color w:val="auto"/>
    </w:rPr>
  </w:style>
  <w:style w:type="paragraph" w:customStyle="1" w:styleId="CM5">
    <w:name w:val="CM5"/>
    <w:basedOn w:val="Default"/>
    <w:next w:val="Default"/>
    <w:uiPriority w:val="99"/>
    <w:pPr>
      <w:spacing w:line="351" w:lineRule="atLeast"/>
    </w:pPr>
    <w:rPr>
      <w:color w:val="auto"/>
    </w:rPr>
  </w:style>
  <w:style w:type="paragraph" w:customStyle="1" w:styleId="CM24">
    <w:name w:val="CM24"/>
    <w:basedOn w:val="Default"/>
    <w:next w:val="Default"/>
    <w:uiPriority w:val="99"/>
    <w:rPr>
      <w:color w:val="auto"/>
    </w:rPr>
  </w:style>
  <w:style w:type="paragraph" w:customStyle="1" w:styleId="CM26">
    <w:name w:val="CM26"/>
    <w:basedOn w:val="Default"/>
    <w:next w:val="Default"/>
    <w:uiPriority w:val="99"/>
    <w:rPr>
      <w:color w:val="auto"/>
    </w:rPr>
  </w:style>
  <w:style w:type="paragraph" w:customStyle="1" w:styleId="CM27">
    <w:name w:val="CM27"/>
    <w:basedOn w:val="Default"/>
    <w:next w:val="Default"/>
    <w:uiPriority w:val="99"/>
    <w:rPr>
      <w:color w:val="auto"/>
    </w:rPr>
  </w:style>
  <w:style w:type="paragraph" w:customStyle="1" w:styleId="CM28">
    <w:name w:val="CM28"/>
    <w:basedOn w:val="Default"/>
    <w:next w:val="Default"/>
    <w:uiPriority w:val="99"/>
    <w:rPr>
      <w:color w:val="auto"/>
    </w:rPr>
  </w:style>
  <w:style w:type="paragraph" w:customStyle="1" w:styleId="CM29">
    <w:name w:val="CM29"/>
    <w:basedOn w:val="Default"/>
    <w:next w:val="Default"/>
    <w:uiPriority w:val="99"/>
    <w:rPr>
      <w:color w:val="auto"/>
    </w:rPr>
  </w:style>
  <w:style w:type="paragraph" w:customStyle="1" w:styleId="CM30">
    <w:name w:val="CM30"/>
    <w:basedOn w:val="Default"/>
    <w:next w:val="Default"/>
    <w:uiPriority w:val="99"/>
    <w:rPr>
      <w:color w:val="auto"/>
    </w:rPr>
  </w:style>
  <w:style w:type="paragraph" w:customStyle="1" w:styleId="CM25">
    <w:name w:val="CM25"/>
    <w:basedOn w:val="Default"/>
    <w:next w:val="Default"/>
    <w:uiPriority w:val="99"/>
    <w:rPr>
      <w:color w:val="auto"/>
    </w:rPr>
  </w:style>
  <w:style w:type="paragraph" w:customStyle="1" w:styleId="CM6">
    <w:name w:val="CM6"/>
    <w:basedOn w:val="Default"/>
    <w:next w:val="Default"/>
    <w:uiPriority w:val="99"/>
    <w:pPr>
      <w:spacing w:line="351" w:lineRule="atLeast"/>
    </w:pPr>
    <w:rPr>
      <w:color w:val="auto"/>
    </w:rPr>
  </w:style>
  <w:style w:type="paragraph" w:customStyle="1" w:styleId="CM7">
    <w:name w:val="CM7"/>
    <w:basedOn w:val="Default"/>
    <w:next w:val="Default"/>
    <w:uiPriority w:val="99"/>
    <w:rPr>
      <w:color w:val="auto"/>
    </w:rPr>
  </w:style>
  <w:style w:type="paragraph" w:customStyle="1" w:styleId="CM8">
    <w:name w:val="CM8"/>
    <w:basedOn w:val="Default"/>
    <w:next w:val="Default"/>
    <w:uiPriority w:val="99"/>
    <w:pPr>
      <w:spacing w:line="346" w:lineRule="atLeast"/>
    </w:pPr>
    <w:rPr>
      <w:color w:val="auto"/>
    </w:rPr>
  </w:style>
  <w:style w:type="paragraph" w:customStyle="1" w:styleId="CM9">
    <w:name w:val="CM9"/>
    <w:basedOn w:val="Default"/>
    <w:next w:val="Default"/>
    <w:uiPriority w:val="99"/>
    <w:pPr>
      <w:spacing w:line="348" w:lineRule="atLeast"/>
    </w:pPr>
    <w:rPr>
      <w:color w:val="auto"/>
    </w:rPr>
  </w:style>
  <w:style w:type="paragraph" w:customStyle="1" w:styleId="CM32">
    <w:name w:val="CM32"/>
    <w:basedOn w:val="Default"/>
    <w:next w:val="Default"/>
    <w:uiPriority w:val="99"/>
    <w:rPr>
      <w:color w:val="auto"/>
    </w:rPr>
  </w:style>
  <w:style w:type="paragraph" w:customStyle="1" w:styleId="CM10">
    <w:name w:val="CM10"/>
    <w:basedOn w:val="Default"/>
    <w:next w:val="Default"/>
    <w:uiPriority w:val="99"/>
    <w:pPr>
      <w:spacing w:line="351" w:lineRule="atLeast"/>
    </w:pPr>
    <w:rPr>
      <w:color w:val="auto"/>
    </w:rPr>
  </w:style>
  <w:style w:type="paragraph" w:customStyle="1" w:styleId="CM12">
    <w:name w:val="CM12"/>
    <w:basedOn w:val="Default"/>
    <w:next w:val="Default"/>
    <w:uiPriority w:val="99"/>
    <w:pPr>
      <w:spacing w:line="351" w:lineRule="atLeast"/>
    </w:pPr>
    <w:rPr>
      <w:color w:val="auto"/>
    </w:rPr>
  </w:style>
  <w:style w:type="paragraph" w:customStyle="1" w:styleId="CM19">
    <w:name w:val="CM19"/>
    <w:basedOn w:val="Default"/>
    <w:next w:val="Default"/>
    <w:uiPriority w:val="99"/>
    <w:rPr>
      <w:color w:val="auto"/>
    </w:rPr>
  </w:style>
  <w:style w:type="paragraph" w:styleId="Cabealho">
    <w:name w:val="header"/>
    <w:basedOn w:val="Normal"/>
    <w:link w:val="CabealhoChar"/>
    <w:unhideWhenUsed/>
    <w:pPr>
      <w:tabs>
        <w:tab w:val="center" w:pos="4252"/>
        <w:tab w:val="right" w:pos="8504"/>
      </w:tabs>
    </w:pPr>
  </w:style>
  <w:style w:type="character" w:customStyle="1" w:styleId="CabealhoChar">
    <w:name w:val="Cabeçalho Char"/>
    <w:basedOn w:val="Fontepargpadro"/>
    <w:link w:val="Cabealho"/>
  </w:style>
  <w:style w:type="paragraph" w:styleId="Rodap">
    <w:name w:val="footer"/>
    <w:basedOn w:val="Normal"/>
    <w:link w:val="RodapChar"/>
    <w:uiPriority w:val="99"/>
    <w:unhideWhenUsed/>
    <w:pPr>
      <w:tabs>
        <w:tab w:val="center" w:pos="4252"/>
        <w:tab w:val="right" w:pos="8504"/>
      </w:tabs>
    </w:pPr>
  </w:style>
  <w:style w:type="character" w:customStyle="1" w:styleId="RodapChar">
    <w:name w:val="Rodapé Char"/>
    <w:basedOn w:val="Fontepargpadro"/>
    <w:link w:val="Rodap"/>
    <w:uiPriority w:val="99"/>
  </w:style>
  <w:style w:type="paragraph" w:customStyle="1" w:styleId="DeltaViewTableBody">
    <w:name w:val="DeltaView Table Body"/>
    <w:basedOn w:val="Normal"/>
    <w:pPr>
      <w:autoSpaceDE w:val="0"/>
      <w:autoSpaceDN w:val="0"/>
      <w:adjustRightInd w:val="0"/>
      <w:spacing w:after="0" w:line="240" w:lineRule="auto"/>
    </w:pPr>
    <w:rPr>
      <w:rFonts w:ascii="Arial" w:hAnsi="Arial"/>
      <w:sz w:val="24"/>
      <w:szCs w:val="24"/>
      <w:lang w:val="en-US"/>
    </w:rPr>
  </w:style>
  <w:style w:type="paragraph" w:customStyle="1" w:styleId="c3">
    <w:name w:val="c3"/>
    <w:basedOn w:val="Normal"/>
    <w:pPr>
      <w:spacing w:after="0" w:line="240" w:lineRule="atLeast"/>
      <w:jc w:val="center"/>
    </w:pPr>
    <w:rPr>
      <w:rFonts w:ascii="Times" w:hAnsi="Times"/>
      <w:sz w:val="24"/>
      <w:szCs w:val="24"/>
    </w:rPr>
  </w:style>
  <w:style w:type="paragraph" w:styleId="PargrafodaLista">
    <w:name w:val="List Paragraph"/>
    <w:aliases w:val="Itemização"/>
    <w:basedOn w:val="Normal"/>
    <w:link w:val="PargrafodaListaChar"/>
    <w:uiPriority w:val="34"/>
    <w:qFormat/>
    <w:pPr>
      <w:ind w:left="708"/>
    </w:pPr>
  </w:style>
  <w:style w:type="character" w:styleId="Hyperlink">
    <w:name w:val="Hyperlink"/>
    <w:uiPriority w:val="99"/>
    <w:unhideWhenUsed/>
    <w:rPr>
      <w:color w:val="0000FF"/>
      <w:u w:val="single"/>
    </w:rPr>
  </w:style>
  <w:style w:type="paragraph" w:styleId="Textodebalo">
    <w:name w:val="Balloon Text"/>
    <w:basedOn w:val="Normal"/>
    <w:link w:val="TextodebaloChar"/>
    <w:uiPriority w:val="99"/>
    <w:semiHidden/>
    <w:unhideWhenUsed/>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Pr>
      <w:rFonts w:ascii="Segoe UI" w:hAnsi="Segoe UI" w:cs="Segoe UI"/>
      <w:sz w:val="18"/>
      <w:szCs w:val="18"/>
    </w:rPr>
  </w:style>
  <w:style w:type="paragraph" w:styleId="Corpodetexto">
    <w:name w:val="Body Text"/>
    <w:aliases w:val="bt,BT"/>
    <w:basedOn w:val="Normal"/>
    <w:link w:val="CorpodetextoChar"/>
    <w:pPr>
      <w:spacing w:after="0" w:line="240" w:lineRule="auto"/>
      <w:jc w:val="both"/>
    </w:pPr>
    <w:rPr>
      <w:rFonts w:ascii="Times New Roman" w:eastAsia="MS Mincho" w:hAnsi="Times New Roman"/>
      <w:sz w:val="20"/>
      <w:szCs w:val="20"/>
    </w:rPr>
  </w:style>
  <w:style w:type="character" w:customStyle="1" w:styleId="CorpodetextoChar">
    <w:name w:val="Corpo de texto Char"/>
    <w:aliases w:val="bt Char,BT Char"/>
    <w:link w:val="Corpodetexto"/>
    <w:rPr>
      <w:rFonts w:ascii="Times New Roman" w:eastAsia="MS Mincho" w:hAnsi="Times New Roman"/>
    </w:rPr>
  </w:style>
  <w:style w:type="table" w:styleId="Tabelacomgrade">
    <w:name w:val="Table Grid"/>
    <w:basedOn w:val="Tabela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Pr>
      <w:sz w:val="22"/>
      <w:szCs w:val="22"/>
    </w:rPr>
  </w:style>
  <w:style w:type="paragraph" w:customStyle="1" w:styleId="Level2">
    <w:name w:val="Level 2"/>
    <w:basedOn w:val="Normal"/>
    <w:link w:val="Level2Char"/>
    <w:pPr>
      <w:numPr>
        <w:ilvl w:val="1"/>
        <w:numId w:val="1"/>
      </w:numPr>
      <w:spacing w:after="140" w:line="290" w:lineRule="auto"/>
      <w:jc w:val="both"/>
      <w:outlineLvl w:val="1"/>
    </w:pPr>
    <w:rPr>
      <w:rFonts w:ascii="Arial" w:eastAsia="TT108t00" w:hAnsi="Arial" w:cs="Arial"/>
      <w:sz w:val="20"/>
    </w:rPr>
  </w:style>
  <w:style w:type="paragraph" w:customStyle="1" w:styleId="Level1">
    <w:name w:val="Level 1"/>
    <w:basedOn w:val="Normal"/>
    <w:pPr>
      <w:keepNext/>
      <w:numPr>
        <w:numId w:val="1"/>
      </w:numPr>
      <w:spacing w:before="280" w:after="140" w:line="290" w:lineRule="auto"/>
      <w:jc w:val="both"/>
      <w:outlineLvl w:val="0"/>
    </w:pPr>
    <w:rPr>
      <w:rFonts w:ascii="Arial" w:hAnsi="Arial" w:cs="Arial"/>
      <w:b/>
    </w:rPr>
  </w:style>
  <w:style w:type="paragraph" w:customStyle="1" w:styleId="Level3">
    <w:name w:val="Level 3"/>
    <w:basedOn w:val="Normal"/>
    <w:link w:val="Level3Char"/>
    <w:pPr>
      <w:numPr>
        <w:ilvl w:val="2"/>
        <w:numId w:val="1"/>
      </w:numPr>
      <w:spacing w:after="140" w:line="290" w:lineRule="auto"/>
      <w:jc w:val="both"/>
      <w:outlineLvl w:val="2"/>
    </w:pPr>
    <w:rPr>
      <w:rFonts w:ascii="Arial" w:eastAsia="TT108t00" w:hAnsi="Arial" w:cs="Arial"/>
      <w:sz w:val="20"/>
    </w:rPr>
  </w:style>
  <w:style w:type="paragraph" w:customStyle="1" w:styleId="Level4">
    <w:name w:val="Level 4"/>
    <w:basedOn w:val="Normal"/>
    <w:pPr>
      <w:numPr>
        <w:ilvl w:val="3"/>
        <w:numId w:val="1"/>
      </w:numPr>
      <w:spacing w:after="140" w:line="290" w:lineRule="auto"/>
      <w:jc w:val="both"/>
      <w:outlineLvl w:val="3"/>
    </w:pPr>
    <w:rPr>
      <w:rFonts w:ascii="Arial" w:eastAsia="TT108t00" w:hAnsi="Arial" w:cs="Arial"/>
      <w:sz w:val="20"/>
    </w:rPr>
  </w:style>
  <w:style w:type="paragraph" w:customStyle="1" w:styleId="Level5">
    <w:name w:val="Level 5"/>
    <w:basedOn w:val="Normal"/>
    <w:pPr>
      <w:numPr>
        <w:ilvl w:val="4"/>
        <w:numId w:val="1"/>
      </w:numPr>
      <w:spacing w:after="140" w:line="290" w:lineRule="auto"/>
      <w:jc w:val="both"/>
    </w:pPr>
    <w:rPr>
      <w:rFonts w:ascii="Arial" w:eastAsia="TT108t00" w:hAnsi="Arial" w:cs="Arial"/>
      <w:sz w:val="20"/>
    </w:rPr>
  </w:style>
  <w:style w:type="paragraph" w:customStyle="1" w:styleId="Level6">
    <w:name w:val="Level 6"/>
    <w:basedOn w:val="Normal"/>
    <w:pPr>
      <w:numPr>
        <w:ilvl w:val="5"/>
        <w:numId w:val="1"/>
      </w:numPr>
      <w:spacing w:after="140" w:line="290" w:lineRule="auto"/>
      <w:jc w:val="both"/>
    </w:pPr>
    <w:rPr>
      <w:rFonts w:ascii="Arial" w:eastAsia="TT108t00" w:hAnsi="Arial" w:cs="Arial"/>
      <w:sz w:val="20"/>
    </w:rPr>
  </w:style>
  <w:style w:type="paragraph" w:customStyle="1" w:styleId="Nivel1">
    <w:name w:val="Nivel 1"/>
    <w:basedOn w:val="CM17"/>
    <w:qFormat/>
    <w:pPr>
      <w:keepNext/>
      <w:widowControl/>
      <w:numPr>
        <w:numId w:val="2"/>
      </w:numPr>
      <w:spacing w:line="300" w:lineRule="atLeast"/>
    </w:pPr>
    <w:rPr>
      <w:rFonts w:ascii="Times New Roman" w:hAnsi="Times New Roman" w:cs="Times New Roman"/>
      <w:b/>
      <w:bCs/>
      <w:color w:val="000000"/>
      <w:sz w:val="22"/>
      <w:szCs w:val="22"/>
    </w:rPr>
  </w:style>
  <w:style w:type="paragraph" w:customStyle="1" w:styleId="Nivel2">
    <w:name w:val="Nivel 2"/>
    <w:basedOn w:val="CM17"/>
    <w:qFormat/>
    <w:pPr>
      <w:numPr>
        <w:ilvl w:val="1"/>
        <w:numId w:val="2"/>
      </w:numPr>
      <w:spacing w:line="300" w:lineRule="atLeast"/>
      <w:jc w:val="both"/>
    </w:pPr>
    <w:rPr>
      <w:rFonts w:ascii="Times New Roman" w:hAnsi="Times New Roman" w:cs="Times New Roman"/>
      <w:b/>
      <w:bCs/>
      <w:color w:val="000000"/>
      <w:sz w:val="22"/>
      <w:szCs w:val="22"/>
    </w:rPr>
  </w:style>
  <w:style w:type="paragraph" w:customStyle="1" w:styleId="Nivel3">
    <w:name w:val="Nivel 3"/>
    <w:basedOn w:val="Corpodetexto"/>
    <w:qFormat/>
    <w:pPr>
      <w:numPr>
        <w:ilvl w:val="2"/>
        <w:numId w:val="2"/>
      </w:numPr>
      <w:spacing w:line="320" w:lineRule="exact"/>
    </w:pPr>
    <w:rPr>
      <w:color w:val="000000"/>
      <w:sz w:val="22"/>
      <w:szCs w:val="22"/>
    </w:rPr>
  </w:style>
  <w:style w:type="paragraph" w:customStyle="1" w:styleId="Nivel4">
    <w:name w:val="Nivel 4"/>
    <w:basedOn w:val="Default"/>
    <w:qFormat/>
    <w:pPr>
      <w:numPr>
        <w:ilvl w:val="3"/>
        <w:numId w:val="2"/>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numPr>
        <w:ilvl w:val="4"/>
        <w:numId w:val="2"/>
      </w:numPr>
      <w:spacing w:line="300" w:lineRule="atLeast"/>
      <w:jc w:val="both"/>
    </w:pPr>
    <w:rPr>
      <w:rFonts w:ascii="Times New Roman" w:hAnsi="Times New Roman" w:cs="Times New Roman"/>
      <w:sz w:val="22"/>
      <w:szCs w:val="22"/>
    </w:rPr>
  </w:style>
  <w:style w:type="paragraph" w:customStyle="1" w:styleId="Nivel6">
    <w:name w:val="Nivel 6"/>
    <w:basedOn w:val="CM17"/>
    <w:qFormat/>
    <w:pPr>
      <w:numPr>
        <w:ilvl w:val="5"/>
        <w:numId w:val="2"/>
      </w:numPr>
      <w:spacing w:line="300" w:lineRule="atLeast"/>
      <w:jc w:val="both"/>
    </w:pPr>
    <w:rPr>
      <w:rFonts w:ascii="Times New Roman" w:eastAsia="TT108t00" w:hAnsi="Times New Roman" w:cs="Times New Roman"/>
      <w:sz w:val="22"/>
      <w:szCs w:val="22"/>
    </w:rPr>
  </w:style>
  <w:style w:type="character" w:styleId="Refdecomentrio">
    <w:name w:val="annotation reference"/>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link w:val="Assuntodocomentrio"/>
    <w:uiPriority w:val="99"/>
    <w:semiHidden/>
    <w:rPr>
      <w:b/>
      <w:bCs/>
    </w:rPr>
  </w:style>
  <w:style w:type="paragraph" w:styleId="Recuodecorpodetexto">
    <w:name w:val="Body Text Indent"/>
    <w:basedOn w:val="Normal"/>
    <w:link w:val="RecuodecorpodetextoChar"/>
    <w:uiPriority w:val="99"/>
    <w:unhideWhenUsed/>
    <w:pPr>
      <w:spacing w:after="120"/>
      <w:ind w:left="283"/>
    </w:pPr>
  </w:style>
  <w:style w:type="character" w:customStyle="1" w:styleId="RecuodecorpodetextoChar">
    <w:name w:val="Recuo de corpo de texto Char"/>
    <w:link w:val="Recuodecorpodetexto"/>
    <w:uiPriority w:val="99"/>
    <w:rPr>
      <w:sz w:val="22"/>
      <w:szCs w:val="22"/>
    </w:rPr>
  </w:style>
  <w:style w:type="character" w:customStyle="1" w:styleId="Ttulo5Char">
    <w:name w:val="Título 5 Char"/>
    <w:link w:val="Ttulo5"/>
    <w:rPr>
      <w:rFonts w:ascii="Times New Roman" w:eastAsia="MS Mincho" w:hAnsi="Times New Roman"/>
      <w:sz w:val="24"/>
    </w:rPr>
  </w:style>
  <w:style w:type="character" w:customStyle="1" w:styleId="Ttulo6Char">
    <w:name w:val="Título 6 Char"/>
    <w:link w:val="Ttulo6"/>
    <w:rPr>
      <w:rFonts w:ascii="Times New Roman" w:eastAsia="MS Mincho" w:hAnsi="Times New Roman"/>
      <w:sz w:val="26"/>
    </w:rPr>
  </w:style>
  <w:style w:type="character" w:customStyle="1" w:styleId="Ttulo7Char">
    <w:name w:val="Título 7 Char"/>
    <w:link w:val="Ttulo7"/>
    <w:rPr>
      <w:rFonts w:ascii="Times New Roman" w:eastAsia="MS Mincho" w:hAnsi="Times New Roman"/>
      <w:sz w:val="24"/>
    </w:rPr>
  </w:style>
  <w:style w:type="character" w:customStyle="1" w:styleId="Ttulo8Char">
    <w:name w:val="Título 8 Char"/>
    <w:link w:val="Ttulo8"/>
    <w:rPr>
      <w:rFonts w:ascii="Times New Roman" w:eastAsia="MS Mincho" w:hAnsi="Times New Roman"/>
      <w:sz w:val="24"/>
    </w:rPr>
  </w:style>
  <w:style w:type="character" w:customStyle="1" w:styleId="Ttulo9Char">
    <w:name w:val="Título 9 Char"/>
    <w:link w:val="Ttulo9"/>
    <w:rPr>
      <w:rFonts w:ascii="Times New Roman" w:eastAsia="MS Mincho" w:hAnsi="Times New Roman"/>
      <w:color w:val="000000"/>
      <w:kern w:val="16"/>
      <w:sz w:val="24"/>
      <w:u w:val="single"/>
    </w:rPr>
  </w:style>
  <w:style w:type="paragraph" w:customStyle="1" w:styleId="Parties">
    <w:name w:val="Parties"/>
    <w:basedOn w:val="Normal"/>
    <w:pPr>
      <w:numPr>
        <w:numId w:val="3"/>
      </w:numPr>
      <w:autoSpaceDE w:val="0"/>
      <w:autoSpaceDN w:val="0"/>
      <w:adjustRightInd w:val="0"/>
      <w:spacing w:after="140" w:line="290" w:lineRule="auto"/>
      <w:jc w:val="both"/>
    </w:pPr>
    <w:rPr>
      <w:rFonts w:ascii="Arial" w:eastAsia="MS Mincho" w:hAnsi="Arial" w:cs="Arial"/>
      <w:bCs/>
      <w:sz w:val="20"/>
      <w:szCs w:val="20"/>
    </w:rPr>
  </w:style>
  <w:style w:type="paragraph" w:customStyle="1" w:styleId="Recitals">
    <w:name w:val="Recitals"/>
    <w:basedOn w:val="Normal"/>
    <w:pPr>
      <w:numPr>
        <w:ilvl w:val="1"/>
        <w:numId w:val="3"/>
      </w:numPr>
      <w:spacing w:after="140" w:line="290" w:lineRule="auto"/>
      <w:jc w:val="both"/>
    </w:pPr>
    <w:rPr>
      <w:rFonts w:ascii="Arial" w:eastAsia="MS Mincho" w:hAnsi="Arial" w:cs="Arial"/>
      <w:sz w:val="20"/>
      <w:szCs w:val="20"/>
    </w:rPr>
  </w:style>
  <w:style w:type="paragraph" w:customStyle="1" w:styleId="Parties2">
    <w:name w:val="Parties 2"/>
    <w:basedOn w:val="Normal"/>
    <w:pPr>
      <w:numPr>
        <w:ilvl w:val="2"/>
        <w:numId w:val="3"/>
      </w:numPr>
      <w:spacing w:after="140" w:line="290" w:lineRule="auto"/>
      <w:jc w:val="both"/>
    </w:pPr>
    <w:rPr>
      <w:rFonts w:ascii="Arial" w:eastAsia="MS Mincho" w:hAnsi="Arial" w:cs="Arial"/>
      <w:sz w:val="20"/>
      <w:szCs w:val="20"/>
    </w:rPr>
  </w:style>
  <w:style w:type="paragraph" w:customStyle="1" w:styleId="Recitals2">
    <w:name w:val="Recitals 2"/>
    <w:basedOn w:val="Normal"/>
    <w:pPr>
      <w:numPr>
        <w:ilvl w:val="3"/>
        <w:numId w:val="3"/>
      </w:numPr>
      <w:spacing w:after="140" w:line="290" w:lineRule="auto"/>
      <w:jc w:val="both"/>
    </w:pPr>
    <w:rPr>
      <w:rFonts w:ascii="Arial" w:eastAsia="MS Mincho" w:hAnsi="Arial" w:cs="Arial"/>
      <w:sz w:val="20"/>
      <w:szCs w:val="20"/>
    </w:rPr>
  </w:style>
  <w:style w:type="paragraph" w:customStyle="1" w:styleId="Body">
    <w:name w:val="Body"/>
    <w:aliases w:val="b"/>
    <w:basedOn w:val="Normal"/>
    <w:link w:val="BodyChar"/>
    <w:qFormat/>
    <w:pPr>
      <w:spacing w:after="140" w:line="290" w:lineRule="auto"/>
      <w:jc w:val="both"/>
    </w:pPr>
    <w:rPr>
      <w:rFonts w:ascii="Arial" w:hAnsi="Arial"/>
      <w:sz w:val="20"/>
      <w:szCs w:val="24"/>
      <w:lang w:val="en-GB" w:eastAsia="en-GB"/>
    </w:rPr>
  </w:style>
  <w:style w:type="paragraph" w:customStyle="1" w:styleId="alpha2">
    <w:name w:val="alpha 2"/>
    <w:basedOn w:val="Normal"/>
    <w:pPr>
      <w:numPr>
        <w:numId w:val="4"/>
      </w:numPr>
      <w:spacing w:after="140" w:line="290" w:lineRule="auto"/>
      <w:jc w:val="both"/>
    </w:pPr>
    <w:rPr>
      <w:rFonts w:ascii="Arial" w:hAnsi="Arial"/>
      <w:kern w:val="20"/>
      <w:sz w:val="20"/>
      <w:szCs w:val="20"/>
      <w:lang w:val="en-GB" w:eastAsia="en-GB"/>
    </w:rPr>
  </w:style>
  <w:style w:type="paragraph" w:customStyle="1" w:styleId="TCLevel1">
    <w:name w:val="T+C Level 1"/>
    <w:basedOn w:val="Normal"/>
    <w:next w:val="TCLevel2"/>
    <w:pPr>
      <w:keepNext/>
      <w:numPr>
        <w:numId w:val="5"/>
      </w:numPr>
      <w:spacing w:before="140" w:after="0" w:line="290" w:lineRule="auto"/>
      <w:jc w:val="both"/>
      <w:outlineLvl w:val="0"/>
    </w:pPr>
    <w:rPr>
      <w:rFonts w:ascii="Arial" w:hAnsi="Arial"/>
      <w:b/>
      <w:kern w:val="20"/>
      <w:sz w:val="20"/>
      <w:szCs w:val="24"/>
      <w:lang w:val="en-GB" w:eastAsia="en-GB"/>
    </w:rPr>
  </w:style>
  <w:style w:type="paragraph" w:customStyle="1" w:styleId="TCLevel2">
    <w:name w:val="T+C Level 2"/>
    <w:basedOn w:val="Normal"/>
    <w:pPr>
      <w:numPr>
        <w:ilvl w:val="1"/>
        <w:numId w:val="5"/>
      </w:numPr>
      <w:spacing w:after="140" w:line="290" w:lineRule="auto"/>
      <w:jc w:val="both"/>
      <w:outlineLvl w:val="1"/>
    </w:pPr>
    <w:rPr>
      <w:rFonts w:ascii="Arial" w:hAnsi="Arial"/>
      <w:kern w:val="20"/>
      <w:sz w:val="20"/>
      <w:szCs w:val="24"/>
      <w:lang w:val="en-GB" w:eastAsia="en-GB"/>
    </w:rPr>
  </w:style>
  <w:style w:type="paragraph" w:customStyle="1" w:styleId="TCLevel3">
    <w:name w:val="T+C Level 3"/>
    <w:basedOn w:val="Normal"/>
    <w:pPr>
      <w:numPr>
        <w:ilvl w:val="2"/>
        <w:numId w:val="5"/>
      </w:numPr>
      <w:spacing w:after="140" w:line="290" w:lineRule="auto"/>
      <w:jc w:val="both"/>
      <w:outlineLvl w:val="2"/>
    </w:pPr>
    <w:rPr>
      <w:rFonts w:ascii="Arial" w:hAnsi="Arial"/>
      <w:kern w:val="20"/>
      <w:sz w:val="20"/>
      <w:szCs w:val="24"/>
      <w:lang w:val="en-GB" w:eastAsia="en-GB"/>
    </w:rPr>
  </w:style>
  <w:style w:type="paragraph" w:customStyle="1" w:styleId="TCLevel4">
    <w:name w:val="T+C Level 4"/>
    <w:basedOn w:val="Normal"/>
    <w:pPr>
      <w:numPr>
        <w:ilvl w:val="3"/>
        <w:numId w:val="5"/>
      </w:numPr>
      <w:spacing w:after="140" w:line="290" w:lineRule="auto"/>
      <w:jc w:val="both"/>
      <w:outlineLvl w:val="3"/>
    </w:pPr>
    <w:rPr>
      <w:rFonts w:ascii="Arial" w:hAnsi="Arial"/>
      <w:kern w:val="20"/>
      <w:sz w:val="20"/>
      <w:szCs w:val="24"/>
      <w:lang w:val="en-GB" w:eastAsia="en-GB"/>
    </w:rPr>
  </w:style>
  <w:style w:type="character" w:customStyle="1" w:styleId="BodyChar">
    <w:name w:val="Body Char"/>
    <w:link w:val="Body"/>
    <w:locked/>
    <w:rPr>
      <w:rFonts w:ascii="Arial" w:hAnsi="Arial"/>
      <w:szCs w:val="24"/>
      <w:lang w:val="en-GB" w:eastAsia="en-GB"/>
    </w:rPr>
  </w:style>
  <w:style w:type="character" w:customStyle="1" w:styleId="Level3Char">
    <w:name w:val="Level 3 Char"/>
    <w:link w:val="Level3"/>
    <w:locked/>
    <w:rPr>
      <w:rFonts w:ascii="Arial" w:eastAsia="TT108t00" w:hAnsi="Arial" w:cs="Arial"/>
      <w:szCs w:val="22"/>
    </w:rPr>
  </w:style>
  <w:style w:type="paragraph" w:customStyle="1" w:styleId="Bullet3">
    <w:name w:val="Bullet 3"/>
    <w:basedOn w:val="Normal"/>
    <w:pPr>
      <w:numPr>
        <w:ilvl w:val="2"/>
        <w:numId w:val="6"/>
      </w:numPr>
      <w:spacing w:after="140" w:line="290" w:lineRule="auto"/>
      <w:jc w:val="both"/>
    </w:pPr>
    <w:rPr>
      <w:rFonts w:ascii="Arial" w:hAnsi="Arial" w:cs="Arial"/>
      <w:sz w:val="20"/>
      <w:szCs w:val="20"/>
    </w:rPr>
  </w:style>
  <w:style w:type="paragraph" w:customStyle="1" w:styleId="Bullet1">
    <w:name w:val="Bullet 1"/>
    <w:basedOn w:val="Normal"/>
    <w:pPr>
      <w:numPr>
        <w:numId w:val="6"/>
      </w:numPr>
    </w:pPr>
  </w:style>
  <w:style w:type="paragraph" w:customStyle="1" w:styleId="Bullet2">
    <w:name w:val="Bullet 2"/>
    <w:basedOn w:val="Normal"/>
    <w:pPr>
      <w:numPr>
        <w:ilvl w:val="1"/>
        <w:numId w:val="6"/>
      </w:numPr>
    </w:pPr>
  </w:style>
  <w:style w:type="paragraph" w:styleId="Textodenotaderodap">
    <w:name w:val="footnote text"/>
    <w:aliases w:val="F,Nota de rodapé,nota de rodapé,nota_rodapé,Texto4"/>
    <w:basedOn w:val="Normal"/>
    <w:link w:val="TextodenotaderodapChar"/>
    <w:uiPriority w:val="99"/>
    <w:unhideWhenUsed/>
    <w:rPr>
      <w:sz w:val="20"/>
      <w:szCs w:val="20"/>
    </w:rPr>
  </w:style>
  <w:style w:type="character" w:customStyle="1" w:styleId="TextodenotaderodapChar">
    <w:name w:val="Texto de nota de rodapé Char"/>
    <w:aliases w:val="F Char,Nota de rodapé Char,nota de rodapé Char,nota_rodapé Char,Texto4 Char"/>
    <w:basedOn w:val="Fontepargpadro"/>
    <w:link w:val="Textodenotaderodap"/>
    <w:uiPriority w:val="99"/>
  </w:style>
  <w:style w:type="character" w:styleId="Refdenotaderodap">
    <w:name w:val="footnote reference"/>
    <w:uiPriority w:val="99"/>
    <w:unhideWhenUsed/>
    <w:rPr>
      <w:vertAlign w:val="superscript"/>
    </w:rPr>
  </w:style>
  <w:style w:type="character" w:customStyle="1" w:styleId="Normal1">
    <w:name w:val="Normal1"/>
    <w:uiPriority w:val="99"/>
    <w:rPr>
      <w:rFonts w:ascii="Helvetica" w:hAnsi="Helvetica" w:cs="Helvetica"/>
      <w:spacing w:val="0"/>
      <w:sz w:val="24"/>
      <w:szCs w:val="24"/>
      <w:lang w:val="pt-BR"/>
    </w:rPr>
  </w:style>
  <w:style w:type="character" w:customStyle="1" w:styleId="apple-converted-space">
    <w:name w:val="apple-converted-space"/>
  </w:style>
  <w:style w:type="character" w:customStyle="1" w:styleId="Ttulo3Char">
    <w:name w:val="Título 3 Char"/>
    <w:basedOn w:val="Fontepargpadro"/>
    <w:link w:val="Ttulo3"/>
    <w:uiPriority w:val="9"/>
    <w:semiHidden/>
    <w:rPr>
      <w:rFonts w:asciiTheme="majorHAnsi" w:eastAsiaTheme="majorEastAsia" w:hAnsiTheme="majorHAnsi" w:cstheme="majorBidi"/>
      <w:b/>
      <w:bCs/>
      <w:color w:val="4F81BD" w:themeColor="accent1"/>
      <w:sz w:val="22"/>
      <w:szCs w:val="22"/>
    </w:rPr>
  </w:style>
  <w:style w:type="character" w:customStyle="1" w:styleId="Ttulo4Char">
    <w:name w:val="Título 4 Char"/>
    <w:basedOn w:val="Fontepargpadro"/>
    <w:link w:val="Ttulo4"/>
    <w:uiPriority w:val="9"/>
    <w:semiHidden/>
    <w:rPr>
      <w:rFonts w:asciiTheme="majorHAnsi" w:eastAsiaTheme="majorEastAsia" w:hAnsiTheme="majorHAnsi" w:cstheme="majorBidi"/>
      <w:b/>
      <w:bCs/>
      <w:i/>
      <w:iCs/>
      <w:color w:val="4F81BD" w:themeColor="accent1"/>
      <w:sz w:val="22"/>
      <w:szCs w:val="22"/>
    </w:rPr>
  </w:style>
  <w:style w:type="character" w:customStyle="1" w:styleId="Level2Char">
    <w:name w:val="Level 2 Char"/>
    <w:link w:val="Level2"/>
    <w:locked/>
    <w:rPr>
      <w:rFonts w:ascii="Arial" w:eastAsia="TT108t00" w:hAnsi="Arial" w:cs="Arial"/>
      <w:szCs w:val="22"/>
    </w:rPr>
  </w:style>
  <w:style w:type="character" w:customStyle="1" w:styleId="PargrafodaListaChar">
    <w:name w:val="Parágrafo da Lista Char"/>
    <w:aliases w:val="Itemização Char"/>
    <w:link w:val="PargrafodaLista"/>
    <w:uiPriority w:val="34"/>
    <w:locked/>
    <w:rPr>
      <w:sz w:val="22"/>
      <w:szCs w:val="22"/>
    </w:rPr>
  </w:style>
  <w:style w:type="character" w:customStyle="1" w:styleId="DeltaViewMoveSource">
    <w:name w:val="DeltaView Move Source"/>
    <w:uiPriority w:val="99"/>
    <w:rPr>
      <w:strike/>
      <w:color w:val="000000"/>
    </w:rPr>
  </w:style>
  <w:style w:type="character" w:customStyle="1" w:styleId="DeltaViewDeletion">
    <w:name w:val="DeltaView Deletion"/>
    <w:uiPriority w:val="99"/>
    <w:rPr>
      <w:strike/>
      <w:color w:val="000000"/>
    </w:rPr>
  </w:style>
  <w:style w:type="paragraph" w:customStyle="1" w:styleId="p0">
    <w:name w:val="p0"/>
    <w:basedOn w:val="Normal"/>
    <w:pPr>
      <w:widowControl w:val="0"/>
      <w:tabs>
        <w:tab w:val="left" w:pos="720"/>
      </w:tabs>
      <w:autoSpaceDE w:val="0"/>
      <w:autoSpaceDN w:val="0"/>
      <w:adjustRightInd w:val="0"/>
      <w:spacing w:after="0" w:line="240" w:lineRule="atLeast"/>
      <w:jc w:val="both"/>
    </w:pPr>
    <w:rPr>
      <w:rFonts w:ascii="Times" w:hAnsi="Times"/>
      <w:snapToGrid w:val="0"/>
      <w:w w:val="0"/>
      <w:szCs w:val="20"/>
    </w:rPr>
  </w:style>
  <w:style w:type="paragraph" w:customStyle="1" w:styleId="CharChar1CharCharCharCharCharCharCharCharCharCharCharCharCharCharCharCharCharCharCharCharCharChar">
    <w:name w:val="Char Char1 Char Char Char Char Char Char Char Char Char Char Char Char Char Char Char Char Char Char Char Char Char Char"/>
    <w:basedOn w:val="Normal"/>
    <w:pPr>
      <w:spacing w:after="160" w:line="240" w:lineRule="exact"/>
    </w:pPr>
    <w:rPr>
      <w:rFonts w:ascii="Verdana" w:eastAsia="MS Mincho" w:hAnsi="Verdana"/>
      <w:sz w:val="20"/>
      <w:szCs w:val="20"/>
      <w:lang w:val="en-US" w:eastAsia="en-US"/>
    </w:rPr>
  </w:style>
  <w:style w:type="character" w:customStyle="1" w:styleId="DeltaViewInsertion">
    <w:name w:val="DeltaView Insertion"/>
    <w:uiPriority w:val="99"/>
    <w:rPr>
      <w:color w:val="0000FF"/>
      <w:u w:val="double"/>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365F91" w:themeColor="accent1" w:themeShade="BF"/>
      <w:sz w:val="26"/>
      <w:szCs w:val="26"/>
    </w:rPr>
  </w:style>
  <w:style w:type="paragraph" w:customStyle="1" w:styleId="STDTextoDois-Quatro">
    <w:name w:val="STD Texto Dois-Quatro"/>
    <w:basedOn w:val="Normal"/>
    <w:pPr>
      <w:autoSpaceDE w:val="0"/>
      <w:autoSpaceDN w:val="0"/>
      <w:adjustRightInd w:val="0"/>
      <w:spacing w:before="240" w:after="0" w:line="240" w:lineRule="exact"/>
      <w:ind w:left="471"/>
      <w:jc w:val="both"/>
    </w:pPr>
    <w:rPr>
      <w:rFonts w:ascii="Arial" w:hAnsi="Arial"/>
      <w:sz w:val="20"/>
      <w:szCs w:val="24"/>
    </w:rPr>
  </w:style>
  <w:style w:type="paragraph" w:styleId="Lista2">
    <w:name w:val="List 2"/>
    <w:basedOn w:val="Normal"/>
    <w:uiPriority w:val="99"/>
    <w:pPr>
      <w:autoSpaceDE w:val="0"/>
      <w:autoSpaceDN w:val="0"/>
      <w:adjustRightInd w:val="0"/>
      <w:spacing w:after="0" w:line="240" w:lineRule="auto"/>
      <w:ind w:left="566" w:hanging="283"/>
      <w:jc w:val="both"/>
    </w:pPr>
    <w:rPr>
      <w:rFonts w:ascii="Times New Roman" w:hAnsi="Times New Roman"/>
      <w:sz w:val="24"/>
      <w:szCs w:val="24"/>
    </w:rPr>
  </w:style>
  <w:style w:type="paragraph" w:customStyle="1" w:styleId="ContratoN3">
    <w:name w:val="Contrato_N3"/>
    <w:basedOn w:val="Normal"/>
    <w:pPr>
      <w:numPr>
        <w:ilvl w:val="1"/>
        <w:numId w:val="19"/>
      </w:numPr>
      <w:tabs>
        <w:tab w:val="clear" w:pos="1134"/>
        <w:tab w:val="num" w:pos="1854"/>
      </w:tabs>
      <w:autoSpaceDE w:val="0"/>
      <w:autoSpaceDN w:val="0"/>
      <w:adjustRightInd w:val="0"/>
      <w:spacing w:before="360" w:after="120" w:line="300" w:lineRule="exact"/>
      <w:ind w:left="1638" w:hanging="504"/>
      <w:jc w:val="both"/>
    </w:pPr>
    <w:rPr>
      <w:rFonts w:ascii="Times New Roman" w:hAnsi="Times New Roman"/>
      <w:sz w:val="24"/>
      <w:szCs w:val="24"/>
      <w:lang w:val="en-US"/>
    </w:rPr>
  </w:style>
  <w:style w:type="paragraph" w:customStyle="1" w:styleId="EstiloContratoN1PretoVersalete">
    <w:name w:val="Estilo Contrato_N1 + Preto Versalete"/>
    <w:basedOn w:val="Normal"/>
    <w:pPr>
      <w:numPr>
        <w:ilvl w:val="2"/>
        <w:numId w:val="19"/>
      </w:numPr>
      <w:tabs>
        <w:tab w:val="clear" w:pos="1854"/>
        <w:tab w:val="num" w:pos="0"/>
      </w:tabs>
      <w:autoSpaceDE w:val="0"/>
      <w:autoSpaceDN w:val="0"/>
      <w:adjustRightInd w:val="0"/>
      <w:spacing w:before="600" w:after="120" w:line="240" w:lineRule="auto"/>
      <w:ind w:left="0" w:firstLine="288"/>
      <w:jc w:val="center"/>
    </w:pPr>
    <w:rPr>
      <w:rFonts w:ascii="Times New Roman Negrito" w:hAnsi="Times New Roman Negrito"/>
      <w:b/>
      <w:caps/>
      <w:smallCaps/>
      <w:color w:val="000000"/>
      <w:sz w:val="24"/>
      <w:szCs w:val="24"/>
      <w:lang w:val="en-US"/>
    </w:rPr>
  </w:style>
  <w:style w:type="paragraph" w:customStyle="1" w:styleId="PargrafodaLista1">
    <w:name w:val="Parágrafo da Lista1"/>
    <w:basedOn w:val="Normal"/>
    <w:qFormat/>
    <w:pPr>
      <w:numPr>
        <w:numId w:val="19"/>
      </w:numPr>
      <w:autoSpaceDE w:val="0"/>
      <w:autoSpaceDN w:val="0"/>
      <w:adjustRightInd w:val="0"/>
      <w:spacing w:after="0" w:line="240" w:lineRule="auto"/>
    </w:pPr>
    <w:rPr>
      <w:rFonts w:ascii="Times New Roman" w:hAnsi="Times New Roman"/>
      <w:sz w:val="24"/>
      <w:szCs w:val="24"/>
    </w:rPr>
  </w:style>
  <w:style w:type="paragraph" w:customStyle="1" w:styleId="BNDES">
    <w:name w:val="BNDES"/>
    <w:basedOn w:val="Normal"/>
    <w:pPr>
      <w:autoSpaceDE w:val="0"/>
      <w:autoSpaceDN w:val="0"/>
      <w:adjustRightInd w:val="0"/>
      <w:spacing w:after="120" w:line="240" w:lineRule="auto"/>
      <w:jc w:val="both"/>
    </w:pPr>
    <w:rPr>
      <w:rFonts w:ascii="Arial" w:hAnsi="Arial"/>
      <w:sz w:val="24"/>
      <w:szCs w:val="20"/>
    </w:rPr>
  </w:style>
  <w:style w:type="paragraph" w:customStyle="1" w:styleId="Level7">
    <w:name w:val="Level 7"/>
    <w:basedOn w:val="Normal"/>
    <w:pPr>
      <w:tabs>
        <w:tab w:val="num" w:pos="3969"/>
      </w:tabs>
      <w:spacing w:after="140" w:line="290" w:lineRule="auto"/>
      <w:ind w:left="3969" w:hanging="680"/>
      <w:jc w:val="both"/>
      <w:outlineLvl w:val="6"/>
    </w:pPr>
    <w:rPr>
      <w:rFonts w:ascii="Arial" w:hAnsi="Arial"/>
      <w:kern w:val="20"/>
      <w:sz w:val="20"/>
      <w:szCs w:val="24"/>
      <w:lang w:val="en-GB" w:eastAsia="en-US"/>
    </w:rPr>
  </w:style>
  <w:style w:type="paragraph" w:customStyle="1" w:styleId="Level8">
    <w:name w:val="Level 8"/>
    <w:basedOn w:val="Normal"/>
    <w:pPr>
      <w:tabs>
        <w:tab w:val="num" w:pos="3969"/>
      </w:tabs>
      <w:spacing w:after="140" w:line="290" w:lineRule="auto"/>
      <w:ind w:left="3969" w:hanging="680"/>
      <w:jc w:val="both"/>
      <w:outlineLvl w:val="7"/>
    </w:pPr>
    <w:rPr>
      <w:rFonts w:ascii="Arial" w:hAnsi="Arial"/>
      <w:kern w:val="20"/>
      <w:sz w:val="20"/>
      <w:szCs w:val="24"/>
      <w:lang w:val="en-GB" w:eastAsia="en-US"/>
    </w:rPr>
  </w:style>
  <w:style w:type="paragraph" w:customStyle="1" w:styleId="Level9">
    <w:name w:val="Level 9"/>
    <w:basedOn w:val="Normal"/>
    <w:pPr>
      <w:tabs>
        <w:tab w:val="num" w:pos="3969"/>
      </w:tabs>
      <w:spacing w:after="140" w:line="290" w:lineRule="auto"/>
      <w:ind w:left="3969" w:hanging="680"/>
      <w:jc w:val="both"/>
      <w:outlineLvl w:val="8"/>
    </w:pPr>
    <w:rPr>
      <w:rFonts w:ascii="Arial" w:hAnsi="Arial"/>
      <w:kern w:val="20"/>
      <w:sz w:val="20"/>
      <w:szCs w:val="24"/>
      <w:lang w:val="en-GB" w:eastAsia="en-US"/>
    </w:r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customStyle="1" w:styleId="ListaColorida-nfase11">
    <w:name w:val="Lista Colorida - Ênfase 11"/>
    <w:basedOn w:val="Normal"/>
    <w:uiPriority w:val="34"/>
    <w:qFormat/>
    <w:pPr>
      <w:spacing w:after="0" w:line="240" w:lineRule="auto"/>
      <w:ind w:left="708"/>
    </w:pPr>
    <w:rPr>
      <w:rFonts w:ascii="Times New Roman" w:hAnsi="Times New Roman"/>
      <w:sz w:val="20"/>
      <w:szCs w:val="20"/>
    </w:rPr>
  </w:style>
  <w:style w:type="paragraph" w:customStyle="1" w:styleId="Estilo1">
    <w:name w:val="Estilo1"/>
    <w:basedOn w:val="Ttulo1"/>
    <w:next w:val="Ttulo1"/>
    <w:autoRedefine/>
    <w:qFormat/>
    <w:pPr>
      <w:keepLines w:val="0"/>
      <w:numPr>
        <w:numId w:val="20"/>
      </w:numPr>
      <w:tabs>
        <w:tab w:val="num" w:pos="360"/>
      </w:tabs>
      <w:autoSpaceDE w:val="0"/>
      <w:autoSpaceDN w:val="0"/>
      <w:adjustRightInd w:val="0"/>
      <w:spacing w:before="0" w:line="340" w:lineRule="exact"/>
      <w:jc w:val="center"/>
    </w:pPr>
    <w:rPr>
      <w:rFonts w:ascii="Verdana" w:eastAsia="Times New Roman" w:hAnsi="Verdana" w:cs="Arial"/>
      <w:b/>
      <w:iCs/>
      <w:color w:val="000000"/>
      <w:sz w:val="20"/>
      <w:szCs w:val="20"/>
      <w:lang w:val="en-US"/>
    </w:rPr>
  </w:style>
  <w:style w:type="character" w:customStyle="1" w:styleId="Ttulo1Char">
    <w:name w:val="Título 1 Char"/>
    <w:basedOn w:val="Fontepargpadro"/>
    <w:link w:val="Ttulo1"/>
    <w:uiPriority w:val="9"/>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pPr>
      <w:spacing w:before="100" w:beforeAutospacing="1" w:after="100" w:afterAutospacing="1" w:line="240" w:lineRule="auto"/>
    </w:pPr>
    <w:rPr>
      <w:rFonts w:ascii="Arial Unicode MS" w:hAnsi="Times New Roman"/>
      <w:sz w:val="24"/>
      <w:szCs w:val="24"/>
    </w:rPr>
  </w:style>
  <w:style w:type="character" w:styleId="TextodoEspaoReservado">
    <w:name w:val="Placeholder Text"/>
    <w:basedOn w:val="Fontepargpadro"/>
    <w:uiPriority w:val="99"/>
    <w:semiHidden/>
    <w:rPr>
      <w:color w:val="808080"/>
    </w:rPr>
  </w:style>
  <w:style w:type="paragraph" w:styleId="Corpodetexto3">
    <w:name w:val="Body Text 3"/>
    <w:basedOn w:val="Normal"/>
    <w:link w:val="Corpodetexto3Char"/>
    <w:uiPriority w:val="99"/>
    <w:semiHidden/>
    <w:unhideWhenUsed/>
    <w:pPr>
      <w:spacing w:after="120"/>
    </w:pPr>
    <w:rPr>
      <w:sz w:val="16"/>
      <w:szCs w:val="16"/>
    </w:rPr>
  </w:style>
  <w:style w:type="character" w:customStyle="1" w:styleId="Corpodetexto3Char">
    <w:name w:val="Corpo de texto 3 Char"/>
    <w:basedOn w:val="Fontepargpadro"/>
    <w:link w:val="Corpodetexto3"/>
    <w:uiPriority w:val="99"/>
    <w:semiHidden/>
    <w:rPr>
      <w:sz w:val="16"/>
      <w:szCs w:val="16"/>
    </w:rPr>
  </w:style>
  <w:style w:type="paragraph" w:styleId="Corpodetexto2">
    <w:name w:val="Body Text 2"/>
    <w:basedOn w:val="Normal"/>
    <w:link w:val="Corpodetexto2Char"/>
    <w:uiPriority w:val="99"/>
    <w:semiHidden/>
    <w:unhideWhenUsed/>
    <w:pPr>
      <w:spacing w:after="120" w:line="480" w:lineRule="auto"/>
    </w:pPr>
  </w:style>
  <w:style w:type="character" w:customStyle="1" w:styleId="Corpodetexto2Char">
    <w:name w:val="Corpo de texto 2 Char"/>
    <w:basedOn w:val="Fontepargpadro"/>
    <w:link w:val="Corpodetexto2"/>
    <w:uiPriority w:val="99"/>
    <w:semiHidden/>
    <w:rPr>
      <w:sz w:val="22"/>
      <w:szCs w:val="22"/>
    </w:rPr>
  </w:style>
  <w:style w:type="paragraph" w:customStyle="1" w:styleId="a">
    <w:name w:val="a)"/>
    <w:next w:val="Normal"/>
    <w:pPr>
      <w:spacing w:before="240" w:after="120"/>
      <w:ind w:left="567" w:hanging="567"/>
      <w:jc w:val="both"/>
    </w:pPr>
    <w:rPr>
      <w:rFonts w:ascii="Arial" w:hAnsi="Arial"/>
      <w:sz w:val="24"/>
    </w:rPr>
  </w:style>
  <w:style w:type="character" w:styleId="Nmerodepgina">
    <w:name w:val="page number"/>
    <w:basedOn w:val="Fontepargpadro"/>
    <w:uiPriority w:val="99"/>
    <w:semiHidden/>
    <w:unhideWhenUsed/>
  </w:style>
  <w:style w:type="character" w:customStyle="1" w:styleId="MenoPendente1">
    <w:name w:val="Menção Pendente1"/>
    <w:basedOn w:val="Fontepargpadro"/>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98306">
      <w:bodyDiv w:val="1"/>
      <w:marLeft w:val="0"/>
      <w:marRight w:val="0"/>
      <w:marTop w:val="0"/>
      <w:marBottom w:val="0"/>
      <w:divBdr>
        <w:top w:val="none" w:sz="0" w:space="0" w:color="auto"/>
        <w:left w:val="none" w:sz="0" w:space="0" w:color="auto"/>
        <w:bottom w:val="none" w:sz="0" w:space="0" w:color="auto"/>
        <w:right w:val="none" w:sz="0" w:space="0" w:color="auto"/>
      </w:divBdr>
    </w:div>
    <w:div w:id="182087516">
      <w:bodyDiv w:val="1"/>
      <w:marLeft w:val="0"/>
      <w:marRight w:val="0"/>
      <w:marTop w:val="0"/>
      <w:marBottom w:val="0"/>
      <w:divBdr>
        <w:top w:val="none" w:sz="0" w:space="0" w:color="auto"/>
        <w:left w:val="none" w:sz="0" w:space="0" w:color="auto"/>
        <w:bottom w:val="none" w:sz="0" w:space="0" w:color="auto"/>
        <w:right w:val="none" w:sz="0" w:space="0" w:color="auto"/>
      </w:divBdr>
    </w:div>
    <w:div w:id="188027477">
      <w:bodyDiv w:val="1"/>
      <w:marLeft w:val="0"/>
      <w:marRight w:val="0"/>
      <w:marTop w:val="0"/>
      <w:marBottom w:val="0"/>
      <w:divBdr>
        <w:top w:val="none" w:sz="0" w:space="0" w:color="auto"/>
        <w:left w:val="none" w:sz="0" w:space="0" w:color="auto"/>
        <w:bottom w:val="none" w:sz="0" w:space="0" w:color="auto"/>
        <w:right w:val="none" w:sz="0" w:space="0" w:color="auto"/>
      </w:divBdr>
    </w:div>
    <w:div w:id="239827673">
      <w:bodyDiv w:val="1"/>
      <w:marLeft w:val="0"/>
      <w:marRight w:val="0"/>
      <w:marTop w:val="0"/>
      <w:marBottom w:val="0"/>
      <w:divBdr>
        <w:top w:val="none" w:sz="0" w:space="0" w:color="auto"/>
        <w:left w:val="none" w:sz="0" w:space="0" w:color="auto"/>
        <w:bottom w:val="none" w:sz="0" w:space="0" w:color="auto"/>
        <w:right w:val="none" w:sz="0" w:space="0" w:color="auto"/>
      </w:divBdr>
    </w:div>
    <w:div w:id="276454296">
      <w:bodyDiv w:val="1"/>
      <w:marLeft w:val="0"/>
      <w:marRight w:val="0"/>
      <w:marTop w:val="0"/>
      <w:marBottom w:val="0"/>
      <w:divBdr>
        <w:top w:val="none" w:sz="0" w:space="0" w:color="auto"/>
        <w:left w:val="none" w:sz="0" w:space="0" w:color="auto"/>
        <w:bottom w:val="none" w:sz="0" w:space="0" w:color="auto"/>
        <w:right w:val="none" w:sz="0" w:space="0" w:color="auto"/>
      </w:divBdr>
    </w:div>
    <w:div w:id="324280090">
      <w:bodyDiv w:val="1"/>
      <w:marLeft w:val="0"/>
      <w:marRight w:val="0"/>
      <w:marTop w:val="0"/>
      <w:marBottom w:val="0"/>
      <w:divBdr>
        <w:top w:val="none" w:sz="0" w:space="0" w:color="auto"/>
        <w:left w:val="none" w:sz="0" w:space="0" w:color="auto"/>
        <w:bottom w:val="none" w:sz="0" w:space="0" w:color="auto"/>
        <w:right w:val="none" w:sz="0" w:space="0" w:color="auto"/>
      </w:divBdr>
    </w:div>
    <w:div w:id="478158790">
      <w:bodyDiv w:val="1"/>
      <w:marLeft w:val="0"/>
      <w:marRight w:val="0"/>
      <w:marTop w:val="0"/>
      <w:marBottom w:val="0"/>
      <w:divBdr>
        <w:top w:val="none" w:sz="0" w:space="0" w:color="auto"/>
        <w:left w:val="none" w:sz="0" w:space="0" w:color="auto"/>
        <w:bottom w:val="none" w:sz="0" w:space="0" w:color="auto"/>
        <w:right w:val="none" w:sz="0" w:space="0" w:color="auto"/>
      </w:divBdr>
    </w:div>
    <w:div w:id="555120158">
      <w:bodyDiv w:val="1"/>
      <w:marLeft w:val="0"/>
      <w:marRight w:val="0"/>
      <w:marTop w:val="0"/>
      <w:marBottom w:val="0"/>
      <w:divBdr>
        <w:top w:val="none" w:sz="0" w:space="0" w:color="auto"/>
        <w:left w:val="none" w:sz="0" w:space="0" w:color="auto"/>
        <w:bottom w:val="none" w:sz="0" w:space="0" w:color="auto"/>
        <w:right w:val="none" w:sz="0" w:space="0" w:color="auto"/>
      </w:divBdr>
    </w:div>
    <w:div w:id="597560269">
      <w:bodyDiv w:val="1"/>
      <w:marLeft w:val="0"/>
      <w:marRight w:val="0"/>
      <w:marTop w:val="0"/>
      <w:marBottom w:val="0"/>
      <w:divBdr>
        <w:top w:val="none" w:sz="0" w:space="0" w:color="auto"/>
        <w:left w:val="none" w:sz="0" w:space="0" w:color="auto"/>
        <w:bottom w:val="none" w:sz="0" w:space="0" w:color="auto"/>
        <w:right w:val="none" w:sz="0" w:space="0" w:color="auto"/>
      </w:divBdr>
    </w:div>
    <w:div w:id="691226108">
      <w:bodyDiv w:val="1"/>
      <w:marLeft w:val="0"/>
      <w:marRight w:val="0"/>
      <w:marTop w:val="0"/>
      <w:marBottom w:val="0"/>
      <w:divBdr>
        <w:top w:val="none" w:sz="0" w:space="0" w:color="auto"/>
        <w:left w:val="none" w:sz="0" w:space="0" w:color="auto"/>
        <w:bottom w:val="none" w:sz="0" w:space="0" w:color="auto"/>
        <w:right w:val="none" w:sz="0" w:space="0" w:color="auto"/>
      </w:divBdr>
    </w:div>
    <w:div w:id="879821055">
      <w:bodyDiv w:val="1"/>
      <w:marLeft w:val="0"/>
      <w:marRight w:val="0"/>
      <w:marTop w:val="0"/>
      <w:marBottom w:val="0"/>
      <w:divBdr>
        <w:top w:val="none" w:sz="0" w:space="0" w:color="auto"/>
        <w:left w:val="none" w:sz="0" w:space="0" w:color="auto"/>
        <w:bottom w:val="none" w:sz="0" w:space="0" w:color="auto"/>
        <w:right w:val="none" w:sz="0" w:space="0" w:color="auto"/>
      </w:divBdr>
    </w:div>
    <w:div w:id="883249020">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2913152">
      <w:bodyDiv w:val="1"/>
      <w:marLeft w:val="0"/>
      <w:marRight w:val="0"/>
      <w:marTop w:val="0"/>
      <w:marBottom w:val="0"/>
      <w:divBdr>
        <w:top w:val="none" w:sz="0" w:space="0" w:color="auto"/>
        <w:left w:val="none" w:sz="0" w:space="0" w:color="auto"/>
        <w:bottom w:val="none" w:sz="0" w:space="0" w:color="auto"/>
        <w:right w:val="none" w:sz="0" w:space="0" w:color="auto"/>
      </w:divBdr>
    </w:div>
    <w:div w:id="976883361">
      <w:bodyDiv w:val="1"/>
      <w:marLeft w:val="0"/>
      <w:marRight w:val="0"/>
      <w:marTop w:val="0"/>
      <w:marBottom w:val="0"/>
      <w:divBdr>
        <w:top w:val="none" w:sz="0" w:space="0" w:color="auto"/>
        <w:left w:val="none" w:sz="0" w:space="0" w:color="auto"/>
        <w:bottom w:val="none" w:sz="0" w:space="0" w:color="auto"/>
        <w:right w:val="none" w:sz="0" w:space="0" w:color="auto"/>
      </w:divBdr>
    </w:div>
    <w:div w:id="996155679">
      <w:bodyDiv w:val="1"/>
      <w:marLeft w:val="0"/>
      <w:marRight w:val="0"/>
      <w:marTop w:val="0"/>
      <w:marBottom w:val="0"/>
      <w:divBdr>
        <w:top w:val="none" w:sz="0" w:space="0" w:color="auto"/>
        <w:left w:val="none" w:sz="0" w:space="0" w:color="auto"/>
        <w:bottom w:val="none" w:sz="0" w:space="0" w:color="auto"/>
        <w:right w:val="none" w:sz="0" w:space="0" w:color="auto"/>
      </w:divBdr>
    </w:div>
    <w:div w:id="1030447594">
      <w:bodyDiv w:val="1"/>
      <w:marLeft w:val="0"/>
      <w:marRight w:val="0"/>
      <w:marTop w:val="0"/>
      <w:marBottom w:val="0"/>
      <w:divBdr>
        <w:top w:val="none" w:sz="0" w:space="0" w:color="auto"/>
        <w:left w:val="none" w:sz="0" w:space="0" w:color="auto"/>
        <w:bottom w:val="none" w:sz="0" w:space="0" w:color="auto"/>
        <w:right w:val="none" w:sz="0" w:space="0" w:color="auto"/>
      </w:divBdr>
    </w:div>
    <w:div w:id="1084259268">
      <w:bodyDiv w:val="1"/>
      <w:marLeft w:val="0"/>
      <w:marRight w:val="0"/>
      <w:marTop w:val="0"/>
      <w:marBottom w:val="0"/>
      <w:divBdr>
        <w:top w:val="none" w:sz="0" w:space="0" w:color="auto"/>
        <w:left w:val="none" w:sz="0" w:space="0" w:color="auto"/>
        <w:bottom w:val="none" w:sz="0" w:space="0" w:color="auto"/>
        <w:right w:val="none" w:sz="0" w:space="0" w:color="auto"/>
      </w:divBdr>
    </w:div>
    <w:div w:id="1153644065">
      <w:bodyDiv w:val="1"/>
      <w:marLeft w:val="0"/>
      <w:marRight w:val="0"/>
      <w:marTop w:val="0"/>
      <w:marBottom w:val="0"/>
      <w:divBdr>
        <w:top w:val="none" w:sz="0" w:space="0" w:color="auto"/>
        <w:left w:val="none" w:sz="0" w:space="0" w:color="auto"/>
        <w:bottom w:val="none" w:sz="0" w:space="0" w:color="auto"/>
        <w:right w:val="none" w:sz="0" w:space="0" w:color="auto"/>
      </w:divBdr>
    </w:div>
    <w:div w:id="1167327334">
      <w:bodyDiv w:val="1"/>
      <w:marLeft w:val="0"/>
      <w:marRight w:val="0"/>
      <w:marTop w:val="0"/>
      <w:marBottom w:val="0"/>
      <w:divBdr>
        <w:top w:val="none" w:sz="0" w:space="0" w:color="auto"/>
        <w:left w:val="none" w:sz="0" w:space="0" w:color="auto"/>
        <w:bottom w:val="none" w:sz="0" w:space="0" w:color="auto"/>
        <w:right w:val="none" w:sz="0" w:space="0" w:color="auto"/>
      </w:divBdr>
    </w:div>
    <w:div w:id="1322809150">
      <w:bodyDiv w:val="1"/>
      <w:marLeft w:val="0"/>
      <w:marRight w:val="0"/>
      <w:marTop w:val="0"/>
      <w:marBottom w:val="0"/>
      <w:divBdr>
        <w:top w:val="none" w:sz="0" w:space="0" w:color="auto"/>
        <w:left w:val="none" w:sz="0" w:space="0" w:color="auto"/>
        <w:bottom w:val="none" w:sz="0" w:space="0" w:color="auto"/>
        <w:right w:val="none" w:sz="0" w:space="0" w:color="auto"/>
      </w:divBdr>
      <w:divsChild>
        <w:div w:id="1983458679">
          <w:marLeft w:val="0"/>
          <w:marRight w:val="0"/>
          <w:marTop w:val="0"/>
          <w:marBottom w:val="0"/>
          <w:divBdr>
            <w:top w:val="none" w:sz="0" w:space="0" w:color="auto"/>
            <w:left w:val="none" w:sz="0" w:space="0" w:color="auto"/>
            <w:bottom w:val="none" w:sz="0" w:space="0" w:color="auto"/>
            <w:right w:val="none" w:sz="0" w:space="0" w:color="auto"/>
          </w:divBdr>
          <w:divsChild>
            <w:div w:id="1020544555">
              <w:marLeft w:val="0"/>
              <w:marRight w:val="0"/>
              <w:marTop w:val="0"/>
              <w:marBottom w:val="0"/>
              <w:divBdr>
                <w:top w:val="none" w:sz="0" w:space="0" w:color="auto"/>
                <w:left w:val="none" w:sz="0" w:space="0" w:color="auto"/>
                <w:bottom w:val="none" w:sz="0" w:space="0" w:color="auto"/>
                <w:right w:val="none" w:sz="0" w:space="0" w:color="auto"/>
              </w:divBdr>
              <w:divsChild>
                <w:div w:id="1870021648">
                  <w:marLeft w:val="0"/>
                  <w:marRight w:val="0"/>
                  <w:marTop w:val="0"/>
                  <w:marBottom w:val="0"/>
                  <w:divBdr>
                    <w:top w:val="none" w:sz="0" w:space="0" w:color="auto"/>
                    <w:left w:val="none" w:sz="0" w:space="0" w:color="auto"/>
                    <w:bottom w:val="none" w:sz="0" w:space="0" w:color="auto"/>
                    <w:right w:val="none" w:sz="0" w:space="0" w:color="auto"/>
                  </w:divBdr>
                  <w:divsChild>
                    <w:div w:id="387653947">
                      <w:marLeft w:val="0"/>
                      <w:marRight w:val="0"/>
                      <w:marTop w:val="0"/>
                      <w:marBottom w:val="0"/>
                      <w:divBdr>
                        <w:top w:val="none" w:sz="0" w:space="0" w:color="auto"/>
                        <w:left w:val="none" w:sz="0" w:space="0" w:color="auto"/>
                        <w:bottom w:val="none" w:sz="0" w:space="0" w:color="auto"/>
                        <w:right w:val="none" w:sz="0" w:space="0" w:color="auto"/>
                      </w:divBdr>
                      <w:divsChild>
                        <w:div w:id="1915164941">
                          <w:marLeft w:val="0"/>
                          <w:marRight w:val="0"/>
                          <w:marTop w:val="0"/>
                          <w:marBottom w:val="0"/>
                          <w:divBdr>
                            <w:top w:val="none" w:sz="0" w:space="0" w:color="auto"/>
                            <w:left w:val="none" w:sz="0" w:space="0" w:color="auto"/>
                            <w:bottom w:val="none" w:sz="0" w:space="0" w:color="auto"/>
                            <w:right w:val="none" w:sz="0" w:space="0" w:color="auto"/>
                          </w:divBdr>
                          <w:divsChild>
                            <w:div w:id="1025597179">
                              <w:marLeft w:val="0"/>
                              <w:marRight w:val="0"/>
                              <w:marTop w:val="0"/>
                              <w:marBottom w:val="0"/>
                              <w:divBdr>
                                <w:top w:val="none" w:sz="0" w:space="0" w:color="auto"/>
                                <w:left w:val="none" w:sz="0" w:space="0" w:color="auto"/>
                                <w:bottom w:val="none" w:sz="0" w:space="0" w:color="auto"/>
                                <w:right w:val="none" w:sz="0" w:space="0" w:color="auto"/>
                              </w:divBdr>
                              <w:divsChild>
                                <w:div w:id="748767125">
                                  <w:marLeft w:val="0"/>
                                  <w:marRight w:val="0"/>
                                  <w:marTop w:val="0"/>
                                  <w:marBottom w:val="0"/>
                                  <w:divBdr>
                                    <w:top w:val="none" w:sz="0" w:space="0" w:color="auto"/>
                                    <w:left w:val="none" w:sz="0" w:space="0" w:color="auto"/>
                                    <w:bottom w:val="none" w:sz="0" w:space="0" w:color="auto"/>
                                    <w:right w:val="none" w:sz="0" w:space="0" w:color="auto"/>
                                  </w:divBdr>
                                  <w:divsChild>
                                    <w:div w:id="128285292">
                                      <w:marLeft w:val="60"/>
                                      <w:marRight w:val="0"/>
                                      <w:marTop w:val="0"/>
                                      <w:marBottom w:val="0"/>
                                      <w:divBdr>
                                        <w:top w:val="none" w:sz="0" w:space="0" w:color="auto"/>
                                        <w:left w:val="none" w:sz="0" w:space="0" w:color="auto"/>
                                        <w:bottom w:val="none" w:sz="0" w:space="0" w:color="auto"/>
                                        <w:right w:val="none" w:sz="0" w:space="0" w:color="auto"/>
                                      </w:divBdr>
                                      <w:divsChild>
                                        <w:div w:id="233131897">
                                          <w:marLeft w:val="0"/>
                                          <w:marRight w:val="0"/>
                                          <w:marTop w:val="0"/>
                                          <w:marBottom w:val="0"/>
                                          <w:divBdr>
                                            <w:top w:val="none" w:sz="0" w:space="0" w:color="auto"/>
                                            <w:left w:val="none" w:sz="0" w:space="0" w:color="auto"/>
                                            <w:bottom w:val="none" w:sz="0" w:space="0" w:color="auto"/>
                                            <w:right w:val="none" w:sz="0" w:space="0" w:color="auto"/>
                                          </w:divBdr>
                                          <w:divsChild>
                                            <w:div w:id="1418866188">
                                              <w:marLeft w:val="0"/>
                                              <w:marRight w:val="0"/>
                                              <w:marTop w:val="0"/>
                                              <w:marBottom w:val="120"/>
                                              <w:divBdr>
                                                <w:top w:val="single" w:sz="6" w:space="0" w:color="F5F5F5"/>
                                                <w:left w:val="single" w:sz="6" w:space="0" w:color="F5F5F5"/>
                                                <w:bottom w:val="single" w:sz="6" w:space="0" w:color="F5F5F5"/>
                                                <w:right w:val="single" w:sz="6" w:space="0" w:color="F5F5F5"/>
                                              </w:divBdr>
                                              <w:divsChild>
                                                <w:div w:id="1863351551">
                                                  <w:marLeft w:val="0"/>
                                                  <w:marRight w:val="0"/>
                                                  <w:marTop w:val="0"/>
                                                  <w:marBottom w:val="0"/>
                                                  <w:divBdr>
                                                    <w:top w:val="none" w:sz="0" w:space="0" w:color="auto"/>
                                                    <w:left w:val="none" w:sz="0" w:space="0" w:color="auto"/>
                                                    <w:bottom w:val="none" w:sz="0" w:space="0" w:color="auto"/>
                                                    <w:right w:val="none" w:sz="0" w:space="0" w:color="auto"/>
                                                  </w:divBdr>
                                                  <w:divsChild>
                                                    <w:div w:id="1805004629">
                                                      <w:marLeft w:val="0"/>
                                                      <w:marRight w:val="0"/>
                                                      <w:marTop w:val="0"/>
                                                      <w:marBottom w:val="0"/>
                                                      <w:divBdr>
                                                        <w:top w:val="none" w:sz="0" w:space="0" w:color="auto"/>
                                                        <w:left w:val="none" w:sz="0" w:space="0" w:color="auto"/>
                                                        <w:bottom w:val="none" w:sz="0" w:space="0" w:color="auto"/>
                                                        <w:right w:val="none" w:sz="0" w:space="0" w:color="auto"/>
                                                      </w:divBdr>
                                                    </w:div>
                                                  </w:divsChild>
                                                </w:div>
                                                <w:div w:id="2102872929">
                                                  <w:marLeft w:val="0"/>
                                                  <w:marRight w:val="0"/>
                                                  <w:marTop w:val="0"/>
                                                  <w:marBottom w:val="0"/>
                                                  <w:divBdr>
                                                    <w:top w:val="none" w:sz="0" w:space="0" w:color="auto"/>
                                                    <w:left w:val="none" w:sz="0" w:space="0" w:color="auto"/>
                                                    <w:bottom w:val="none" w:sz="0" w:space="0" w:color="auto"/>
                                                    <w:right w:val="none" w:sz="0" w:space="0" w:color="auto"/>
                                                  </w:divBdr>
                                                  <w:divsChild>
                                                    <w:div w:id="1995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239609">
      <w:bodyDiv w:val="1"/>
      <w:marLeft w:val="0"/>
      <w:marRight w:val="0"/>
      <w:marTop w:val="0"/>
      <w:marBottom w:val="0"/>
      <w:divBdr>
        <w:top w:val="none" w:sz="0" w:space="0" w:color="auto"/>
        <w:left w:val="none" w:sz="0" w:space="0" w:color="auto"/>
        <w:bottom w:val="none" w:sz="0" w:space="0" w:color="auto"/>
        <w:right w:val="none" w:sz="0" w:space="0" w:color="auto"/>
      </w:divBdr>
      <w:divsChild>
        <w:div w:id="2135904527">
          <w:marLeft w:val="418"/>
          <w:marRight w:val="0"/>
          <w:marTop w:val="0"/>
          <w:marBottom w:val="0"/>
          <w:divBdr>
            <w:top w:val="none" w:sz="0" w:space="0" w:color="auto"/>
            <w:left w:val="none" w:sz="0" w:space="0" w:color="auto"/>
            <w:bottom w:val="none" w:sz="0" w:space="0" w:color="auto"/>
            <w:right w:val="none" w:sz="0" w:space="0" w:color="auto"/>
          </w:divBdr>
        </w:div>
      </w:divsChild>
    </w:div>
    <w:div w:id="1350327335">
      <w:bodyDiv w:val="1"/>
      <w:marLeft w:val="0"/>
      <w:marRight w:val="0"/>
      <w:marTop w:val="0"/>
      <w:marBottom w:val="0"/>
      <w:divBdr>
        <w:top w:val="none" w:sz="0" w:space="0" w:color="auto"/>
        <w:left w:val="none" w:sz="0" w:space="0" w:color="auto"/>
        <w:bottom w:val="none" w:sz="0" w:space="0" w:color="auto"/>
        <w:right w:val="none" w:sz="0" w:space="0" w:color="auto"/>
      </w:divBdr>
    </w:div>
    <w:div w:id="1493526288">
      <w:bodyDiv w:val="1"/>
      <w:marLeft w:val="0"/>
      <w:marRight w:val="0"/>
      <w:marTop w:val="0"/>
      <w:marBottom w:val="0"/>
      <w:divBdr>
        <w:top w:val="none" w:sz="0" w:space="0" w:color="auto"/>
        <w:left w:val="none" w:sz="0" w:space="0" w:color="auto"/>
        <w:bottom w:val="none" w:sz="0" w:space="0" w:color="auto"/>
        <w:right w:val="none" w:sz="0" w:space="0" w:color="auto"/>
      </w:divBdr>
      <w:divsChild>
        <w:div w:id="2137603332">
          <w:marLeft w:val="418"/>
          <w:marRight w:val="0"/>
          <w:marTop w:val="0"/>
          <w:marBottom w:val="0"/>
          <w:divBdr>
            <w:top w:val="none" w:sz="0" w:space="0" w:color="auto"/>
            <w:left w:val="none" w:sz="0" w:space="0" w:color="auto"/>
            <w:bottom w:val="none" w:sz="0" w:space="0" w:color="auto"/>
            <w:right w:val="none" w:sz="0" w:space="0" w:color="auto"/>
          </w:divBdr>
        </w:div>
      </w:divsChild>
    </w:div>
    <w:div w:id="1508514919">
      <w:bodyDiv w:val="1"/>
      <w:marLeft w:val="0"/>
      <w:marRight w:val="0"/>
      <w:marTop w:val="0"/>
      <w:marBottom w:val="0"/>
      <w:divBdr>
        <w:top w:val="none" w:sz="0" w:space="0" w:color="auto"/>
        <w:left w:val="none" w:sz="0" w:space="0" w:color="auto"/>
        <w:bottom w:val="none" w:sz="0" w:space="0" w:color="auto"/>
        <w:right w:val="none" w:sz="0" w:space="0" w:color="auto"/>
      </w:divBdr>
    </w:div>
    <w:div w:id="1568609811">
      <w:bodyDiv w:val="1"/>
      <w:marLeft w:val="0"/>
      <w:marRight w:val="0"/>
      <w:marTop w:val="0"/>
      <w:marBottom w:val="0"/>
      <w:divBdr>
        <w:top w:val="none" w:sz="0" w:space="0" w:color="auto"/>
        <w:left w:val="none" w:sz="0" w:space="0" w:color="auto"/>
        <w:bottom w:val="none" w:sz="0" w:space="0" w:color="auto"/>
        <w:right w:val="none" w:sz="0" w:space="0" w:color="auto"/>
      </w:divBdr>
    </w:div>
    <w:div w:id="1610119437">
      <w:bodyDiv w:val="1"/>
      <w:marLeft w:val="0"/>
      <w:marRight w:val="0"/>
      <w:marTop w:val="0"/>
      <w:marBottom w:val="0"/>
      <w:divBdr>
        <w:top w:val="none" w:sz="0" w:space="0" w:color="auto"/>
        <w:left w:val="none" w:sz="0" w:space="0" w:color="auto"/>
        <w:bottom w:val="none" w:sz="0" w:space="0" w:color="auto"/>
        <w:right w:val="none" w:sz="0" w:space="0" w:color="auto"/>
      </w:divBdr>
    </w:div>
    <w:div w:id="1611160585">
      <w:bodyDiv w:val="1"/>
      <w:marLeft w:val="0"/>
      <w:marRight w:val="0"/>
      <w:marTop w:val="0"/>
      <w:marBottom w:val="0"/>
      <w:divBdr>
        <w:top w:val="none" w:sz="0" w:space="0" w:color="auto"/>
        <w:left w:val="none" w:sz="0" w:space="0" w:color="auto"/>
        <w:bottom w:val="none" w:sz="0" w:space="0" w:color="auto"/>
        <w:right w:val="none" w:sz="0" w:space="0" w:color="auto"/>
      </w:divBdr>
    </w:div>
    <w:div w:id="1740863601">
      <w:bodyDiv w:val="1"/>
      <w:marLeft w:val="0"/>
      <w:marRight w:val="0"/>
      <w:marTop w:val="0"/>
      <w:marBottom w:val="0"/>
      <w:divBdr>
        <w:top w:val="none" w:sz="0" w:space="0" w:color="auto"/>
        <w:left w:val="none" w:sz="0" w:space="0" w:color="auto"/>
        <w:bottom w:val="none" w:sz="0" w:space="0" w:color="auto"/>
        <w:right w:val="none" w:sz="0" w:space="0" w:color="auto"/>
      </w:divBdr>
    </w:div>
    <w:div w:id="1856651548">
      <w:bodyDiv w:val="1"/>
      <w:marLeft w:val="0"/>
      <w:marRight w:val="0"/>
      <w:marTop w:val="0"/>
      <w:marBottom w:val="0"/>
      <w:divBdr>
        <w:top w:val="none" w:sz="0" w:space="0" w:color="auto"/>
        <w:left w:val="none" w:sz="0" w:space="0" w:color="auto"/>
        <w:bottom w:val="none" w:sz="0" w:space="0" w:color="auto"/>
        <w:right w:val="none" w:sz="0" w:space="0" w:color="auto"/>
      </w:divBdr>
    </w:div>
    <w:div w:id="1861894960">
      <w:bodyDiv w:val="1"/>
      <w:marLeft w:val="0"/>
      <w:marRight w:val="0"/>
      <w:marTop w:val="0"/>
      <w:marBottom w:val="0"/>
      <w:divBdr>
        <w:top w:val="none" w:sz="0" w:space="0" w:color="auto"/>
        <w:left w:val="none" w:sz="0" w:space="0" w:color="auto"/>
        <w:bottom w:val="none" w:sz="0" w:space="0" w:color="auto"/>
        <w:right w:val="none" w:sz="0" w:space="0" w:color="auto"/>
      </w:divBdr>
    </w:div>
    <w:div w:id="1879662594">
      <w:bodyDiv w:val="1"/>
      <w:marLeft w:val="0"/>
      <w:marRight w:val="0"/>
      <w:marTop w:val="0"/>
      <w:marBottom w:val="0"/>
      <w:divBdr>
        <w:top w:val="none" w:sz="0" w:space="0" w:color="auto"/>
        <w:left w:val="none" w:sz="0" w:space="0" w:color="auto"/>
        <w:bottom w:val="none" w:sz="0" w:space="0" w:color="auto"/>
        <w:right w:val="none" w:sz="0" w:space="0" w:color="auto"/>
      </w:divBdr>
    </w:div>
    <w:div w:id="1909608372">
      <w:bodyDiv w:val="1"/>
      <w:marLeft w:val="0"/>
      <w:marRight w:val="0"/>
      <w:marTop w:val="0"/>
      <w:marBottom w:val="0"/>
      <w:divBdr>
        <w:top w:val="none" w:sz="0" w:space="0" w:color="auto"/>
        <w:left w:val="none" w:sz="0" w:space="0" w:color="auto"/>
        <w:bottom w:val="none" w:sz="0" w:space="0" w:color="auto"/>
        <w:right w:val="none" w:sz="0" w:space="0" w:color="auto"/>
      </w:divBdr>
    </w:div>
    <w:div w:id="1994134752">
      <w:bodyDiv w:val="1"/>
      <w:marLeft w:val="0"/>
      <w:marRight w:val="0"/>
      <w:marTop w:val="0"/>
      <w:marBottom w:val="0"/>
      <w:divBdr>
        <w:top w:val="none" w:sz="0" w:space="0" w:color="auto"/>
        <w:left w:val="none" w:sz="0" w:space="0" w:color="auto"/>
        <w:bottom w:val="none" w:sz="0" w:space="0" w:color="auto"/>
        <w:right w:val="none" w:sz="0" w:space="0" w:color="auto"/>
      </w:divBdr>
    </w:div>
    <w:div w:id="1998336245">
      <w:bodyDiv w:val="1"/>
      <w:marLeft w:val="0"/>
      <w:marRight w:val="0"/>
      <w:marTop w:val="0"/>
      <w:marBottom w:val="0"/>
      <w:divBdr>
        <w:top w:val="none" w:sz="0" w:space="0" w:color="auto"/>
        <w:left w:val="none" w:sz="0" w:space="0" w:color="auto"/>
        <w:bottom w:val="none" w:sz="0" w:space="0" w:color="auto"/>
        <w:right w:val="none" w:sz="0" w:space="0" w:color="auto"/>
      </w:divBdr>
    </w:div>
    <w:div w:id="212553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enerfin.brasil@elecnor.co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emf"/><Relationship Id="rId12" Type="http://schemas.openxmlformats.org/officeDocument/2006/relationships/hyperlink" Target="http://www.anbima.com.br"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sqescrituracao@oliveiratrust.com.br"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ger2.agente@oliveiratrust.com.br" TargetMode="External"/><Relationship Id="rId23"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mailto:antonio.amaro@oliveiratrust.com.br"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78</Pages>
  <Words>24309</Words>
  <Characters>139904</Characters>
  <Application>Microsoft Office Word</Application>
  <DocSecurity>0</DocSecurity>
  <Lines>1165</Lines>
  <Paragraphs>327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Microsoft Word - 81897_25</vt:lpstr>
    </vt:vector>
  </TitlesOfParts>
  <Company>
  </Company>
  <LinksUpToDate>false</LinksUpToDate>
  <CharactersWithSpaces>163886</CharactersWithSpaces>
  <SharedDoc>false</SharedDoc>
  <HLinks>
    <vt:vector size="12" baseType="variant">
      <vt:variant>
        <vt:i4>393262</vt:i4>
      </vt:variant>
      <vt:variant>
        <vt:i4>366</vt:i4>
      </vt:variant>
      <vt:variant>
        <vt:i4>0</vt:i4>
      </vt:variant>
      <vt:variant>
        <vt:i4>5</vt:i4>
      </vt:variant>
      <vt:variant>
        <vt:lpwstr>mailto:4010.douglas@bradesco.com.br</vt:lpwstr>
      </vt:variant>
      <vt:variant>
        <vt:lpwstr>
        </vt:lpwstr>
      </vt:variant>
      <vt:variant>
        <vt:i4>4063245</vt:i4>
      </vt:variant>
      <vt:variant>
        <vt:i4>363</vt:i4>
      </vt:variant>
      <vt:variant>
        <vt:i4>0</vt:i4>
      </vt:variant>
      <vt:variant>
        <vt:i4>5</vt:i4>
      </vt:variant>
      <vt:variant>
        <vt:lpwstr>mailto:admcont.captacaocorp@petrobras.com.br</vt:lpwstr>
      </vt:variant>
      <vt:variant>
        <vt:lpwstr>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
  </dc:creator>
  <cp:lastModifiedBy>Mateus Maia De Souza | Machado Meyer Advogados</cp:lastModifiedBy>
  <cp:revision>92</cp:revision>
  <dcterms:created xsi:type="dcterms:W3CDTF">2019-09-18T19:57:00Z</dcterms:created>
  <dcterms:modified xsi:type="dcterms:W3CDTF">2019-09-18T20:35:00Z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_x000d_TEXT - 51065841v2 13188.1 </vt:lpwstr>
  </property>
</Properties>
</file>