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3A5F"/>
          <w:sz w:val="64"/>
          <w:szCs w:val="64"/>
        </w:rPr>
        <w:t xml:space="preserve">Disk Indexer</w:t>
      </w:r>
    </w:p>
    <w:p>
      <w:pPr>
        <w:spacing w:after="100" w:before="200"/>
        <w:jc w:val="center"/>
      </w:pPr>
      <w:r>
        <w:rPr>
          <w:color w:val="2563EB"/>
          <w:sz w:val="32"/>
          <w:szCs w:val="32"/>
        </w:rPr>
        <w:t xml:space="preserve">Manuel d'utilisation</w:t>
      </w:r>
    </w:p>
    <w:p>
      <w:pPr>
        <w:spacing w:before="100"/>
        <w:jc w:val="center"/>
      </w:pPr>
      <w:r>
        <w:rPr>
          <w:i/>
          <w:iCs/>
          <w:color w:val="6B7280"/>
          <w:sz w:val="22"/>
          <w:szCs w:val="22"/>
        </w:rPr>
        <w:t xml:space="preserve">Indexation, recherche et supervision de disques multiples</w:t>
      </w:r>
    </w:p>
    <w:p>
      <w:pPr>
        <w:spacing w:before="800"/>
        <w:jc w:val="center"/>
      </w:pPr>
      <w:r>
        <w:rPr>
          <w:color w:val="6B7280"/>
          <w:sz w:val="20"/>
          <w:szCs w:val="20"/>
        </w:rPr>
        <w:t xml:space="preserve">Version du document — 2026</w:t>
      </w:r>
    </w:p>
    <w:p>
      <w:pPr>
        <w:pageBreakBefore/>
      </w:pPr>
    </w:p>
    <w:p>
      <w:pPr>
        <w:pStyle w:val="Heading1"/>
        <w:pBdr>
          <w:bottom w:val="single" w:color="2563EB" w:sz="6" w:space="4"/>
        </w:pBdr>
        <w:spacing w:after="200" w:before="400"/>
      </w:pPr>
      <w:r>
        <w:t xml:space="preserve">Sommaire</w:t>
      </w:r>
    </w:p>
    <w:p>
      <w:pPr>
        <w:pStyle w:val="ListParagraph"/>
        <w:numPr>
          <w:ilvl w:val="0"/>
          <w:numId w:val="1"/>
        </w:numPr>
        <w:spacing w:after="80"/>
      </w:pPr>
      <w:r>
        <w:rPr>
          <w:sz w:val="22"/>
          <w:szCs w:val="22"/>
        </w:rPr>
        <w:t xml:space="preserve">1. Présentation générale</w:t>
      </w:r>
    </w:p>
    <w:p>
      <w:pPr>
        <w:pStyle w:val="ListParagraph"/>
        <w:numPr>
          <w:ilvl w:val="0"/>
          <w:numId w:val="1"/>
        </w:numPr>
        <w:spacing w:after="80"/>
      </w:pPr>
      <w:r>
        <w:rPr>
          <w:sz w:val="22"/>
          <w:szCs w:val="22"/>
        </w:rPr>
        <w:t xml:space="preserve">2. Connexion et comptes utilisateurs</w:t>
      </w:r>
    </w:p>
    <w:p>
      <w:pPr>
        <w:pStyle w:val="ListParagraph"/>
        <w:numPr>
          <w:ilvl w:val="0"/>
          <w:numId w:val="1"/>
        </w:numPr>
        <w:spacing w:after="80"/>
      </w:pPr>
      <w:r>
        <w:rPr>
          <w:sz w:val="22"/>
          <w:szCs w:val="22"/>
        </w:rPr>
        <w:t xml:space="preserve">3. Le tableau de bord</w:t>
      </w:r>
    </w:p>
    <w:p>
      <w:pPr>
        <w:pStyle w:val="ListParagraph"/>
        <w:numPr>
          <w:ilvl w:val="0"/>
          <w:numId w:val="1"/>
        </w:numPr>
        <w:spacing w:after="80"/>
      </w:pPr>
      <w:r>
        <w:rPr>
          <w:sz w:val="22"/>
          <w:szCs w:val="22"/>
        </w:rPr>
        <w:t xml:space="preserve">4. Gérer les disques</w:t>
      </w:r>
    </w:p>
    <w:p>
      <w:pPr>
        <w:pStyle w:val="ListParagraph"/>
        <w:numPr>
          <w:ilvl w:val="0"/>
          <w:numId w:val="1"/>
        </w:numPr>
        <w:spacing w:after="80"/>
      </w:pPr>
      <w:r>
        <w:rPr>
          <w:sz w:val="22"/>
          <w:szCs w:val="22"/>
        </w:rPr>
        <w:t xml:space="preserve">5. Rechercher un fichier</w:t>
      </w:r>
    </w:p>
    <w:p>
      <w:pPr>
        <w:pStyle w:val="ListParagraph"/>
        <w:numPr>
          <w:ilvl w:val="0"/>
          <w:numId w:val="1"/>
        </w:numPr>
        <w:spacing w:after="80"/>
      </w:pPr>
      <w:r>
        <w:rPr>
          <w:sz w:val="22"/>
          <w:szCs w:val="22"/>
        </w:rPr>
        <w:t xml:space="preserve">6. Analyser l’espace disque</w:t>
      </w:r>
    </w:p>
    <w:p>
      <w:pPr>
        <w:pStyle w:val="ListParagraph"/>
        <w:numPr>
          <w:ilvl w:val="0"/>
          <w:numId w:val="1"/>
        </w:numPr>
        <w:spacing w:after="80"/>
      </w:pPr>
      <w:r>
        <w:rPr>
          <w:sz w:val="22"/>
          <w:szCs w:val="22"/>
        </w:rPr>
        <w:t xml:space="preserve">7. Détecter et supprimer les doublons</w:t>
      </w:r>
    </w:p>
    <w:p>
      <w:pPr>
        <w:pStyle w:val="ListParagraph"/>
        <w:numPr>
          <w:ilvl w:val="0"/>
          <w:numId w:val="1"/>
        </w:numPr>
        <w:spacing w:after="80"/>
      </w:pPr>
      <w:r>
        <w:rPr>
          <w:sz w:val="22"/>
          <w:szCs w:val="22"/>
        </w:rPr>
        <w:t xml:space="preserve">8. Rapport de changements</w:t>
      </w:r>
    </w:p>
    <w:p>
      <w:pPr>
        <w:pStyle w:val="ListParagraph"/>
        <w:numPr>
          <w:ilvl w:val="0"/>
          <w:numId w:val="1"/>
        </w:numPr>
        <w:spacing w:after="80"/>
      </w:pPr>
      <w:r>
        <w:rPr>
          <w:sz w:val="22"/>
          <w:szCs w:val="22"/>
        </w:rPr>
        <w:t xml:space="preserve">9. Automatisation et notifications</w:t>
      </w:r>
    </w:p>
    <w:p>
      <w:pPr>
        <w:pStyle w:val="ListParagraph"/>
        <w:numPr>
          <w:ilvl w:val="0"/>
          <w:numId w:val="1"/>
        </w:numPr>
        <w:spacing w:after="80"/>
      </w:pPr>
      <w:r>
        <w:rPr>
          <w:sz w:val="22"/>
          <w:szCs w:val="22"/>
        </w:rPr>
        <w:t xml:space="preserve">10. Contrôle d’accès par disque (administrateurs)</w:t>
      </w:r>
    </w:p>
    <w:p>
      <w:pPr>
        <w:pStyle w:val="ListParagraph"/>
        <w:numPr>
          <w:ilvl w:val="0"/>
          <w:numId w:val="1"/>
        </w:numPr>
        <w:spacing w:after="80"/>
      </w:pPr>
      <w:r>
        <w:rPr>
          <w:sz w:val="22"/>
          <w:szCs w:val="22"/>
        </w:rPr>
        <w:t xml:space="preserve">11. Gestion des utilisateurs et des agents (administrateurs)</w:t>
      </w:r>
    </w:p>
    <w:p>
      <w:pPr>
        <w:pStyle w:val="ListParagraph"/>
        <w:numPr>
          <w:ilvl w:val="0"/>
          <w:numId w:val="1"/>
        </w:numPr>
        <w:spacing w:after="80"/>
      </w:pPr>
      <w:r>
        <w:rPr>
          <w:sz w:val="22"/>
          <w:szCs w:val="22"/>
        </w:rPr>
        <w:t xml:space="preserve">12. Palette de commande et raccourcis</w:t>
      </w:r>
    </w:p>
    <w:p>
      <w:pPr>
        <w:pStyle w:val="ListParagraph"/>
        <w:numPr>
          <w:ilvl w:val="0"/>
          <w:numId w:val="1"/>
        </w:numPr>
        <w:spacing w:after="80"/>
      </w:pPr>
      <w:r>
        <w:rPr>
          <w:sz w:val="22"/>
          <w:szCs w:val="22"/>
        </w:rPr>
        <w:t xml:space="preserve">13. Mode sombre</w:t>
      </w:r>
    </w:p>
    <w:p>
      <w:pPr>
        <w:pStyle w:val="ListParagraph"/>
        <w:numPr>
          <w:ilvl w:val="0"/>
          <w:numId w:val="1"/>
        </w:numPr>
        <w:spacing w:after="80"/>
      </w:pPr>
      <w:r>
        <w:rPr>
          <w:sz w:val="22"/>
          <w:szCs w:val="22"/>
        </w:rPr>
        <w:t xml:space="preserve">14. Dépannage et questions fréquentes</w:t>
      </w:r>
    </w:p>
    <w:p>
      <w:pPr>
        <w:pageBreakBefore/>
      </w:pPr>
    </w:p>
    <w:p>
      <w:pPr>
        <w:pStyle w:val="Heading1"/>
        <w:pBdr>
          <w:bottom w:val="single" w:color="2563EB" w:sz="6" w:space="4"/>
        </w:pBdr>
        <w:spacing w:after="200" w:before="400"/>
      </w:pPr>
      <w:r>
        <w:t xml:space="preserve">1. Présentation générale</w:t>
      </w:r>
    </w:p>
    <w:p>
      <w:pPr>
        <w:spacing w:after="160"/>
      </w:pPr>
      <w:r>
        <w:rPr>
          <w:sz w:val="22"/>
          <w:szCs w:val="22"/>
        </w:rPr>
        <w:t xml:space="preserve">Disk Indexer est une application qui recense le contenu de vos disques durs (locaux ou distants), garde l'index à jour automatiquement, et vous permet de retrouver n'importe quel fichier en quelques secondes — sans avoir à parcourir manuellement des dizaines de dossiers.</w:t>
      </w:r>
    </w:p>
    <w:p>
      <w:pPr>
        <w:spacing w:after="160"/>
      </w:pPr>
      <w:r>
        <w:rPr>
          <w:sz w:val="22"/>
          <w:szCs w:val="22"/>
        </w:rPr>
        <w:t xml:space="preserve">Deux types de disques peuvent être indexés :</w:t>
      </w:r>
    </w:p>
    <w:p>
      <w:pPr>
        <w:pStyle w:val="ListParagraph"/>
        <w:numPr>
          <w:ilvl w:val="0"/>
          <w:numId w:val="1"/>
        </w:numPr>
        <w:spacing w:after="80"/>
      </w:pPr>
      <w:r>
        <w:rPr>
          <w:sz w:val="22"/>
          <w:szCs w:val="22"/>
        </w:rPr>
        <w:t xml:space="preserve">Disques serveur : branchés directement sur la machine qui héberge l’application. Le scan se fait localement, sans logiciel supplémentaire.</w:t>
      </w:r>
    </w:p>
    <w:p>
      <w:pPr>
        <w:pStyle w:val="ListParagraph"/>
        <w:numPr>
          <w:ilvl w:val="0"/>
          <w:numId w:val="1"/>
        </w:numPr>
        <w:spacing w:after="80"/>
      </w:pPr>
      <w:r>
        <w:rPr>
          <w:sz w:val="22"/>
          <w:szCs w:val="22"/>
        </w:rPr>
        <w:t xml:space="preserve">Disques agent : branchés sur un autre ordinateur du réseau. Un petit programme (l’agent) tourne sur cette machine, scanne ses disques et envoie les résultats au serveur.</w:t>
      </w:r>
    </w:p>
    <w:p>
      <w:pPr>
        <w:pBdr>
          <w:left w:val="single" w:color="2563EB" w:sz="18" w:space="8"/>
        </w:pBdr>
        <w:shd w:fill="F3F4F6" w:val="clear"/>
        <w:spacing w:after="200" w:before="120"/>
      </w:pPr>
      <w:r>
        <w:rPr>
          <w:b/>
          <w:bCs/>
          <w:color w:val="1E3A5F"/>
          <w:sz w:val="20"/>
          <w:szCs w:val="20"/>
        </w:rPr>
        <w:t xml:space="preserve">Remarque : </w:t>
      </w:r>
      <w:r>
        <w:rPr>
          <w:color w:val="374151"/>
          <w:sz w:val="20"/>
          <w:szCs w:val="20"/>
        </w:rPr>
        <w:t xml:space="preserve">Vous n’avez pas besoin de savoir de quel type est un disque pour l’utiliser au quotidien — la recherche, l’analyse d’espace et la détection de doublons fonctionnent de la même façon dans les deux cas.</w:t>
      </w:r>
    </w:p>
    <w:p>
      <w:pPr>
        <w:pStyle w:val="Heading1"/>
        <w:pBdr>
          <w:bottom w:val="single" w:color="2563EB" w:sz="6" w:space="4"/>
        </w:pBdr>
        <w:spacing w:after="200" w:before="400"/>
      </w:pPr>
      <w:r>
        <w:t xml:space="preserve">2. Connexion et comptes utilisateurs</w:t>
      </w:r>
    </w:p>
    <w:p>
      <w:pPr>
        <w:spacing w:after="160"/>
      </w:pPr>
      <w:r>
        <w:rPr>
          <w:sz w:val="22"/>
          <w:szCs w:val="22"/>
        </w:rPr>
        <w:t xml:space="preserve">L’accès à l’application nécessite un compte. Deux rôles existent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clear"/>
            <w:tcMar>
              <w:top w:type="dxa" w:w="100"/>
              <w:left w:type="dxa" w:w="120"/>
              <w:bottom w:type="dxa" w:w="100"/>
              <w:right w:type="dxa" w:w="120"/>
            </w:tcMar>
          </w:tcPr>
          <w:p>
            <w:r>
              <w:rPr>
                <w:b/>
                <w:bCs/>
                <w:color w:val="FFFFFF"/>
                <w:sz w:val="20"/>
                <w:szCs w:val="20"/>
              </w:rPr>
              <w:t xml:space="preserve">Rôle</w:t>
            </w:r>
          </w:p>
        </w:tc>
        <w:tc>
          <w:tcPr>
            <w:shd w:fill="1E3A5F" w:val="clear"/>
            <w:tcMar>
              <w:top w:type="dxa" w:w="100"/>
              <w:left w:type="dxa" w:w="120"/>
              <w:bottom w:type="dxa" w:w="100"/>
              <w:right w:type="dxa" w:w="120"/>
            </w:tcMar>
          </w:tcPr>
          <w:p>
            <w:r>
              <w:rPr>
                <w:b/>
                <w:bCs/>
                <w:color w:val="FFFFFF"/>
                <w:sz w:val="20"/>
                <w:szCs w:val="20"/>
              </w:rPr>
              <w:t xml:space="preserve">Ce qu’il peut faire</w:t>
            </w:r>
          </w:p>
        </w:tc>
      </w:tr>
      <w:tr>
        <w:tc>
          <w:tcPr>
            <w:tcMar>
              <w:top w:type="dxa" w:w="100"/>
              <w:left w:type="dxa" w:w="120"/>
              <w:bottom w:type="dxa" w:w="100"/>
              <w:right w:type="dxa" w:w="120"/>
            </w:tcMar>
          </w:tcPr>
          <w:p>
            <w:r>
              <w:rPr>
                <w:sz w:val="20"/>
                <w:szCs w:val="20"/>
              </w:rPr>
              <w:t xml:space="preserve">Administrateur</w:t>
            </w:r>
          </w:p>
        </w:tc>
        <w:tc>
          <w:tcPr>
            <w:tcMar>
              <w:top w:type="dxa" w:w="100"/>
              <w:left w:type="dxa" w:w="120"/>
              <w:bottom w:type="dxa" w:w="100"/>
              <w:right w:type="dxa" w:w="120"/>
            </w:tcMar>
          </w:tcPr>
          <w:p>
            <w:r>
              <w:rPr>
                <w:sz w:val="20"/>
                <w:szCs w:val="20"/>
              </w:rPr>
              <w:t xml:space="preserve">Accès total : gestion des disques, des utilisateurs, des agents, des accès, des réglages d’automatisation et email.</w:t>
            </w:r>
          </w:p>
        </w:tc>
      </w:tr>
      <w:tr>
        <w:tc>
          <w:tcPr>
            <w:tcMar>
              <w:top w:type="dxa" w:w="100"/>
              <w:left w:type="dxa" w:w="120"/>
              <w:bottom w:type="dxa" w:w="100"/>
              <w:right w:type="dxa" w:w="120"/>
            </w:tcMar>
          </w:tcPr>
          <w:p>
            <w:r>
              <w:rPr>
                <w:sz w:val="20"/>
                <w:szCs w:val="20"/>
              </w:rPr>
              <w:t xml:space="preserve">Utilisateur</w:t>
            </w:r>
          </w:p>
        </w:tc>
        <w:tc>
          <w:tcPr>
            <w:tcMar>
              <w:top w:type="dxa" w:w="100"/>
              <w:left w:type="dxa" w:w="120"/>
              <w:bottom w:type="dxa" w:w="100"/>
              <w:right w:type="dxa" w:w="120"/>
            </w:tcMar>
          </w:tcPr>
          <w:p>
            <w:r>
              <w:rPr>
                <w:sz w:val="20"/>
                <w:szCs w:val="20"/>
              </w:rPr>
              <w:t xml:space="preserve">Consultation et recherche sur les disques auxquels il a été autorisé par un administrateur.</w:t>
            </w:r>
          </w:p>
        </w:tc>
      </w:tr>
    </w:tbl>
    <w:p>
      <w:pPr>
        <w:spacing w:after="200"/>
      </w:pPr>
    </w:p>
    <w:p>
      <w:pPr>
        <w:pStyle w:val="Heading2"/>
        <w:spacing w:after="120" w:before="300"/>
      </w:pPr>
      <w:r>
        <w:t xml:space="preserve">Premier compte</w:t>
      </w:r>
    </w:p>
    <w:p>
      <w:pPr>
        <w:spacing w:after="160"/>
      </w:pPr>
      <w:r>
        <w:rPr>
          <w:sz w:val="22"/>
          <w:szCs w:val="22"/>
        </w:rPr>
        <w:t xml:space="preserve">Le tout premier compte créé sur une installation devient automatiquement administrateur. Les comptes suivants doivent être créés par un administrateur depuis la page des paramètres — un utilisateur ne peut pas s’inscrire librement une fois qu’un premier compte existe.</w:t>
      </w:r>
    </w:p>
    <w:p>
      <w:pPr>
        <w:pStyle w:val="Heading2"/>
        <w:spacing w:after="120" w:before="300"/>
      </w:pPr>
      <w:r>
        <w:t xml:space="preserve">Se connecter</w:t>
      </w:r>
    </w:p>
    <w:p>
      <w:pPr>
        <w:pStyle w:val="ListParagraph"/>
        <w:numPr>
          <w:ilvl w:val="0"/>
          <w:numId w:val="2"/>
        </w:numPr>
        <w:spacing w:after="80"/>
      </w:pPr>
      <w:r>
        <w:rPr>
          <w:sz w:val="22"/>
          <w:szCs w:val="22"/>
        </w:rPr>
        <w:t xml:space="preserve">Ouvrez l’application dans votre navigateur.</w:t>
      </w:r>
    </w:p>
    <w:p>
      <w:pPr>
        <w:pStyle w:val="ListParagraph"/>
        <w:numPr>
          <w:ilvl w:val="0"/>
          <w:numId w:val="2"/>
        </w:numPr>
        <w:spacing w:after="80"/>
      </w:pPr>
      <w:r>
        <w:rPr>
          <w:sz w:val="22"/>
          <w:szCs w:val="22"/>
        </w:rPr>
        <w:t xml:space="preserve">Renseignez votre email et votre mot de passe sur la page de connexion.</w:t>
      </w:r>
    </w:p>
    <w:p>
      <w:pPr>
        <w:pStyle w:val="ListParagraph"/>
        <w:numPr>
          <w:ilvl w:val="0"/>
          <w:numId w:val="2"/>
        </w:numPr>
        <w:spacing w:after="80"/>
      </w:pPr>
      <w:r>
        <w:rPr>
          <w:sz w:val="22"/>
          <w:szCs w:val="22"/>
        </w:rPr>
        <w:t xml:space="preserve">Après plusieurs tentatives échouées (5), le compte est temporairement verrouillé 10 minutes par sécurité.</w:t>
      </w:r>
    </w:p>
    <w:p>
      <w:pPr>
        <w:pStyle w:val="Heading1"/>
        <w:pBdr>
          <w:bottom w:val="single" w:color="2563EB" w:sz="6" w:space="4"/>
        </w:pBdr>
        <w:spacing w:after="200" w:before="400"/>
      </w:pPr>
      <w:r>
        <w:t xml:space="preserve">3. Le tableau de bord</w:t>
      </w:r>
    </w:p>
    <w:p>
      <w:pPr>
        <w:spacing w:after="160"/>
      </w:pPr>
      <w:r>
        <w:rPr>
          <w:sz w:val="22"/>
          <w:szCs w:val="22"/>
        </w:rPr>
        <w:t xml:space="preserve">C’est la page d’accueil. Elle liste tous les disques auxquels vous avez accès, avec pour chacun :</w:t>
      </w:r>
    </w:p>
    <w:p>
      <w:pPr>
        <w:pStyle w:val="ListParagraph"/>
        <w:numPr>
          <w:ilvl w:val="0"/>
          <w:numId w:val="1"/>
        </w:numPr>
        <w:spacing w:after="80"/>
      </w:pPr>
      <w:r>
        <w:rPr>
          <w:sz w:val="22"/>
          <w:szCs w:val="22"/>
        </w:rPr>
        <w:t xml:space="preserve">Son statut (actif, inactif, non connecté)</w:t>
      </w:r>
    </w:p>
    <w:p>
      <w:pPr>
        <w:pStyle w:val="ListParagraph"/>
        <w:numPr>
          <w:ilvl w:val="0"/>
          <w:numId w:val="1"/>
        </w:numPr>
        <w:spacing w:after="80"/>
      </w:pPr>
      <w:r>
        <w:rPr>
          <w:sz w:val="22"/>
          <w:szCs w:val="22"/>
        </w:rPr>
        <w:t xml:space="preserve">Sa source (serveur ou agent, et le nom de la machine si agent)</w:t>
      </w:r>
    </w:p>
    <w:p>
      <w:pPr>
        <w:pStyle w:val="ListParagraph"/>
        <w:numPr>
          <w:ilvl w:val="0"/>
          <w:numId w:val="1"/>
        </w:numPr>
        <w:spacing w:after="80"/>
      </w:pPr>
      <w:r>
        <w:rPr>
          <w:sz w:val="22"/>
          <w:szCs w:val="22"/>
        </w:rPr>
        <w:t xml:space="preserve">Le dernier scan effectué</w:t>
      </w:r>
    </w:p>
    <w:p>
      <w:pPr>
        <w:pStyle w:val="ListParagraph"/>
        <w:numPr>
          <w:ilvl w:val="0"/>
          <w:numId w:val="1"/>
        </w:numPr>
        <w:spacing w:after="80"/>
      </w:pPr>
      <w:r>
        <w:rPr>
          <w:sz w:val="22"/>
          <w:szCs w:val="22"/>
        </w:rPr>
        <w:t xml:space="preserve">Le nombre d’entrées indexées</w:t>
      </w:r>
    </w:p>
    <w:p>
      <w:pPr>
        <w:pStyle w:val="ListParagraph"/>
        <w:numPr>
          <w:ilvl w:val="0"/>
          <w:numId w:val="1"/>
        </w:numPr>
        <w:spacing w:after="80"/>
      </w:pPr>
      <w:r>
        <w:rPr>
          <w:sz w:val="22"/>
          <w:szCs w:val="22"/>
        </w:rPr>
        <w:t xml:space="preserve">Une barre d’espace disque (si l’information est disponible)</w:t>
      </w:r>
    </w:p>
    <w:p>
      <w:pPr>
        <w:spacing w:after="160"/>
      </w:pPr>
      <w:r>
        <w:rPr>
          <w:sz w:val="22"/>
          <w:szCs w:val="22"/>
        </w:rPr>
        <w:t xml:space="preserve">Deux affichages sont proposés, au choix, via les boutons en haut de la page :</w:t>
      </w:r>
    </w:p>
    <w:p>
      <w:pPr>
        <w:pStyle w:val="ListParagraph"/>
        <w:numPr>
          <w:ilvl w:val="0"/>
          <w:numId w:val="1"/>
        </w:numPr>
        <w:spacing w:after="80"/>
      </w:pPr>
      <w:r>
        <w:rPr>
          <w:sz w:val="22"/>
          <w:szCs w:val="22"/>
        </w:rPr>
        <w:t xml:space="preserve">Vue cartes : une carte détaillée par disque, pratique pour peu de disques.</w:t>
      </w:r>
    </w:p>
    <w:p>
      <w:pPr>
        <w:pStyle w:val="ListParagraph"/>
        <w:numPr>
          <w:ilvl w:val="0"/>
          <w:numId w:val="1"/>
        </w:numPr>
        <w:spacing w:after="80"/>
      </w:pPr>
      <w:r>
        <w:rPr>
          <w:sz w:val="22"/>
          <w:szCs w:val="22"/>
        </w:rPr>
        <w:t xml:space="preserve">Vue tableau : plus compacte, pratique quand il y a beaucoup de disques.</w:t>
      </w:r>
    </w:p>
    <w:p>
      <w:pPr>
        <w:spacing w:after="160"/>
      </w:pPr>
      <w:r>
        <w:rPr>
          <w:sz w:val="22"/>
          <w:szCs w:val="22"/>
        </w:rPr>
        <w:t xml:space="preserve">Un champ de filtre permet de retrouver rapidement un disque par son nom, sa machine ou son statut — à ne pas confondre avec le bouton « Rechercher un fichier », qui ouvre la recherche globale dans le contenu indexé (voir section 5).</w:t>
      </w:r>
    </w:p>
    <w:p>
      <w:pPr>
        <w:pStyle w:val="Heading1"/>
        <w:pBdr>
          <w:bottom w:val="single" w:color="2563EB" w:sz="6" w:space="4"/>
        </w:pBdr>
        <w:spacing w:after="200" w:before="400"/>
      </w:pPr>
      <w:r>
        <w:t xml:space="preserve">4. Gérer les disques</w:t>
      </w:r>
    </w:p>
    <w:p>
      <w:pPr>
        <w:pStyle w:val="Heading2"/>
        <w:spacing w:after="120" w:before="300"/>
      </w:pPr>
      <w:r>
        <w:t xml:space="preserve">Ajouter un disque serveur</w:t>
      </w:r>
    </w:p>
    <w:p>
      <w:pPr>
        <w:pStyle w:val="ListParagraph"/>
        <w:numPr>
          <w:ilvl w:val="0"/>
          <w:numId w:val="2"/>
        </w:numPr>
        <w:spacing w:after="80"/>
      </w:pPr>
      <w:r>
        <w:rPr>
          <w:sz w:val="22"/>
          <w:szCs w:val="22"/>
        </w:rPr>
        <w:t xml:space="preserve">Depuis le tableau de bord, cliquez sur « Ajouter un disque ».</w:t>
      </w:r>
    </w:p>
    <w:p>
      <w:pPr>
        <w:pStyle w:val="ListParagraph"/>
        <w:numPr>
          <w:ilvl w:val="0"/>
          <w:numId w:val="2"/>
        </w:numPr>
        <w:spacing w:after="80"/>
      </w:pPr>
      <w:r>
        <w:rPr>
          <w:sz w:val="22"/>
          <w:szCs w:val="22"/>
        </w:rPr>
        <w:t xml:space="preserve">Renseignez un nom, le chemin racine (ex. D:\Archives) et une description optionnelle.</w:t>
      </w:r>
    </w:p>
    <w:p>
      <w:pPr>
        <w:pStyle w:val="ListParagraph"/>
        <w:numPr>
          <w:ilvl w:val="0"/>
          <w:numId w:val="2"/>
        </w:numPr>
        <w:spacing w:after="80"/>
      </w:pPr>
      <w:r>
        <w:rPr>
          <w:sz w:val="22"/>
          <w:szCs w:val="22"/>
        </w:rPr>
        <w:t xml:space="preserve">Un code disque (ex. DB0001) est généré automatiquement.</w:t>
      </w:r>
    </w:p>
    <w:p>
      <w:pPr>
        <w:pStyle w:val="ListParagraph"/>
        <w:numPr>
          <w:ilvl w:val="0"/>
          <w:numId w:val="2"/>
        </w:numPr>
        <w:spacing w:after="80"/>
      </w:pPr>
      <w:r>
        <w:rPr>
          <w:sz w:val="22"/>
          <w:szCs w:val="22"/>
        </w:rPr>
        <w:t xml:space="preserve">Lancez un premier scan complet pour indexer son contenu.</w:t>
      </w:r>
    </w:p>
    <w:p>
      <w:pPr>
        <w:pStyle w:val="Heading2"/>
        <w:spacing w:after="120" w:before="300"/>
      </w:pPr>
      <w:r>
        <w:t xml:space="preserve">Ajouter un disque distant (agent)</w:t>
      </w:r>
    </w:p>
    <w:p>
      <w:pPr>
        <w:spacing w:after="160"/>
      </w:pPr>
      <w:r>
        <w:rPr>
          <w:sz w:val="22"/>
          <w:szCs w:val="22"/>
        </w:rPr>
        <w:t xml:space="preserve">Sur la machine qui possède le disque à indexer :</w:t>
      </w:r>
    </w:p>
    <w:p>
      <w:pPr>
        <w:pStyle w:val="ListParagraph"/>
        <w:numPr>
          <w:ilvl w:val="0"/>
          <w:numId w:val="2"/>
        </w:numPr>
        <w:spacing w:after="80"/>
      </w:pPr>
      <w:r>
        <w:rPr>
          <w:sz w:val="22"/>
          <w:szCs w:val="22"/>
        </w:rPr>
        <w:t xml:space="preserve">Installez les dépendances du projet agent et configurez l’URL du serveur.</w:t>
      </w:r>
    </w:p>
    <w:p>
      <w:pPr>
        <w:pStyle w:val="ListParagraph"/>
        <w:numPr>
          <w:ilvl w:val="0"/>
          <w:numId w:val="2"/>
        </w:numPr>
        <w:spacing w:after="80"/>
      </w:pPr>
      <w:r>
        <w:rPr>
          <w:sz w:val="22"/>
          <w:szCs w:val="22"/>
        </w:rPr>
        <w:t xml:space="preserve">Démarrez l’agent (npm run agent:start). Il se déclare auprès du serveur et détecte automatiquement les disques disponibles sur cette machine.</w:t>
      </w:r>
    </w:p>
    <w:p>
      <w:pPr>
        <w:pStyle w:val="ListParagraph"/>
        <w:numPr>
          <w:ilvl w:val="0"/>
          <w:numId w:val="2"/>
        </w:numPr>
        <w:spacing w:after="80"/>
      </w:pPr>
      <w:r>
        <w:rPr>
          <w:sz w:val="22"/>
          <w:szCs w:val="22"/>
        </w:rPr>
        <w:t xml:space="preserve">Depuis l’application, choisissez le disque détecté et lancez son indexation.</w:t>
      </w:r>
    </w:p>
    <w:p>
      <w:pPr>
        <w:pBdr>
          <w:left w:val="single" w:color="2563EB" w:sz="18" w:space="8"/>
        </w:pBdr>
        <w:shd w:fill="F3F4F6" w:val="clear"/>
        <w:spacing w:after="200" w:before="120"/>
      </w:pPr>
      <w:r>
        <w:rPr>
          <w:b/>
          <w:bCs/>
          <w:color w:val="1E3A5F"/>
          <w:sz w:val="20"/>
          <w:szCs w:val="20"/>
        </w:rPr>
        <w:t xml:space="preserve">Remarque : </w:t>
      </w:r>
      <w:r>
        <w:rPr>
          <w:color w:val="374151"/>
          <w:sz w:val="20"/>
          <w:szCs w:val="20"/>
        </w:rPr>
        <w:t xml:space="preserve">L’agent doit rester en cours d’exécution sur la machine distante pour que le disque reste synchronisé et que les scans planifiés ou demandes de suppression fonctionnent.</w:t>
      </w:r>
    </w:p>
    <w:p>
      <w:pPr>
        <w:pStyle w:val="Heading2"/>
        <w:spacing w:after="120" w:before="300"/>
      </w:pPr>
      <w:r>
        <w:t xml:space="preserve">Types de scan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clear"/>
            <w:tcMar>
              <w:top w:type="dxa" w:w="100"/>
              <w:left w:type="dxa" w:w="120"/>
              <w:bottom w:type="dxa" w:w="100"/>
              <w:right w:type="dxa" w:w="120"/>
            </w:tcMar>
          </w:tcPr>
          <w:p>
            <w:r>
              <w:rPr>
                <w:b/>
                <w:bCs/>
                <w:color w:val="FFFFFF"/>
                <w:sz w:val="20"/>
                <w:szCs w:val="20"/>
              </w:rPr>
              <w:t xml:space="preserve">Type</w:t>
            </w:r>
          </w:p>
        </w:tc>
        <w:tc>
          <w:tcPr>
            <w:shd w:fill="1E3A5F" w:val="clear"/>
            <w:tcMar>
              <w:top w:type="dxa" w:w="100"/>
              <w:left w:type="dxa" w:w="120"/>
              <w:bottom w:type="dxa" w:w="100"/>
              <w:right w:type="dxa" w:w="120"/>
            </w:tcMar>
          </w:tcPr>
          <w:p>
            <w:r>
              <w:rPr>
                <w:b/>
                <w:bCs/>
                <w:color w:val="FFFFFF"/>
                <w:sz w:val="20"/>
                <w:szCs w:val="20"/>
              </w:rPr>
              <w:t xml:space="preserve">Ce qu’il fait</w:t>
            </w:r>
          </w:p>
        </w:tc>
        <w:tc>
          <w:tcPr>
            <w:shd w:fill="1E3A5F" w:val="clear"/>
            <w:tcMar>
              <w:top w:type="dxa" w:w="100"/>
              <w:left w:type="dxa" w:w="120"/>
              <w:bottom w:type="dxa" w:w="100"/>
              <w:right w:type="dxa" w:w="120"/>
            </w:tcMar>
          </w:tcPr>
          <w:p>
            <w:r>
              <w:rPr>
                <w:b/>
                <w:bCs/>
                <w:color w:val="FFFFFF"/>
                <w:sz w:val="20"/>
                <w:szCs w:val="20"/>
              </w:rPr>
              <w:t xml:space="preserve">Quand l’utiliser</w:t>
            </w:r>
          </w:p>
        </w:tc>
      </w:tr>
      <w:tr>
        <w:tc>
          <w:tcPr>
            <w:tcMar>
              <w:top w:type="dxa" w:w="100"/>
              <w:left w:type="dxa" w:w="120"/>
              <w:bottom w:type="dxa" w:w="100"/>
              <w:right w:type="dxa" w:w="120"/>
            </w:tcMar>
          </w:tcPr>
          <w:p>
            <w:r>
              <w:rPr>
                <w:sz w:val="20"/>
                <w:szCs w:val="20"/>
              </w:rPr>
              <w:t xml:space="preserve">Complet</w:t>
            </w:r>
          </w:p>
        </w:tc>
        <w:tc>
          <w:tcPr>
            <w:tcMar>
              <w:top w:type="dxa" w:w="100"/>
              <w:left w:type="dxa" w:w="120"/>
              <w:bottom w:type="dxa" w:w="100"/>
              <w:right w:type="dxa" w:w="120"/>
            </w:tcMar>
          </w:tcPr>
          <w:p>
            <w:r>
              <w:rPr>
                <w:sz w:val="20"/>
                <w:szCs w:val="20"/>
              </w:rPr>
              <w:t xml:space="preserve">Parcourt tout le disque et reconstruit l’index en entier.</w:t>
            </w:r>
          </w:p>
        </w:tc>
        <w:tc>
          <w:tcPr>
            <w:tcMar>
              <w:top w:type="dxa" w:w="100"/>
              <w:left w:type="dxa" w:w="120"/>
              <w:bottom w:type="dxa" w:w="100"/>
              <w:right w:type="dxa" w:w="120"/>
            </w:tcMar>
          </w:tcPr>
          <w:p>
            <w:r>
              <w:rPr>
                <w:sz w:val="20"/>
                <w:szCs w:val="20"/>
              </w:rPr>
              <w:t xml:space="preserve">Premier scan, ou après un doute sur la fiabilité de l’index.</w:t>
            </w:r>
          </w:p>
        </w:tc>
      </w:tr>
      <w:tr>
        <w:tc>
          <w:tcPr>
            <w:tcMar>
              <w:top w:type="dxa" w:w="100"/>
              <w:left w:type="dxa" w:w="120"/>
              <w:bottom w:type="dxa" w:w="100"/>
              <w:right w:type="dxa" w:w="120"/>
            </w:tcMar>
          </w:tcPr>
          <w:p>
            <w:r>
              <w:rPr>
                <w:sz w:val="20"/>
                <w:szCs w:val="20"/>
              </w:rPr>
              <w:t xml:space="preserve">Différentiel</w:t>
            </w:r>
          </w:p>
        </w:tc>
        <w:tc>
          <w:tcPr>
            <w:tcMar>
              <w:top w:type="dxa" w:w="100"/>
              <w:left w:type="dxa" w:w="120"/>
              <w:bottom w:type="dxa" w:w="100"/>
              <w:right w:type="dxa" w:w="120"/>
            </w:tcMar>
          </w:tcPr>
          <w:p>
            <w:r>
              <w:rPr>
                <w:sz w:val="20"/>
                <w:szCs w:val="20"/>
              </w:rPr>
              <w:t xml:space="preserve">Parcourt le disque mais ne met à jour que ce qui a changé.</w:t>
            </w:r>
          </w:p>
        </w:tc>
        <w:tc>
          <w:tcPr>
            <w:tcMar>
              <w:top w:type="dxa" w:w="100"/>
              <w:left w:type="dxa" w:w="120"/>
              <w:bottom w:type="dxa" w:w="100"/>
              <w:right w:type="dxa" w:w="120"/>
            </w:tcMar>
          </w:tcPr>
          <w:p>
            <w:r>
              <w:rPr>
                <w:sz w:val="20"/>
                <w:szCs w:val="20"/>
              </w:rPr>
              <w:t xml:space="preserve">Usage courant, plus rapide.</w:t>
            </w:r>
          </w:p>
        </w:tc>
      </w:tr>
    </w:tbl>
    <w:p>
      <w:pPr>
        <w:spacing w:after="200"/>
      </w:pPr>
    </w:p>
    <w:p>
      <w:pPr>
        <w:pStyle w:val="Heading2"/>
        <w:spacing w:after="120" w:before="300"/>
      </w:pPr>
      <w:r>
        <w:t xml:space="preserve">Modifier, activer/désactiver, supprimer</w:t>
      </w:r>
    </w:p>
    <w:p>
      <w:pPr>
        <w:spacing w:after="160"/>
      </w:pPr>
      <w:r>
        <w:rPr>
          <w:sz w:val="22"/>
          <w:szCs w:val="22"/>
        </w:rPr>
        <w:t xml:space="preserve">Depuis la fiche d’un disque (cliquez sur son nom), vous pouvez modifier son nom, sa description, l’activer ou le désactiver. La suppression d’un disque n’est possible que s’il est désactivé et qu’aucun scan n’est en cours — c’est une action irréversible qui efface aussi tout son historique.</w:t>
      </w:r>
    </w:p>
    <w:p>
      <w:pPr>
        <w:pStyle w:val="Heading1"/>
        <w:pBdr>
          <w:bottom w:val="single" w:color="2563EB" w:sz="6" w:space="4"/>
        </w:pBdr>
        <w:spacing w:after="200" w:before="400"/>
      </w:pPr>
      <w:r>
        <w:t xml:space="preserve">5. Rechercher un fichier</w:t>
      </w:r>
    </w:p>
    <w:p>
      <w:pPr>
        <w:spacing w:after="160"/>
      </w:pPr>
      <w:r>
        <w:rPr>
          <w:sz w:val="22"/>
          <w:szCs w:val="22"/>
        </w:rPr>
        <w:t xml:space="preserve">Accessible via le menu « Recherche » ou le raccourci clavier Ctrl/Cmd + K. La recherche porte sur tous les disques auxquels vous avez accès (ou un seul, au choix).</w:t>
      </w:r>
    </w:p>
    <w:p>
      <w:pPr>
        <w:pStyle w:val="Heading2"/>
        <w:spacing w:after="120" w:before="300"/>
      </w:pPr>
      <w:r>
        <w:t xml:space="preserve">Recherche simple</w:t>
      </w:r>
    </w:p>
    <w:p>
      <w:pPr>
        <w:spacing w:after="160"/>
      </w:pPr>
      <w:r>
        <w:rPr>
          <w:sz w:val="22"/>
          <w:szCs w:val="22"/>
        </w:rPr>
        <w:t xml:space="preserve">Tapez un nom de fichier, une extension (ex. .pdf) ou un bout de chemin. Les résultats s’affichent au fur et à mesure de la frappe.</w:t>
      </w:r>
    </w:p>
    <w:p>
      <w:pPr>
        <w:pStyle w:val="Heading2"/>
        <w:spacing w:after="120" w:before="300"/>
      </w:pPr>
      <w:r>
        <w:t xml:space="preserve">Filtres avancés</w:t>
      </w:r>
    </w:p>
    <w:p>
      <w:pPr>
        <w:spacing w:after="160"/>
      </w:pPr>
      <w:r>
        <w:rPr>
          <w:sz w:val="22"/>
          <w:szCs w:val="22"/>
        </w:rPr>
        <w:t xml:space="preserve">Le panneau « Filtres avancés » permet d’affiner par :</w:t>
      </w:r>
    </w:p>
    <w:p>
      <w:pPr>
        <w:pStyle w:val="ListParagraph"/>
        <w:numPr>
          <w:ilvl w:val="0"/>
          <w:numId w:val="1"/>
        </w:numPr>
        <w:spacing w:after="80"/>
      </w:pPr>
      <w:r>
        <w:rPr>
          <w:sz w:val="22"/>
          <w:szCs w:val="22"/>
        </w:rPr>
        <w:t xml:space="preserve">Type (fichier ou dossier)</w:t>
      </w:r>
    </w:p>
    <w:p>
      <w:pPr>
        <w:pStyle w:val="ListParagraph"/>
        <w:numPr>
          <w:ilvl w:val="0"/>
          <w:numId w:val="1"/>
        </w:numPr>
        <w:spacing w:after="80"/>
      </w:pPr>
      <w:r>
        <w:rPr>
          <w:sz w:val="22"/>
          <w:szCs w:val="22"/>
        </w:rPr>
        <w:t xml:space="preserve">Taille minimale</w:t>
      </w:r>
    </w:p>
    <w:p>
      <w:pPr>
        <w:pStyle w:val="ListParagraph"/>
        <w:numPr>
          <w:ilvl w:val="0"/>
          <w:numId w:val="1"/>
        </w:numPr>
        <w:spacing w:after="80"/>
      </w:pPr>
      <w:r>
        <w:rPr>
          <w:sz w:val="22"/>
          <w:szCs w:val="22"/>
        </w:rPr>
        <w:t xml:space="preserve">Plage de dates de modification</w:t>
      </w:r>
    </w:p>
    <w:p>
      <w:pPr>
        <w:pStyle w:val="ListParagraph"/>
        <w:numPr>
          <w:ilvl w:val="0"/>
          <w:numId w:val="1"/>
        </w:numPr>
        <w:spacing w:after="80"/>
      </w:pPr>
      <w:r>
        <w:rPr>
          <w:sz w:val="22"/>
          <w:szCs w:val="22"/>
        </w:rPr>
        <w:t xml:space="preserve">Extension précise</w:t>
      </w:r>
    </w:p>
    <w:p>
      <w:pPr>
        <w:pStyle w:val="Heading2"/>
        <w:spacing w:after="120" w:before="300"/>
      </w:pPr>
      <w:r>
        <w:t xml:space="preserve">Recherche dans le contenu des fichiers</w:t>
      </w:r>
    </w:p>
    <w:p>
      <w:pPr>
        <w:spacing w:after="160"/>
      </w:pPr>
      <w:r>
        <w:rPr>
          <w:sz w:val="22"/>
          <w:szCs w:val="22"/>
        </w:rPr>
        <w:t xml:space="preserve">Pour les fichiers texte et code (.txt, .md, .json, .js, .py, .csv, et une quarantaine d’extensions similaires, sous 512 Ko), le contenu lui-même est indexé. Si votre terme de recherche apparaît dans le texte d’un fichier — même absent du nom ou du chemin — le résultat s’affiche avec la mention « Trouvé dans le contenu » et un court extrait.</w:t>
      </w:r>
    </w:p>
    <w:p>
      <w:pPr>
        <w:pBdr>
          <w:left w:val="single" w:color="DC2626" w:sz="18" w:space="8"/>
        </w:pBdr>
        <w:shd w:fill="FEF2F2" w:val="clear"/>
        <w:spacing w:after="200" w:before="120"/>
      </w:pPr>
      <w:r>
        <w:rPr>
          <w:b/>
          <w:bCs/>
          <w:color w:val="B91C1C"/>
          <w:sz w:val="20"/>
          <w:szCs w:val="20"/>
        </w:rPr>
        <w:t xml:space="preserve">Attention : </w:t>
      </w:r>
      <w:r>
        <w:rPr>
          <w:color w:val="7F1D1D"/>
          <w:sz w:val="20"/>
          <w:szCs w:val="20"/>
        </w:rPr>
        <w:t xml:space="preserve">Les fichiers PDF, Word, Excel et autres formats binaires ne sont pas couverts par la recherche de contenu — seuls les fichiers texte/code le sont. Un fichier doit avoir été scanné après la mise en place de cette fonctionnalité pour que son contenu soit indexé.</w:t>
      </w:r>
    </w:p>
    <w:p>
      <w:pPr>
        <w:pStyle w:val="Heading2"/>
        <w:spacing w:after="120" w:before="300"/>
      </w:pPr>
      <w:r>
        <w:t xml:space="preserve">Actions sur un résultat</w:t>
      </w:r>
    </w:p>
    <w:p>
      <w:pPr>
        <w:pStyle w:val="ListParagraph"/>
        <w:numPr>
          <w:ilvl w:val="0"/>
          <w:numId w:val="1"/>
        </w:numPr>
        <w:spacing w:after="80"/>
      </w:pPr>
      <w:r>
        <w:rPr>
          <w:sz w:val="22"/>
          <w:szCs w:val="22"/>
        </w:rPr>
        <w:t xml:space="preserve">Copier le chemin exact ou le chemin absolu</w:t>
      </w:r>
    </w:p>
    <w:p>
      <w:pPr>
        <w:pStyle w:val="ListParagraph"/>
        <w:numPr>
          <w:ilvl w:val="0"/>
          <w:numId w:val="1"/>
        </w:numPr>
        <w:spacing w:after="80"/>
      </w:pPr>
      <w:r>
        <w:rPr>
          <w:sz w:val="22"/>
          <w:szCs w:val="22"/>
        </w:rPr>
        <w:t xml:space="preserve">Ouvrir le dossier contenant le fichier</w:t>
      </w:r>
    </w:p>
    <w:p>
      <w:pPr>
        <w:pStyle w:val="ListParagraph"/>
        <w:numPr>
          <w:ilvl w:val="0"/>
          <w:numId w:val="1"/>
        </w:numPr>
        <w:spacing w:after="80"/>
      </w:pPr>
      <w:r>
        <w:rPr>
          <w:sz w:val="22"/>
          <w:szCs w:val="22"/>
        </w:rPr>
        <w:t xml:space="preserve">Ouvrir le fichier directement</w:t>
      </w:r>
    </w:p>
    <w:p>
      <w:pPr>
        <w:pStyle w:val="ListParagraph"/>
        <w:numPr>
          <w:ilvl w:val="0"/>
          <w:numId w:val="1"/>
        </w:numPr>
        <w:spacing w:after="80"/>
      </w:pPr>
      <w:r>
        <w:rPr>
          <w:sz w:val="22"/>
          <w:szCs w:val="22"/>
        </w:rPr>
        <w:t xml:space="preserve">Révéler l’élément dans l’explorateur</w:t>
      </w:r>
    </w:p>
    <w:p>
      <w:pPr>
        <w:pStyle w:val="Heading1"/>
        <w:pBdr>
          <w:bottom w:val="single" w:color="2563EB" w:sz="6" w:space="4"/>
        </w:pBdr>
        <w:spacing w:after="200" w:before="400"/>
      </w:pPr>
      <w:r>
        <w:t xml:space="preserve">6. Analyser l’espace disque</w:t>
      </w:r>
    </w:p>
    <w:p>
      <w:pPr>
        <w:spacing w:after="160"/>
      </w:pPr>
      <w:r>
        <w:rPr>
          <w:sz w:val="22"/>
          <w:szCs w:val="22"/>
        </w:rPr>
        <w:t xml:space="preserve">La page « Analyse d’espace » (menu Outils) affiche, pour un disque choisi :</w:t>
      </w:r>
    </w:p>
    <w:p>
      <w:pPr>
        <w:pStyle w:val="ListParagraph"/>
        <w:numPr>
          <w:ilvl w:val="0"/>
          <w:numId w:val="1"/>
        </w:numPr>
        <w:spacing w:after="80"/>
      </w:pPr>
      <w:r>
        <w:rPr>
          <w:sz w:val="22"/>
          <w:szCs w:val="22"/>
        </w:rPr>
        <w:t xml:space="preserve">L’espace total indexé, le nombre de fichiers et de dossiers</w:t>
      </w:r>
    </w:p>
    <w:p>
      <w:pPr>
        <w:pStyle w:val="ListParagraph"/>
        <w:numPr>
          <w:ilvl w:val="0"/>
          <w:numId w:val="1"/>
        </w:numPr>
        <w:spacing w:after="80"/>
      </w:pPr>
      <w:r>
        <w:rPr>
          <w:sz w:val="22"/>
          <w:szCs w:val="22"/>
        </w:rPr>
        <w:t xml:space="preserve">La répartition du stockage par type de fichier (extension), en pourcentage</w:t>
      </w:r>
    </w:p>
    <w:p>
      <w:pPr>
        <w:pStyle w:val="ListParagraph"/>
        <w:numPr>
          <w:ilvl w:val="0"/>
          <w:numId w:val="1"/>
        </w:numPr>
        <w:spacing w:after="80"/>
      </w:pPr>
      <w:r>
        <w:rPr>
          <w:sz w:val="22"/>
          <w:szCs w:val="22"/>
        </w:rPr>
        <w:t xml:space="preserve">Les 20 fichiers les plus volumineux</w:t>
      </w:r>
    </w:p>
    <w:p>
      <w:pPr>
        <w:spacing w:after="160"/>
      </w:pPr>
      <w:r>
        <w:rPr>
          <w:sz w:val="22"/>
          <w:szCs w:val="22"/>
        </w:rPr>
        <w:t xml:space="preserve">Un bouton d’export permet de récupérer ces données au format CSV.</w:t>
      </w:r>
    </w:p>
    <w:p>
      <w:pPr>
        <w:pStyle w:val="Heading1"/>
        <w:pBdr>
          <w:bottom w:val="single" w:color="2563EB" w:sz="6" w:space="4"/>
        </w:pBdr>
        <w:spacing w:after="200" w:before="400"/>
      </w:pPr>
      <w:r>
        <w:t xml:space="preserve">7. Détecter et supprimer les doublons</w:t>
      </w:r>
    </w:p>
    <w:p>
      <w:pPr>
        <w:spacing w:after="160"/>
      </w:pPr>
      <w:r>
        <w:rPr>
          <w:sz w:val="22"/>
          <w:szCs w:val="22"/>
        </w:rPr>
        <w:t xml:space="preserve">La page « Doublons » (menu Outils) regroupe les fichiers ayant le même nom et la même taille — sur un disque précis ou sur l’ensemble des disques.</w:t>
      </w:r>
    </w:p>
    <w:p>
      <w:pPr>
        <w:pBdr>
          <w:left w:val="single" w:color="DC2626" w:sz="18" w:space="8"/>
        </w:pBdr>
        <w:shd w:fill="FEF2F2" w:val="clear"/>
        <w:spacing w:after="200" w:before="120"/>
      </w:pPr>
      <w:r>
        <w:rPr>
          <w:b/>
          <w:bCs/>
          <w:color w:val="B91C1C"/>
          <w:sz w:val="20"/>
          <w:szCs w:val="20"/>
        </w:rPr>
        <w:t xml:space="preserve">Attention : </w:t>
      </w:r>
      <w:r>
        <w:rPr>
          <w:color w:val="7F1D1D"/>
          <w:sz w:val="20"/>
          <w:szCs w:val="20"/>
        </w:rPr>
        <w:t xml:space="preserve">La comparaison se fait par nom et taille, pas par le contenu réel du fichier (aucune empreinte n’est calculée pendant le scan). Il s’agit donc de doublons probables, à vérifier avant suppression, pas d’une garantie absolue.</w:t>
      </w:r>
    </w:p>
    <w:p>
      <w:pPr>
        <w:pStyle w:val="Heading2"/>
        <w:spacing w:after="120" w:before="300"/>
      </w:pPr>
      <w:r>
        <w:t xml:space="preserve">Supprimer un doublon</w:t>
      </w:r>
    </w:p>
    <w:p>
      <w:pPr>
        <w:pStyle w:val="ListParagraph"/>
        <w:numPr>
          <w:ilvl w:val="0"/>
          <w:numId w:val="2"/>
        </w:numPr>
        <w:spacing w:after="80"/>
      </w:pPr>
      <w:r>
        <w:rPr>
          <w:sz w:val="22"/>
          <w:szCs w:val="22"/>
        </w:rPr>
        <w:t xml:space="preserve">Dépliez un groupe de doublons pour voir tous les emplacements concernés.</w:t>
      </w:r>
    </w:p>
    <w:p>
      <w:pPr>
        <w:pStyle w:val="ListParagraph"/>
        <w:numPr>
          <w:ilvl w:val="0"/>
          <w:numId w:val="2"/>
        </w:numPr>
        <w:spacing w:after="80"/>
      </w:pPr>
      <w:r>
        <w:rPr>
          <w:sz w:val="22"/>
          <w:szCs w:val="22"/>
        </w:rPr>
        <w:t xml:space="preserve">Cliquez sur « Supprimer » pour le fichier à retirer.</w:t>
      </w:r>
    </w:p>
    <w:p>
      <w:pPr>
        <w:pStyle w:val="ListParagraph"/>
        <w:numPr>
          <w:ilvl w:val="0"/>
          <w:numId w:val="2"/>
        </w:numPr>
        <w:spacing w:after="80"/>
      </w:pPr>
      <w:r>
        <w:rPr>
          <w:sz w:val="22"/>
          <w:szCs w:val="22"/>
        </w:rPr>
        <w:t xml:space="preserve">Confirmez dans la fenêtre qui s’affiche — l’action est irréversible.</w:t>
      </w:r>
    </w:p>
    <w:p>
      <w:pPr>
        <w:pBdr>
          <w:left w:val="single" w:color="2563EB" w:sz="18" w:space="8"/>
        </w:pBdr>
        <w:shd w:fill="F3F4F6" w:val="clear"/>
        <w:spacing w:after="200" w:before="120"/>
      </w:pPr>
      <w:r>
        <w:rPr>
          <w:b/>
          <w:bCs/>
          <w:color w:val="1E3A5F"/>
          <w:sz w:val="20"/>
          <w:szCs w:val="20"/>
        </w:rPr>
        <w:t xml:space="preserve">Remarque : </w:t>
      </w:r>
      <w:r>
        <w:rPr>
          <w:color w:val="374151"/>
          <w:sz w:val="20"/>
          <w:szCs w:val="20"/>
        </w:rPr>
        <w:t xml:space="preserve">Sur un disque serveur, la suppression est immédiate. Sur un disque agent, une commande est envoyée à l’agent, qui doit être en ligne pour l’exécuter ; la suppression a lieu sous peu de secondes.</w:t>
      </w:r>
    </w:p>
    <w:p>
      <w:pPr>
        <w:pStyle w:val="Heading1"/>
        <w:pBdr>
          <w:bottom w:val="single" w:color="2563EB" w:sz="6" w:space="4"/>
        </w:pBdr>
        <w:spacing w:after="200" w:before="400"/>
      </w:pPr>
      <w:r>
        <w:t xml:space="preserve">8. Rapport de changements</w:t>
      </w:r>
    </w:p>
    <w:p>
      <w:pPr>
        <w:spacing w:after="160"/>
      </w:pPr>
      <w:r>
        <w:rPr>
          <w:sz w:val="22"/>
          <w:szCs w:val="22"/>
        </w:rPr>
        <w:t xml:space="preserve">Sur la fiche de chaque disque, la section « Rapport de changements » permet de choisir une période (deux dates) et d’obtenir :</w:t>
      </w:r>
    </w:p>
    <w:p>
      <w:pPr>
        <w:pStyle w:val="ListParagraph"/>
        <w:numPr>
          <w:ilvl w:val="0"/>
          <w:numId w:val="1"/>
        </w:numPr>
        <w:spacing w:after="80"/>
      </w:pPr>
      <w:r>
        <w:rPr>
          <w:sz w:val="22"/>
          <w:szCs w:val="22"/>
        </w:rPr>
        <w:t xml:space="preserve">Le nombre d’ajouts, modifications, suppressions et renommages sur cette période</w:t>
      </w:r>
    </w:p>
    <w:p>
      <w:pPr>
        <w:pStyle w:val="ListParagraph"/>
        <w:numPr>
          <w:ilvl w:val="0"/>
          <w:numId w:val="1"/>
        </w:numPr>
        <w:spacing w:after="80"/>
      </w:pPr>
      <w:r>
        <w:rPr>
          <w:sz w:val="22"/>
          <w:szCs w:val="22"/>
        </w:rPr>
        <w:t xml:space="preserve">La liste détaillée de chaque changement, avec chemin et date</w:t>
      </w:r>
    </w:p>
    <w:p>
      <w:pPr>
        <w:pStyle w:val="ListParagraph"/>
        <w:numPr>
          <w:ilvl w:val="0"/>
          <w:numId w:val="1"/>
        </w:numPr>
        <w:spacing w:after="80"/>
      </w:pPr>
      <w:r>
        <w:rPr>
          <w:sz w:val="22"/>
          <w:szCs w:val="22"/>
        </w:rPr>
        <w:t xml:space="preserve">Un export CSV de la liste complète</w:t>
      </w:r>
    </w:p>
    <w:p>
      <w:pPr>
        <w:spacing w:after="160"/>
      </w:pPr>
      <w:r>
        <w:rPr>
          <w:sz w:val="22"/>
          <w:szCs w:val="22"/>
        </w:rPr>
        <w:t xml:space="preserve">Utile pour répondre à la question « qu’est-ce qui a changé sur ce disque depuis la semaine dernière ? » sans dépouiller le journal d’activité brut.</w:t>
      </w:r>
    </w:p>
    <w:p>
      <w:pPr>
        <w:pStyle w:val="Heading1"/>
        <w:pBdr>
          <w:bottom w:val="single" w:color="2563EB" w:sz="6" w:space="4"/>
        </w:pBdr>
        <w:spacing w:after="200" w:before="400"/>
      </w:pPr>
      <w:r>
        <w:t xml:space="preserve">9. Automatisation et notifications</w:t>
      </w:r>
    </w:p>
    <w:p>
      <w:pPr>
        <w:spacing w:after="160"/>
      </w:pPr>
      <w:r>
        <w:rPr>
          <w:sz w:val="22"/>
          <w:szCs w:val="22"/>
        </w:rPr>
        <w:t xml:space="preserve">La page « Automatisation » (réservée à la consultation par tous, modifiable selon les droits) regroupe tous les réglages de surveillance automatique des disques.</w:t>
      </w:r>
    </w:p>
    <w:p>
      <w:pPr>
        <w:pStyle w:val="Heading2"/>
        <w:spacing w:after="120" w:before="300"/>
      </w:pPr>
      <w:r>
        <w:t xml:space="preserve">Détection et surveillance</w:t>
      </w:r>
    </w:p>
    <w:p>
      <w:pPr>
        <w:pStyle w:val="ListParagraph"/>
        <w:numPr>
          <w:ilvl w:val="0"/>
          <w:numId w:val="1"/>
        </w:numPr>
        <w:spacing w:after="80"/>
      </w:pPr>
      <w:r>
        <w:rPr>
          <w:sz w:val="22"/>
          <w:szCs w:val="22"/>
        </w:rPr>
        <w:t xml:space="preserve">Détection de nouveaux disques branchés</w:t>
      </w:r>
    </w:p>
    <w:p>
      <w:pPr>
        <w:pStyle w:val="ListParagraph"/>
        <w:numPr>
          <w:ilvl w:val="0"/>
          <w:numId w:val="1"/>
        </w:numPr>
        <w:spacing w:after="80"/>
      </w:pPr>
      <w:r>
        <w:rPr>
          <w:sz w:val="22"/>
          <w:szCs w:val="22"/>
        </w:rPr>
        <w:t xml:space="preserve">Surveillance en direct des disques déjà indexés (changements détectés au fil de l’eau)</w:t>
      </w:r>
    </w:p>
    <w:p>
      <w:pPr>
        <w:pStyle w:val="ListParagraph"/>
        <w:numPr>
          <w:ilvl w:val="0"/>
          <w:numId w:val="1"/>
        </w:numPr>
        <w:spacing w:after="80"/>
      </w:pPr>
      <w:r>
        <w:rPr>
          <w:sz w:val="22"/>
          <w:szCs w:val="22"/>
        </w:rPr>
        <w:t xml:space="preserve">Confirmation avant mise à jour automatique de l’index, ou mise à jour silencieuse</w:t>
      </w:r>
    </w:p>
    <w:p>
      <w:pPr>
        <w:pStyle w:val="Heading2"/>
        <w:spacing w:after="120" w:before="300"/>
      </w:pPr>
      <w:r>
        <w:t xml:space="preserve">Scans planifiés</w:t>
      </w:r>
    </w:p>
    <w:p>
      <w:pPr>
        <w:spacing w:after="160"/>
      </w:pPr>
      <w:r>
        <w:rPr>
          <w:sz w:val="22"/>
          <w:szCs w:val="22"/>
        </w:rPr>
        <w:t xml:space="preserve">Pour chaque disque, un scan complet automatique peut être programmé (par exemple toutes les 24 heures) en plus de la surveillance en direct — un filet de sécurité si un changement passe inaperçu. Réglable dans la section « Disques surveillés » de la page Automatisation.</w:t>
      </w:r>
    </w:p>
    <w:p>
      <w:pPr>
        <w:pStyle w:val="Heading2"/>
        <w:spacing w:after="120" w:before="300"/>
      </w:pPr>
      <w:r>
        <w:t xml:space="preserve">Alertes de capacité disque</w:t>
      </w:r>
    </w:p>
    <w:p>
      <w:pPr>
        <w:spacing w:after="160"/>
      </w:pPr>
      <w:r>
        <w:rPr>
          <w:sz w:val="22"/>
          <w:szCs w:val="22"/>
        </w:rPr>
        <w:t xml:space="preserve">Quand l’espace libre d’un disque passe sous un seuil (10 % par défaut, réglable), une alerte apparaît automatiquement et une barre d’usage est visible sur le tableau de bord et la fiche disque.</w:t>
      </w:r>
    </w:p>
    <w:p>
      <w:pPr>
        <w:pStyle w:val="Heading2"/>
        <w:spacing w:after="120" w:before="300"/>
      </w:pPr>
      <w:r>
        <w:t xml:space="preserve">Notifications par email</w:t>
      </w:r>
    </w:p>
    <w:p>
      <w:pPr>
        <w:spacing w:after="160"/>
      </w:pPr>
      <w:r>
        <w:rPr>
          <w:sz w:val="22"/>
          <w:szCs w:val="22"/>
        </w:rPr>
        <w:t xml:space="preserve">Les mêmes alertes importantes (nouveau disque, changements, espace faible) peuvent être envoyées par email. Configuration dans la page Automatisation, section « Notifications email » :</w:t>
      </w:r>
    </w:p>
    <w:p>
      <w:pPr>
        <w:pStyle w:val="ListParagraph"/>
        <w:numPr>
          <w:ilvl w:val="0"/>
          <w:numId w:val="2"/>
        </w:numPr>
        <w:spacing w:after="80"/>
      </w:pPr>
      <w:r>
        <w:rPr>
          <w:sz w:val="22"/>
          <w:szCs w:val="22"/>
        </w:rPr>
        <w:t xml:space="preserve">Renseignez le serveur SMTP, le port, l’utilisateur et le mot de passe.</w:t>
      </w:r>
    </w:p>
    <w:p>
      <w:pPr>
        <w:pStyle w:val="ListParagraph"/>
        <w:numPr>
          <w:ilvl w:val="0"/>
          <w:numId w:val="2"/>
        </w:numPr>
        <w:spacing w:after="80"/>
      </w:pPr>
      <w:r>
        <w:rPr>
          <w:sz w:val="22"/>
          <w:szCs w:val="22"/>
        </w:rPr>
        <w:t xml:space="preserve">Ajoutez au moins un destinataire.</w:t>
      </w:r>
    </w:p>
    <w:p>
      <w:pPr>
        <w:pStyle w:val="ListParagraph"/>
        <w:numPr>
          <w:ilvl w:val="0"/>
          <w:numId w:val="2"/>
        </w:numPr>
        <w:spacing w:after="80"/>
      </w:pPr>
      <w:r>
        <w:rPr>
          <w:sz w:val="22"/>
          <w:szCs w:val="22"/>
        </w:rPr>
        <w:t xml:space="preserve">Utilisez le bouton « Tester l’envoi » pour vérifier que ça fonctionne avant d’enregistrer.</w:t>
      </w:r>
    </w:p>
    <w:p>
      <w:pPr>
        <w:pStyle w:val="ListParagraph"/>
        <w:numPr>
          <w:ilvl w:val="0"/>
          <w:numId w:val="2"/>
        </w:numPr>
        <w:spacing w:after="80"/>
      </w:pPr>
      <w:r>
        <w:rPr>
          <w:sz w:val="22"/>
          <w:szCs w:val="22"/>
        </w:rPr>
        <w:t xml:space="preserve">Activez le réglage puis enregistrez.</w:t>
      </w:r>
    </w:p>
    <w:p>
      <w:pPr>
        <w:pBdr>
          <w:left w:val="single" w:color="2563EB" w:sz="18" w:space="8"/>
        </w:pBdr>
        <w:shd w:fill="F3F4F6" w:val="clear"/>
        <w:spacing w:after="200" w:before="120"/>
      </w:pPr>
      <w:r>
        <w:rPr>
          <w:b/>
          <w:bCs/>
          <w:color w:val="1E3A5F"/>
          <w:sz w:val="20"/>
          <w:szCs w:val="20"/>
        </w:rPr>
        <w:t xml:space="preserve">Remarque : </w:t>
      </w:r>
      <w:r>
        <w:rPr>
          <w:color w:val="374151"/>
          <w:sz w:val="20"/>
          <w:szCs w:val="20"/>
        </w:rPr>
        <w:t xml:space="preserve">Pour un compte Gmail, un mot de passe d’application est obligatoire (Gmail refuse le mot de passe habituel pour ce type de connexion). Voir le fichier README du projet pour la procédure pas à pas.</w:t>
      </w:r>
    </w:p>
    <w:p>
      <w:pPr>
        <w:pStyle w:val="Heading1"/>
        <w:pBdr>
          <w:bottom w:val="single" w:color="2563EB" w:sz="6" w:space="4"/>
        </w:pBdr>
        <w:spacing w:after="200" w:before="400"/>
      </w:pPr>
      <w:r>
        <w:t xml:space="preserve">10. Contrôle d’accès par disque (administrateurs)</w:t>
      </w:r>
    </w:p>
    <w:p>
      <w:pPr>
        <w:spacing w:after="160"/>
      </w:pPr>
      <w:r>
        <w:rPr>
          <w:sz w:val="22"/>
          <w:szCs w:val="22"/>
        </w:rPr>
        <w:t xml:space="preserve">Par défaut, un utilisateur non-administrateur ne voit aucun disque tant qu’un administrateur ne lui en a pas donné l’accès. Les administrateurs, eux, voient toujours tous les disques.</w:t>
      </w:r>
    </w:p>
    <w:p>
      <w:pPr>
        <w:pStyle w:val="Heading2"/>
        <w:spacing w:after="120" w:before="300"/>
      </w:pPr>
      <w:r>
        <w:t xml:space="preserve">Donner ou retirer un accès</w:t>
      </w:r>
    </w:p>
    <w:p>
      <w:pPr>
        <w:pStyle w:val="ListParagraph"/>
        <w:numPr>
          <w:ilvl w:val="0"/>
          <w:numId w:val="2"/>
        </w:numPr>
        <w:spacing w:after="80"/>
      </w:pPr>
      <w:r>
        <w:rPr>
          <w:sz w:val="22"/>
          <w:szCs w:val="22"/>
        </w:rPr>
        <w:t xml:space="preserve">Ouvrez la fiche du disque concerné.</w:t>
      </w:r>
    </w:p>
    <w:p>
      <w:pPr>
        <w:pStyle w:val="ListParagraph"/>
        <w:numPr>
          <w:ilvl w:val="0"/>
          <w:numId w:val="2"/>
        </w:numPr>
        <w:spacing w:after="80"/>
      </w:pPr>
      <w:r>
        <w:rPr>
          <w:sz w:val="22"/>
          <w:szCs w:val="22"/>
        </w:rPr>
        <w:t xml:space="preserve">Dans la section « Accès » (visible uniquement par les administrateurs), activez l’interrupteur en face du nom de l’utilisateur à autoriser.</w:t>
      </w:r>
    </w:p>
    <w:p>
      <w:pPr>
        <w:pStyle w:val="ListParagraph"/>
        <w:numPr>
          <w:ilvl w:val="0"/>
          <w:numId w:val="2"/>
        </w:numPr>
        <w:spacing w:after="80"/>
      </w:pPr>
      <w:r>
        <w:rPr>
          <w:sz w:val="22"/>
          <w:szCs w:val="22"/>
        </w:rPr>
        <w:t xml:space="preserve">Désactivez-le pour retirer l’accès.</w:t>
      </w:r>
    </w:p>
    <w:p>
      <w:pPr>
        <w:pBdr>
          <w:left w:val="single" w:color="2563EB" w:sz="18" w:space="8"/>
        </w:pBdr>
        <w:shd w:fill="F3F4F6" w:val="clear"/>
        <w:spacing w:after="200" w:before="120"/>
      </w:pPr>
      <w:r>
        <w:rPr>
          <w:b/>
          <w:bCs/>
          <w:color w:val="1E3A5F"/>
          <w:sz w:val="20"/>
          <w:szCs w:val="20"/>
        </w:rPr>
        <w:t xml:space="preserve">Remarque : </w:t>
      </w:r>
      <w:r>
        <w:rPr>
          <w:color w:val="374151"/>
          <w:sz w:val="20"/>
          <w:szCs w:val="20"/>
        </w:rPr>
        <w:t xml:space="preserve">Cette restriction s’applique partout : tableau de bord, recherche, doublons, analyse d’espace — pas seulement à l’affichage, mais aussi côté serveur.</w:t>
      </w:r>
    </w:p>
    <w:p>
      <w:pPr>
        <w:pStyle w:val="Heading1"/>
        <w:pBdr>
          <w:bottom w:val="single" w:color="2563EB" w:sz="6" w:space="4"/>
        </w:pBdr>
        <w:spacing w:after="200" w:before="400"/>
      </w:pPr>
      <w:r>
        <w:t xml:space="preserve">11. Gestion des utilisateurs et des agents (administrateurs)</w:t>
      </w:r>
    </w:p>
    <w:p>
      <w:pPr>
        <w:pStyle w:val="Heading2"/>
        <w:spacing w:after="120" w:before="300"/>
      </w:pPr>
      <w:r>
        <w:t xml:space="preserve">Utilisateurs</w:t>
      </w:r>
    </w:p>
    <w:p>
      <w:pPr>
        <w:pStyle w:val="ListParagraph"/>
        <w:numPr>
          <w:ilvl w:val="0"/>
          <w:numId w:val="1"/>
        </w:numPr>
        <w:spacing w:after="80"/>
      </w:pPr>
      <w:r>
        <w:rPr>
          <w:sz w:val="22"/>
          <w:szCs w:val="22"/>
        </w:rPr>
        <w:t xml:space="preserve">Créer un nouveau compte (utilisateur ou administrateur)</w:t>
      </w:r>
    </w:p>
    <w:p>
      <w:pPr>
        <w:pStyle w:val="ListParagraph"/>
        <w:numPr>
          <w:ilvl w:val="0"/>
          <w:numId w:val="1"/>
        </w:numPr>
        <w:spacing w:after="80"/>
      </w:pPr>
      <w:r>
        <w:rPr>
          <w:sz w:val="22"/>
          <w:szCs w:val="22"/>
        </w:rPr>
        <w:t xml:space="preserve">Changer le rôle d’un compte existant</w:t>
      </w:r>
    </w:p>
    <w:p>
      <w:pPr>
        <w:pStyle w:val="ListParagraph"/>
        <w:numPr>
          <w:ilvl w:val="0"/>
          <w:numId w:val="1"/>
        </w:numPr>
        <w:spacing w:after="80"/>
      </w:pPr>
      <w:r>
        <w:rPr>
          <w:sz w:val="22"/>
          <w:szCs w:val="22"/>
        </w:rPr>
        <w:t xml:space="preserve">Désactiver un compte</w:t>
      </w:r>
    </w:p>
    <w:p>
      <w:pPr>
        <w:pBdr>
          <w:left w:val="single" w:color="DC2626" w:sz="18" w:space="8"/>
        </w:pBdr>
        <w:shd w:fill="FEF2F2" w:val="clear"/>
        <w:spacing w:after="200" w:before="120"/>
      </w:pPr>
      <w:r>
        <w:rPr>
          <w:b/>
          <w:bCs/>
          <w:color w:val="B91C1C"/>
          <w:sz w:val="20"/>
          <w:szCs w:val="20"/>
        </w:rPr>
        <w:t xml:space="preserve">Attention : </w:t>
      </w:r>
      <w:r>
        <w:rPr>
          <w:color w:val="7F1D1D"/>
          <w:sz w:val="20"/>
          <w:szCs w:val="20"/>
        </w:rPr>
        <w:t xml:space="preserve">Le dernier compte administrateur restant ne peut pas être rétrogradé — l’application l’empêche pour éviter de se retrouver sans accès administrateur.</w:t>
      </w:r>
    </w:p>
    <w:p>
      <w:pPr>
        <w:pStyle w:val="Heading2"/>
        <w:spacing w:after="120" w:before="300"/>
      </w:pPr>
      <w:r>
        <w:t xml:space="preserve">Appareils agents</w:t>
      </w:r>
    </w:p>
    <w:p>
      <w:pPr>
        <w:spacing w:after="160"/>
      </w:pPr>
      <w:r>
        <w:rPr>
          <w:sz w:val="22"/>
          <w:szCs w:val="22"/>
        </w:rPr>
        <w:t xml:space="preserve">La liste des machines ayant un agent installé est visible dans les paramètres, avec leur statut (en ligne / hors ligne / désactivé), le nombre de disques qu’elles gèrent, et le nombre de jetons d’authentification actifs.</w:t>
      </w:r>
    </w:p>
    <w:p>
      <w:pPr>
        <w:pStyle w:val="ListParagraph"/>
        <w:numPr>
          <w:ilvl w:val="0"/>
          <w:numId w:val="1"/>
        </w:numPr>
        <w:spacing w:after="80"/>
      </w:pPr>
      <w:r>
        <w:rPr>
          <w:sz w:val="22"/>
          <w:szCs w:val="22"/>
        </w:rPr>
        <w:t xml:space="preserve">Renommer un appareil</w:t>
      </w:r>
    </w:p>
    <w:p>
      <w:pPr>
        <w:pStyle w:val="ListParagraph"/>
        <w:numPr>
          <w:ilvl w:val="0"/>
          <w:numId w:val="1"/>
        </w:numPr>
        <w:spacing w:after="80"/>
      </w:pPr>
      <w:r>
        <w:rPr>
          <w:sz w:val="22"/>
          <w:szCs w:val="22"/>
        </w:rPr>
        <w:t xml:space="preserve">Révoquer ses accès (déconnexion forcée, jetons invalidés)</w:t>
      </w:r>
    </w:p>
    <w:p>
      <w:pPr>
        <w:pStyle w:val="ListParagraph"/>
        <w:numPr>
          <w:ilvl w:val="0"/>
          <w:numId w:val="1"/>
        </w:numPr>
        <w:spacing w:after="80"/>
      </w:pPr>
      <w:r>
        <w:rPr>
          <w:sz w:val="22"/>
          <w:szCs w:val="22"/>
        </w:rPr>
        <w:t xml:space="preserve">Réactiver un appareil révoqué (il devra se ré-enregistrer)</w:t>
      </w:r>
    </w:p>
    <w:p>
      <w:pPr>
        <w:pStyle w:val="ListParagraph"/>
        <w:numPr>
          <w:ilvl w:val="0"/>
          <w:numId w:val="1"/>
        </w:numPr>
        <w:spacing w:after="80"/>
      </w:pPr>
      <w:r>
        <w:rPr>
          <w:sz w:val="22"/>
          <w:szCs w:val="22"/>
        </w:rPr>
        <w:t xml:space="preserve">Supprimer définitivement un appareil</w:t>
      </w:r>
    </w:p>
    <w:p>
      <w:pPr>
        <w:pStyle w:val="Heading1"/>
        <w:pBdr>
          <w:bottom w:val="single" w:color="2563EB" w:sz="6" w:space="4"/>
        </w:pBdr>
        <w:spacing w:after="200" w:before="400"/>
      </w:pPr>
      <w:r>
        <w:t xml:space="preserve">12. Palette de commande et raccourcis</w:t>
      </w:r>
    </w:p>
    <w:p>
      <w:pPr>
        <w:spacing w:after="160"/>
      </w:pPr>
      <w:r>
        <w:rPr>
          <w:sz w:val="22"/>
          <w:szCs w:val="22"/>
        </w:rPr>
        <w:t xml:space="preserve">Le raccourci Ctrl + K (Cmd + K sur Mac) ouvre une palette de commande permettant de naviguer instantanément vers n’importe quelle page ou n’importe quel disque, sans passer par les menus. Le bouton « Accès rapide » dans la barre du haut fait la même chose.</w:t>
      </w:r>
    </w:p>
    <w:p>
      <w:pPr>
        <w:pStyle w:val="Heading1"/>
        <w:pBdr>
          <w:bottom w:val="single" w:color="2563EB" w:sz="6" w:space="4"/>
        </w:pBdr>
        <w:spacing w:after="200" w:before="400"/>
      </w:pPr>
      <w:r>
        <w:t xml:space="preserve">13. Mode sombre</w:t>
      </w:r>
    </w:p>
    <w:p>
      <w:pPr>
        <w:spacing w:after="160"/>
      </w:pPr>
      <w:r>
        <w:rPr>
          <w:sz w:val="22"/>
          <w:szCs w:val="22"/>
        </w:rPr>
        <w:t xml:space="preserve">Le bouton en forme de soleil/lune dans la barre du haut bascule entre thème clair et sombre. Le réglage est mémorisé pour les visites suivantes.</w:t>
      </w:r>
    </w:p>
    <w:p>
      <w:pPr>
        <w:pStyle w:val="Heading1"/>
        <w:pBdr>
          <w:bottom w:val="single" w:color="2563EB" w:sz="6" w:space="4"/>
        </w:pBdr>
        <w:spacing w:after="200" w:before="400"/>
      </w:pPr>
      <w:r>
        <w:t xml:space="preserve">14. Dépannage et questions fréquentes</w:t>
      </w:r>
    </w:p>
    <w:p>
      <w:pPr>
        <w:pStyle w:val="Heading3"/>
        <w:spacing w:after="100" w:before="200"/>
      </w:pPr>
      <w:r>
        <w:t xml:space="preserve">Un disque agent apparaît « hors ligne »</w:t>
      </w:r>
    </w:p>
    <w:p>
      <w:pPr>
        <w:spacing w:after="160"/>
      </w:pPr>
      <w:r>
        <w:rPr>
          <w:sz w:val="22"/>
          <w:szCs w:val="22"/>
        </w:rPr>
        <w:t xml:space="preserve">Vérifiez que le programme agent tourne toujours sur la machine distante (npm run agent:start) et qu’il peut joindre le serveur sur le réseau.</w:t>
      </w:r>
    </w:p>
    <w:p>
      <w:pPr>
        <w:pStyle w:val="Heading3"/>
        <w:spacing w:after="100" w:before="200"/>
      </w:pPr>
      <w:r>
        <w:t xml:space="preserve">Un scan ne se termine jamais / reste bloqué</w:t>
      </w:r>
    </w:p>
    <w:p>
      <w:pPr>
        <w:spacing w:after="160"/>
      </w:pPr>
      <w:r>
        <w:rPr>
          <w:sz w:val="22"/>
          <w:szCs w:val="22"/>
        </w:rPr>
        <w:t xml:space="preserve">Un scan resté bloqué plus de 10 minutes est automatiquement marqué comme échoué au prochain cycle de surveillance ; relancez-le simplement.</w:t>
      </w:r>
    </w:p>
    <w:p>
      <w:pPr>
        <w:pStyle w:val="Heading3"/>
        <w:spacing w:after="100" w:before="200"/>
      </w:pPr>
      <w:r>
        <w:t xml:space="preserve">Je ne trouve pas un fichier que je sais présent sur le disque</w:t>
      </w:r>
    </w:p>
    <w:p>
      <w:pPr>
        <w:pStyle w:val="ListParagraph"/>
        <w:numPr>
          <w:ilvl w:val="0"/>
          <w:numId w:val="1"/>
        </w:numPr>
        <w:spacing w:after="80"/>
      </w:pPr>
      <w:r>
        <w:rPr>
          <w:sz w:val="22"/>
          <w:szCs w:val="22"/>
        </w:rPr>
        <w:t xml:space="preserve">Vérifiez que le disque a bien été scanné récemment.</w:t>
      </w:r>
    </w:p>
    <w:p>
      <w:pPr>
        <w:pStyle w:val="ListParagraph"/>
        <w:numPr>
          <w:ilvl w:val="0"/>
          <w:numId w:val="1"/>
        </w:numPr>
        <w:spacing w:after="80"/>
      </w:pPr>
      <w:r>
        <w:rPr>
          <w:sz w:val="22"/>
          <w:szCs w:val="22"/>
        </w:rPr>
        <w:t xml:space="preserve">Si vous cherchez dans le contenu du fichier, vérifiez qu’il s’agit d’un format texte/code supporté et qu’il fait moins de 512 Ko.</w:t>
      </w:r>
    </w:p>
    <w:p>
      <w:pPr>
        <w:pStyle w:val="ListParagraph"/>
        <w:numPr>
          <w:ilvl w:val="0"/>
          <w:numId w:val="1"/>
        </w:numPr>
        <w:spacing w:after="80"/>
      </w:pPr>
      <w:r>
        <w:rPr>
          <w:sz w:val="22"/>
          <w:szCs w:val="22"/>
        </w:rPr>
        <w:t xml:space="preserve">Vérifiez que vous avez accès à ce disque (demandez à un administrateur si besoin).</w:t>
      </w:r>
    </w:p>
    <w:p>
      <w:pPr>
        <w:pStyle w:val="Heading3"/>
        <w:spacing w:after="100" w:before="200"/>
      </w:pPr>
      <w:r>
        <w:t xml:space="preserve">Je n’ai pas reçu l’email de test</w:t>
      </w:r>
    </w:p>
    <w:p>
      <w:pPr>
        <w:pStyle w:val="ListParagraph"/>
        <w:numPr>
          <w:ilvl w:val="0"/>
          <w:numId w:val="1"/>
        </w:numPr>
        <w:spacing w:after="80"/>
      </w:pPr>
      <w:r>
        <w:rPr>
          <w:sz w:val="22"/>
          <w:szCs w:val="22"/>
        </w:rPr>
        <w:t xml:space="preserve">Vérifiez les champs serveur/port/utilisateur/mot de passe SMTP.</w:t>
      </w:r>
    </w:p>
    <w:p>
      <w:pPr>
        <w:pStyle w:val="ListParagraph"/>
        <w:numPr>
          <w:ilvl w:val="0"/>
          <w:numId w:val="1"/>
        </w:numPr>
        <w:spacing w:after="80"/>
      </w:pPr>
      <w:r>
        <w:rPr>
          <w:sz w:val="22"/>
          <w:szCs w:val="22"/>
        </w:rPr>
        <w:t xml:space="preserve">Pour Gmail, assurez-vous d’utiliser un mot de passe d’application, pas votre mot de passe habituel.</w:t>
      </w:r>
    </w:p>
    <w:p>
      <w:pPr>
        <w:pStyle w:val="ListParagraph"/>
        <w:numPr>
          <w:ilvl w:val="0"/>
          <w:numId w:val="1"/>
        </w:numPr>
        <w:spacing w:after="80"/>
      </w:pPr>
      <w:r>
        <w:rPr>
          <w:sz w:val="22"/>
          <w:szCs w:val="22"/>
        </w:rPr>
        <w:t xml:space="preserve">Vérifiez vos courriers indésirables.</w:t>
      </w:r>
    </w:p>
    <w:p>
      <w:pPr>
        <w:pStyle w:val="Heading3"/>
        <w:spacing w:after="100" w:before="200"/>
      </w:pPr>
      <w:r>
        <w:t xml:space="preserve">Un doublon supprimé réapparaît</w:t>
      </w:r>
    </w:p>
    <w:p>
      <w:pPr>
        <w:spacing w:after="160"/>
      </w:pPr>
      <w:r>
        <w:rPr>
          <w:sz w:val="22"/>
          <w:szCs w:val="22"/>
        </w:rPr>
        <w:t xml:space="preserve">Si le fichier a été recréé ou copié à nouveau après la suppression, un nouveau scan le réindexera normalement — ce n’est pas une anomalie.</w:t>
      </w:r>
    </w:p>
    <w:p>
      <w:pPr>
        <w:spacing w:after="400"/>
      </w:pPr>
    </w:p>
    <w:p>
      <w:pPr>
        <w:jc w:val="center"/>
      </w:pPr>
      <w:r>
        <w:rPr>
          <w:i/>
          <w:iCs/>
          <w:color w:val="6B7280"/>
          <w:sz w:val="18"/>
          <w:szCs w:val="18"/>
        </w:rPr>
        <w:t xml:space="preserve">Fin du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E3A5F"/>
      <w:sz w:val="32"/>
      <w:szCs w:val="32"/>
    </w:rPr>
  </w:style>
  <w:style w:type="paragraph" w:styleId="Heading2">
    <w:name w:val="Heading 2"/>
    <w:basedOn w:val="Normal"/>
    <w:next w:val="Normal"/>
    <w:rPr>
      <w:rFonts w:ascii="Calibri" w:cs="Calibri" w:eastAsia="Calibri" w:hAnsi="Calibri"/>
      <w:b/>
      <w:bCs/>
      <w:color w:val="2563EB"/>
      <w:sz w:val="26"/>
      <w:szCs w:val="26"/>
    </w:rPr>
  </w:style>
  <w:style w:type="paragraph" w:styleId="Heading3">
    <w:name w:val="Heading 3"/>
    <w:basedOn w:val="Normal"/>
    <w:next w:val="Normal"/>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2026-08-07T13:27:36.731Z</dcterms:created>
  <dcterms:modified xsi:type="dcterms:W3CDTF">2026-08-07T13:27:36.732Z</dcterms:modified>
</cp:coreProperties>
</file>

<file path=docProps/custom.xml><?xml version="1.0" encoding="utf-8"?>
<Properties xmlns="http://schemas.openxmlformats.org/officeDocument/2006/custom-properties" xmlns:vt="http://schemas.openxmlformats.org/officeDocument/2006/docPropsVTypes"/>
</file>