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5D4B"/>
          <w:sz w:val="40"/>
        </w:rPr>
        <w:t>Audit du classeur « Pharmacie_Analyse 2 »</w:t>
      </w:r>
    </w:p>
    <w:p>
      <w:r>
        <w:rPr>
          <w:color w:val="1B2A2F"/>
          <w:sz w:val="24"/>
        </w:rPr>
        <w:t>Conformité au cahier des charges du Rush 2 — Analyse des ventes pharmaceutiques</w:t>
      </w:r>
    </w:p>
    <w:p>
      <w:pPr>
        <w:spacing w:after="280"/>
      </w:pPr>
      <w:r>
        <w:rPr>
          <w:color w:val="6B7B80"/>
          <w:sz w:val="18"/>
        </w:rPr>
        <w:t>Document de travail interne · Octobre 2026 · Sources : rush2-pharma_sales.pdf (v2.1.1), Rush_2_kick-off.pptx, Pharmacie_Analyse 2.xlsx, exports CSV rush-2/</w:t>
      </w:r>
    </w:p>
    <w:p>
      <w:pPr>
        <w:pStyle w:val="Heading1"/>
      </w:pPr>
      <w:r>
        <w:t>1. Verdict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E8F4EF"/>
          </w:tcPr>
          <w:p>
            <w:r>
              <w:rPr>
                <w:b/>
                <w:color w:val="0B5D4B"/>
              </w:rPr>
              <w:t xml:space="preserve">Conforme sur l'essentiel — </w:t>
            </w:r>
            <w:r>
              <w:t>le classeur contient les quatre éléments exigés (synthèse, statistiques descriptives, état des données, outil de sélection sans macro) et intègre des données publiques. Sa base journalière est strictement identique à l'export du client : 0 écart sur les 2 106 jours, aucune valeur manquante, aucune cellule en erreur. Deux manques à combler avant la soutenance : le test de prévision n'y figure pas, et le lien avec le code Python (qui doit produire les statistiques) n'est pas visible dans le classeur.</w:t>
            </w:r>
          </w:p>
        </w:tc>
      </w:tr>
    </w:tbl>
    <w:p>
      <w:pPr>
        <w:spacing w:after="40"/>
      </w:pPr>
    </w:p>
    <w:p>
      <w:pPr>
        <w:pStyle w:val="Heading1"/>
      </w:pPr>
      <w:r>
        <w:t>2. Exigences du brief et état de couverture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5443"/>
        <w:gridCol w:w="1360"/>
      </w:tblGrid>
      <w:tr>
        <w:tc>
          <w:tcPr>
            <w:tcW w:type="dxa" w:w="2608"/>
            <w:shd w:val="clear" w:color="auto" w:fill="0B5D4B"/>
          </w:tcPr>
          <w:p>
            <w:r/>
            <w:r>
              <w:rPr>
                <w:b/>
                <w:color w:val="FFFFFF"/>
                <w:sz w:val="18"/>
              </w:rPr>
              <w:t>Exigence (brief p. 2–3)</w:t>
            </w:r>
          </w:p>
        </w:tc>
        <w:tc>
          <w:tcPr>
            <w:tcW w:type="dxa" w:w="5443"/>
            <w:shd w:val="clear" w:color="auto" w:fill="0B5D4B"/>
          </w:tcPr>
          <w:p>
            <w:r/>
            <w:r>
              <w:rPr>
                <w:b/>
                <w:color w:val="FFFFFF"/>
                <w:sz w:val="18"/>
              </w:rPr>
              <w:t>Ce que contient le classeur</w:t>
            </w:r>
          </w:p>
        </w:tc>
        <w:tc>
          <w:tcPr>
            <w:tcW w:type="dxa" w:w="1361"/>
            <w:shd w:val="clear" w:color="auto" w:fill="0B5D4B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Onglet de synthèse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Accueil (chiffres clés, accès par profil) et Activité (indicateurs et 6 graphiques filtrables par année, mois, groupe)</w:t>
            </w:r>
          </w:p>
        </w:tc>
        <w:tc>
          <w:tcPr>
            <w:tcW w:type="dxa" w:w="1361"/>
            <w:shd w:val="clear" w:color="auto" w:fill="DFF1E9"/>
          </w:tcPr>
          <w:p>
            <w:r/>
            <w:r>
              <w:rPr>
                <w:b/>
                <w:sz w:val="18"/>
              </w:rPr>
              <w:t>Conforme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Statistiques descriptives qui soutiennent les conclusions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Statistiques : total, part, moyenne, médiane, régularité (écart-type ÷ moyenne), meilleure journée, journées sans vente, filtrable par année</w:t>
            </w:r>
          </w:p>
        </w:tc>
        <w:tc>
          <w:tcPr>
            <w:tcW w:type="dxa" w:w="1361"/>
            <w:shd w:val="clear" w:color="auto" w:fill="DFF1E9"/>
          </w:tcPr>
          <w:p>
            <w:r/>
            <w:r>
              <w:rPr>
                <w:b/>
                <w:sz w:val="18"/>
              </w:rPr>
              <w:t>Conforme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État des données : quel export pour quoi, ce qui est corrigé ou écarté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Qualite_donnees : usage de chaque export, contrôles croisés, export mensuel écarté avec le détail des 45 écarts, bords d'historique exclus</w:t>
            </w:r>
          </w:p>
        </w:tc>
        <w:tc>
          <w:tcPr>
            <w:tcW w:type="dxa" w:w="1361"/>
            <w:shd w:val="clear" w:color="auto" w:fill="DFF1E9"/>
          </w:tcPr>
          <w:p>
            <w:r/>
            <w:r>
              <w:rPr>
                <w:b/>
                <w:sz w:val="18"/>
              </w:rPr>
              <w:t>Conforme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Outil client : un ou plusieurs groupes, un jour ou une période, sans macro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Recherche : filtres sur 16 832 lignes (2 104 jours × 8 groupes), totaux recalculés à l'affichage. Aucune macro dans le fichier</w:t>
            </w:r>
          </w:p>
        </w:tc>
        <w:tc>
          <w:tcPr>
            <w:tcW w:type="dxa" w:w="1361"/>
            <w:shd w:val="clear" w:color="auto" w:fill="DFF1E9"/>
          </w:tcPr>
          <w:p>
            <w:r/>
            <w:r>
              <w:rPr>
                <w:b/>
                <w:sz w:val="18"/>
              </w:rPr>
              <w:t>Conforme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Statistiques issues du code Python, ré-exécutable chaque mois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Valeurs figées dans Historique, Calculs et Recherche ; le code n'est pas référencé dans le classeur</w:t>
            </w:r>
          </w:p>
        </w:tc>
        <w:tc>
          <w:tcPr>
            <w:tcW w:type="dxa" w:w="1361"/>
            <w:shd w:val="clear" w:color="auto" w:fill="FBF0CF"/>
          </w:tcPr>
          <w:p>
            <w:r/>
            <w:r>
              <w:rPr>
                <w:b/>
                <w:sz w:val="18"/>
              </w:rPr>
              <w:t>À vérifier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Donnée publique structurée intégrée à l'analyse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Environnement : Réseau Sentinelles (grippe, gastro, varicelle), Météo-France, RNSA ; corrélations calculées sur 300 semaines</w:t>
            </w:r>
          </w:p>
        </w:tc>
        <w:tc>
          <w:tcPr>
            <w:tcW w:type="dxa" w:w="1361"/>
            <w:shd w:val="clear" w:color="auto" w:fill="DFF1E9"/>
          </w:tcPr>
          <w:p>
            <w:r/>
            <w:r>
              <w:rPr>
                <w:b/>
                <w:sz w:val="18"/>
              </w:rPr>
              <w:t>Conforme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Test de prévision contre la prévision naïve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Absent. La colonne « tendance » de Stocks est une droite non testée</w:t>
            </w:r>
          </w:p>
        </w:tc>
        <w:tc>
          <w:tcPr>
            <w:tcW w:type="dxa" w:w="1361"/>
            <w:shd w:val="clear" w:color="auto" w:fill="F9D9D0"/>
          </w:tcPr>
          <w:p>
            <w:r/>
            <w:r>
              <w:rPr>
                <w:b/>
                <w:sz w:val="18"/>
              </w:rPr>
              <w:t>Absent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Fidélité aux exports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Historique comparé cellule par cellule à l'export journalier : écart maximal 0, 0 valeur manquante</w:t>
            </w:r>
          </w:p>
        </w:tc>
        <w:tc>
          <w:tcPr>
            <w:tcW w:type="dxa" w:w="1361"/>
            <w:shd w:val="clear" w:color="auto" w:fill="DFF1E9"/>
          </w:tcPr>
          <w:p>
            <w:r/>
            <w:r>
              <w:rPr>
                <w:b/>
                <w:sz w:val="18"/>
              </w:rPr>
              <w:t>Conforme</w:t>
            </w:r>
          </w:p>
        </w:tc>
      </w:tr>
    </w:tbl>
    <w:p>
      <w:pPr>
        <w:spacing w:after="40"/>
      </w:pPr>
    </w:p>
    <w:p>
      <w:pPr>
        <w:pStyle w:val="Heading1"/>
      </w:pPr>
      <w:r>
        <w:t>3. Contrôles réalisés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5103"/>
        <w:gridCol w:w="1247"/>
      </w:tblGrid>
      <w:tr>
        <w:tc>
          <w:tcPr>
            <w:tcW w:type="dxa" w:w="3061"/>
            <w:shd w:val="clear" w:color="auto" w:fill="0B5D4B"/>
          </w:tcPr>
          <w:p>
            <w:r/>
            <w:r>
              <w:rPr>
                <w:b/>
                <w:color w:val="FFFFFF"/>
                <w:sz w:val="18"/>
              </w:rPr>
              <w:t>Contrôle</w:t>
            </w:r>
          </w:p>
        </w:tc>
        <w:tc>
          <w:tcPr>
            <w:tcW w:type="dxa" w:w="5102"/>
            <w:shd w:val="clear" w:color="auto" w:fill="0B5D4B"/>
          </w:tcPr>
          <w:p>
            <w:r/>
            <w:r>
              <w:rPr>
                <w:b/>
                <w:color w:val="FFFFFF"/>
                <w:sz w:val="18"/>
              </w:rPr>
              <w:t>Résultat</w:t>
            </w:r>
          </w:p>
        </w:tc>
        <w:tc>
          <w:tcPr>
            <w:tcW w:type="dxa" w:w="1247"/>
            <w:shd w:val="clear" w:color="auto" w:fill="0B5D4B"/>
          </w:tcPr>
          <w:p>
            <w:r/>
            <w:r>
              <w:rPr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Base journalière (Historique) vs export journalier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2 106 jours, écart 0</w:t>
            </w:r>
          </w:p>
        </w:tc>
        <w:tc>
          <w:tcPr>
            <w:tcW w:type="dxa" w:w="1247"/>
            <w:shd w:val="clear" w:color="auto" w:fill="DFF1E9"/>
          </w:tcPr>
          <w:p>
            <w:r/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Horaire agrégé au jour vs journalier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Écart maximal &lt; 0,000001 — identiques</w:t>
            </w:r>
          </w:p>
        </w:tc>
        <w:tc>
          <w:tcPr>
            <w:tcW w:type="dxa" w:w="1247"/>
            <w:shd w:val="clear" w:color="auto" w:fill="DFF1E9"/>
          </w:tcPr>
          <w:p>
            <w:r/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Journalier agrégé à la semaine vs hebdomadaire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Écart maximal &lt; 0,000001 — identiques</w:t>
            </w:r>
          </w:p>
        </w:tc>
        <w:tc>
          <w:tcPr>
            <w:tcW w:type="dxa" w:w="1247"/>
            <w:shd w:val="clear" w:color="auto" w:fill="DFF1E9"/>
          </w:tcPr>
          <w:p>
            <w:r/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Journalier agrégé au mois vs mensuel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45 cellules sur 560 en écart, -1,5 % du volume : même constat que l'onglet Qualite_donnees</w:t>
            </w:r>
          </w:p>
        </w:tc>
        <w:tc>
          <w:tcPr>
            <w:tcW w:type="dxa" w:w="1247"/>
            <w:shd w:val="clear" w:color="auto" w:fill="F9D9D0"/>
          </w:tcPr>
          <w:p>
            <w:r/>
            <w:r>
              <w:rPr>
                <w:b/>
                <w:sz w:val="18"/>
              </w:rPr>
              <w:t>Non conforme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Cellules en erreur (#N/A, #REF!, #DIV/0!…)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Aucune dans les 11 onglets</w:t>
            </w:r>
          </w:p>
        </w:tc>
        <w:tc>
          <w:tcPr>
            <w:tcW w:type="dxa" w:w="1247"/>
            <w:shd w:val="clear" w:color="auto" w:fill="DFF1E9"/>
          </w:tcPr>
          <w:p>
            <w:r/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Macros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Aucune (format .xlsx, pas de projet VBA)</w:t>
            </w:r>
          </w:p>
        </w:tc>
        <w:tc>
          <w:tcPr>
            <w:tcW w:type="dxa" w:w="1247"/>
            <w:shd w:val="clear" w:color="auto" w:fill="DFF1E9"/>
          </w:tcPr>
          <w:p>
            <w:r/>
            <w:r>
              <w:rPr>
                <w:b/>
                <w:sz w:val="18"/>
              </w:rPr>
              <w:t>OK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8"/>
              </w:rPr>
              <w:t>Recalcul indépendant des statistiques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Part de N02BE 50 %, journées sans vente N05C 68 %, lien grippe–paracétamol 17,4 % : mêmes valeurs que le classeur</w:t>
            </w:r>
          </w:p>
        </w:tc>
        <w:tc>
          <w:tcPr>
            <w:tcW w:type="dxa" w:w="1247"/>
            <w:shd w:val="clear" w:color="auto" w:fill="DFF1E9"/>
          </w:tcPr>
          <w:p>
            <w:r/>
            <w:r>
              <w:rPr>
                <w:b/>
                <w:sz w:val="18"/>
              </w:rPr>
              <w:t>OK</w:t>
            </w:r>
          </w:p>
        </w:tc>
      </w:tr>
    </w:tbl>
    <w:p>
      <w:pPr>
        <w:spacing w:after="40"/>
      </w:pPr>
    </w:p>
    <w:p>
      <w:r>
        <w:rPr>
          <w:i w:val="0"/>
        </w:rPr>
        <w:t>Les décisions de l'onglet Qualite_donnees sont confirmées : export journalier comme référence, horaire pour les profils horaires, export mensuel écarté, janvier 2014 et octobre 2019 exclus des moyennes mensuelles. Le script fourni avec ce dossier (code/analyse.py) refait ces contrôles à chaque nouvel export.</w:t>
      </w:r>
    </w:p>
    <w:p>
      <w:pPr>
        <w:pStyle w:val="Heading1"/>
      </w:pPr>
      <w:r>
        <w:t>4. Points de vigilance</w:t>
      </w:r>
    </w:p>
    <w:p>
      <w:pPr>
        <w:pStyle w:val="ListBullet"/>
        <w:spacing w:after="60"/>
      </w:pPr>
      <w:r>
        <w:rPr>
          <w:b/>
        </w:rPr>
        <w:t xml:space="preserve">Prévision : </w:t>
      </w:r>
      <w:r>
        <w:t>la colonne « Ventes par jour (tendance) » de l'onglet Stocks prolonge une droite (fonction PREVISION) sur 6 points annuels, sans test. Elle ne doit pas être présentée comme la réponse à la question du manager ; le test de la note écrite, si.</w:t>
      </w:r>
    </w:p>
    <w:p>
      <w:pPr>
        <w:pStyle w:val="ListBullet"/>
        <w:spacing w:after="60"/>
      </w:pPr>
      <w:r>
        <w:rPr>
          <w:b/>
        </w:rPr>
        <w:t xml:space="preserve">Onglets Stocks et Scan : </w:t>
      </w:r>
      <w:r>
        <w:t>hors périmètre du brief et fondés sur une saisie manuelle (stock, codes CIP13). Ils risquent de donner une fausse précision : une journée sans vente n'est pas une rupture, comme le classeur le rappelle lui-même.</w:t>
      </w:r>
    </w:p>
    <w:p>
      <w:pPr>
        <w:pStyle w:val="ListBullet"/>
        <w:spacing w:after="60"/>
      </w:pPr>
      <w:r>
        <w:rPr>
          <w:b/>
        </w:rPr>
        <w:t xml:space="preserve">Calendrier : </w:t>
      </w:r>
      <w:r>
        <w:t>il propose les années 2020 à 2028 et « En cours » alors que les données s'arrêtent le 8 octobre 2019 : les cases affichent alors des moyennes historiques, à signaler clairement. Il cite aussi la bronchiolite « depuis fin 2019 », hors période.</w:t>
      </w:r>
    </w:p>
    <w:p>
      <w:pPr>
        <w:pStyle w:val="ListBullet"/>
        <w:spacing w:after="60"/>
      </w:pPr>
      <w:r>
        <w:rPr>
          <w:b/>
        </w:rPr>
        <w:t xml:space="preserve">Activité : </w:t>
      </w:r>
      <w:r>
        <w:t>un seul groupe à la fois dans la liste déroulante ; le choix multiple passe par l'onglet Recherche, à indiquer au pharmacien.</w:t>
      </w:r>
    </w:p>
    <w:p>
      <w:pPr>
        <w:pStyle w:val="ListBullet"/>
        <w:spacing w:after="60"/>
      </w:pPr>
      <w:r>
        <w:rPr>
          <w:b/>
        </w:rPr>
        <w:t xml:space="preserve">Régénération : </w:t>
      </w:r>
      <w:r>
        <w:t>Historique, Calculs et Recherche sont des valeurs figées : chaque nouvel export devra être réinjecté par le code, sans retouche manuelle.</w:t>
      </w:r>
    </w:p>
    <w:p>
      <w:pPr>
        <w:pStyle w:val="ListBullet"/>
        <w:spacing w:after="60"/>
      </w:pPr>
      <w:r>
        <w:rPr>
          <w:b/>
        </w:rPr>
        <w:t xml:space="preserve">Données sensibles : </w:t>
      </w:r>
      <w:r>
        <w:t>Historique et Recherche contiennent les ventes journalières d'anxiolytiques et d'hypnotiques. Le classeur est un outil interne : il ne doit pas être transmis tel quel au laboratoire (voir la note, partie 2).</w:t>
      </w:r>
    </w:p>
    <w:p>
      <w:pPr>
        <w:pStyle w:val="ListBullet"/>
        <w:spacing w:after="60"/>
      </w:pPr>
      <w:r>
        <w:rPr>
          <w:b/>
        </w:rPr>
        <w:t xml:space="preserve">Environnement : </w:t>
      </w:r>
      <w:r>
        <w:t>les données grippe sont nationales et la météo est celle de Montpellier ; l'adresse de l'officine n'étant pas dans l'export, ce choix de localisation doit être justifié.</w:t>
      </w:r>
    </w:p>
    <w:p>
      <w:pPr>
        <w:pStyle w:val="Heading1"/>
      </w:pPr>
      <w:r>
        <w:t>5. Plan de correction priorisé</w:t>
      </w:r>
    </w:p>
    <w:p>
      <w:pPr>
        <w:pStyle w:val="ListNumber"/>
        <w:spacing w:after="60"/>
      </w:pPr>
      <w:r>
        <w:t>Ajouter un onglet Prévision reprenant le test de la note (erreur par méthode et par groupe, verdict, prévision du mois suivant).</w:t>
      </w:r>
    </w:p>
    <w:p>
      <w:pPr>
        <w:pStyle w:val="ListNumber"/>
        <w:spacing w:after="60"/>
      </w:pPr>
      <w:r>
        <w:t>Faire produire Historique, Calculs, Recherche et les chiffres de Statistiques par le script Python, et l'indiquer dans l'onglet Qualite_donnees (date d'export, version du script).</w:t>
      </w:r>
    </w:p>
    <w:p>
      <w:pPr>
        <w:pStyle w:val="ListNumber"/>
        <w:spacing w:after="60"/>
      </w:pPr>
      <w:r>
        <w:t>Signaler Stocks et Scan comme outils complémentaires hors analyse, ou les retirer de la version remise au client.</w:t>
      </w:r>
    </w:p>
    <w:p>
      <w:pPr>
        <w:pStyle w:val="ListNumber"/>
        <w:spacing w:after="60"/>
      </w:pPr>
      <w:r>
        <w:t>Limiter le Calendrier à 2014–2019, ou marquer explicitement les mois sans données réelles.</w:t>
      </w:r>
    </w:p>
    <w:p>
      <w:pPr>
        <w:pStyle w:val="ListNumber"/>
        <w:spacing w:after="60"/>
      </w:pPr>
      <w:r>
        <w:t>Ajouter dans l'Accueil une ligne d'aide : « plusieurs groupes à la fois → onglet Recherche ».</w:t>
      </w:r>
    </w:p>
    <w:p>
      <w:pPr>
        <w:pStyle w:val="ListNumber"/>
        <w:spacing w:after="60"/>
      </w:pPr>
      <w:r>
        <w:t>Dans le dépôt : exports, script, README indiquant qui a fait quoi.</w:t>
      </w:r>
    </w:p>
    <w:p>
      <w:pPr>
        <w:pStyle w:val="Heading1"/>
      </w:pPr>
      <w:r>
        <w:t>Annexe — Le classeur « data pharmacie ventes » ne doit pas servir de source</w:t>
      </w:r>
    </w:p>
    <w:p>
      <w:r>
        <w:rPr>
          <w:i w:val="0"/>
        </w:rPr>
        <w:t>Ce classeur de travail importe les quatre exports via Power Query, mais l'import comporte trois défauts qui fausseraient tout calcul fait dessus. Il est à conserver comme brouillon uniquement.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7484"/>
      </w:tblGrid>
      <w:tr>
        <w:tc>
          <w:tcPr>
            <w:tcW w:type="dxa" w:w="1928"/>
            <w:shd w:val="clear" w:color="auto" w:fill="0B5D4B"/>
          </w:tcPr>
          <w:p>
            <w:r/>
            <w:r>
              <w:rPr>
                <w:b/>
                <w:color w:val="FFFFFF"/>
                <w:sz w:val="17"/>
              </w:rPr>
              <w:t>Défaut</w:t>
            </w:r>
          </w:p>
        </w:tc>
        <w:tc>
          <w:tcPr>
            <w:tcW w:type="dxa" w:w="7483"/>
            <w:shd w:val="clear" w:color="auto" w:fill="0B5D4B"/>
          </w:tcPr>
          <w:p>
            <w:r/>
            <w:r>
              <w:rPr>
                <w:b/>
                <w:color w:val="FFFFFF"/>
                <w:sz w:val="17"/>
              </w:rPr>
              <w:t>Constat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Valeurs perdues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42 cellules vides dans Daily et 305 dans Hourly : quantités décimales effacées (colonnes typées « nombre entier »)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Nombres en texte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La plupart des quantités sont stockées en texte : SOMME et MOYENNE les ignorent sans message d'erreur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7"/>
              </w:rPr>
              <w:t>Dates inversées</w:t>
            </w:r>
          </w:p>
        </w:tc>
        <w:tc>
          <w:tcPr>
            <w:tcW w:type="dxa" w:w="7483"/>
          </w:tcPr>
          <w:p>
            <w:r/>
            <w:r>
              <w:rPr>
                <w:sz w:val="17"/>
              </w:rPr>
              <w:t>48 900 lignes horaires sur 50 532 : le 2 janvier lu comme le 1er février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B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B2A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5D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D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2A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