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720" w:after="520" w:line="278" w:lineRule="auto"/>
        <w:jc w:val="center"/>
      </w:pPr>
      <w:r>
        <w:rPr>
          <w:rFonts w:ascii="Georgia" w:hAnsi="Georgia" w:eastAsia="Georgia"/>
          <w:b/>
          <w:i w:val="0"/>
          <w:color w:val="176B3A"/>
          <w:sz w:val="18"/>
        </w:rPr>
        <w:t>EXPERIMENT REPORT</w:t>
      </w:r>
    </w:p>
    <w:p>
      <w:pPr>
        <w:keepNext w:val="0"/>
        <w:widowControl/>
        <w:spacing w:before="0" w:after="120" w:line="278" w:lineRule="auto"/>
        <w:jc w:val="center"/>
      </w:pPr>
      <w:r>
        <w:rPr>
          <w:rFonts w:ascii="Georgia" w:hAnsi="Georgia" w:eastAsia="Georgia"/>
          <w:b/>
          <w:i w:val="0"/>
          <w:color w:val="176B3A"/>
          <w:sz w:val="56"/>
        </w:rPr>
        <w:t>Adaptive Daylight Controls</w:t>
      </w:r>
    </w:p>
    <w:p>
      <w:pPr>
        <w:keepNext w:val="0"/>
        <w:widowControl/>
        <w:spacing w:before="0" w:after="1880" w:line="278" w:lineRule="auto"/>
        <w:jc w:val="center"/>
      </w:pPr>
      <w:r>
        <w:rPr>
          <w:rFonts w:ascii="Georgia" w:hAnsi="Georgia" w:eastAsia="Georgia"/>
          <w:b w:val="0"/>
          <w:i w:val="0"/>
          <w:color w:val="8BB69B"/>
          <w:sz w:val="20"/>
        </w:rPr>
        <w:t>Pilot experiment report · August 2026</w:t>
      </w:r>
    </w:p>
    <w:p>
      <w:pPr>
        <w:keepNext w:val="0"/>
        <w:widowControl/>
        <w:spacing w:before="0" w:after="80" w:line="278" w:lineRule="auto"/>
        <w:jc w:val="center"/>
      </w:pPr>
      <w:r>
        <w:rPr>
          <w:rFonts w:ascii="Georgia" w:hAnsi="Georgia" w:eastAsia="Georgia"/>
          <w:b w:val="0"/>
          <w:i/>
          <w:color w:val="8BB69B"/>
          <w:sz w:val="16"/>
        </w:rPr>
        <w:t>Research team</w:t>
      </w:r>
    </w:p>
    <w:p>
      <w:pPr>
        <w:keepNext w:val="0"/>
        <w:widowControl/>
        <w:spacing w:before="0" w:after="120" w:line="278" w:lineRule="auto"/>
        <w:jc w:val="center"/>
      </w:pPr>
      <w:r>
        <w:rPr>
          <w:rFonts w:ascii="Georgia" w:hAnsi="Georgia" w:eastAsia="Georgia"/>
          <w:b/>
          <w:i w:val="0"/>
          <w:color w:val="173A2A"/>
          <w:sz w:val="18"/>
        </w:rPr>
        <w:t>Studio Systems Group</w:t>
      </w:r>
    </w:p>
    <w:p>
      <w:r>
        <w:br w:type="page"/>
      </w:r>
    </w:p>
    <w:p>
      <w:pPr>
        <w:keepNext w:val="0"/>
        <w:widowControl/>
        <w:spacing w:before="0" w:after="80" w:line="278" w:lineRule="auto"/>
      </w:pPr>
      <w:r>
        <w:rPr>
          <w:rFonts w:ascii="Georgia" w:hAnsi="Georgia" w:eastAsia="Georgia"/>
          <w:b/>
          <w:i w:val="0"/>
          <w:color w:val="176B3A"/>
          <w:sz w:val="16"/>
        </w:rPr>
        <w:t>HYPOTHESIS</w:t>
      </w:r>
    </w:p>
    <w:p>
      <w:pPr>
        <w:keepNext w:val="0"/>
        <w:widowControl/>
        <w:spacing w:before="0" w:after="120" w:line="278" w:lineRule="auto"/>
      </w:pPr>
      <w:r>
        <w:rPr>
          <w:rFonts w:ascii="Georgia" w:hAnsi="Georgia" w:eastAsia="Georgia"/>
          <w:b/>
          <w:i w:val="0"/>
          <w:color w:val="173A2A"/>
          <w:sz w:val="26"/>
        </w:rPr>
        <w:t>Automated shade positioning was tested against a fixed schedule in two matched studio zones over ten working days.</w:t>
      </w:r>
    </w:p>
    <w:p>
      <w:pPr>
        <w:keepNext w:val="0"/>
        <w:widowControl/>
        <w:spacing w:before="100" w:after="80" w:line="278" w:lineRule="auto"/>
      </w:pPr>
      <w:r>
        <w:rPr>
          <w:rFonts w:ascii="Georgia" w:hAnsi="Georgia" w:eastAsia="Georgia"/>
          <w:b/>
          <w:i w:val="0"/>
          <w:color w:val="176B3A"/>
          <w:sz w:val="28"/>
        </w:rPr>
        <w:t>Method</w:t>
      </w:r>
    </w:p>
    <w:p>
      <w:pPr>
        <w:keepNext w:val="0"/>
        <w:widowControl/>
        <w:spacing w:before="0" w:after="80" w:line="278" w:lineRule="auto"/>
      </w:pPr>
      <w:r>
        <w:rPr>
          <w:rFonts w:ascii="Georgia" w:hAnsi="Georgia" w:eastAsia="Georgia"/>
          <w:b w:val="0"/>
          <w:i w:val="0"/>
          <w:color w:val="173A2A"/>
          <w:sz w:val="19"/>
        </w:rPr>
        <w:t>Two matched studio zones were observed over ten working days: one used a fixed schedule and the other used automated shade positioning.</w:t>
      </w:r>
    </w:p>
    <w:p>
      <w:pPr>
        <w:keepNext w:val="0"/>
        <w:widowControl/>
        <w:spacing w:before="100" w:after="80" w:line="278" w:lineRule="auto"/>
      </w:pPr>
      <w:r>
        <w:rPr>
          <w:rFonts w:ascii="Georgia" w:hAnsi="Georgia" w:eastAsia="Georgia"/>
          <w:b/>
          <w:i w:val="0"/>
          <w:color w:val="176B3A"/>
          <w:sz w:val="28"/>
        </w:rPr>
        <w:t>Results</w:t>
      </w:r>
    </w:p>
    <w:tbl>
      <w:tblPr>
        <w:tblW w:type="dxa" w:w="9994"/>
        <w:jc w:val="left"/>
        <w:tblLayout w:type="fixed"/>
        <w:tblLook w:firstColumn="1" w:firstRow="1" w:lastColumn="0" w:lastRow="0" w:noHBand="0" w:noVBand="1" w:val="04A0"/>
        <w:tblBorders>
          <w:top w:val="single" w:sz="6" w:color="D8D8D8"/>
          <w:left w:val="single" w:sz="6" w:color="D8D8D8"/>
          <w:bottom w:val="single" w:sz="6" w:color="D8D8D8"/>
          <w:right w:val="single" w:sz="6" w:color="D8D8D8"/>
          <w:insideH w:val="single" w:sz="6" w:color="D8D8D8"/>
          <w:insideV w:val="single" w:sz="6" w:color="D8D8D8"/>
        </w:tblBorders>
      </w:tblPr>
      <w:tblGrid>
        <w:gridCol w:w="2600"/>
        <w:gridCol w:w="2500"/>
        <w:gridCol w:w="2500"/>
        <w:gridCol w:w="2394"/>
      </w:tblGrid>
      <w:tr>
        <w:trPr>
          <w:tblHeader w:val="true"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6F0"/>
          </w:tcPr>
          <w:p>
            <w:pPr>
              <w:spacing w:after="0"/>
            </w:pPr>
            <w:r/>
            <w:r>
              <w:rPr>
                <w:rFonts w:ascii="Georgia" w:hAnsi="Georgia" w:eastAsia="Georgia"/>
                <w:b/>
                <w:i w:val="0"/>
                <w:color w:val="173A2A"/>
                <w:sz w:val="17"/>
              </w:rPr>
              <w:t>Measure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6F0"/>
          </w:tcPr>
          <w:p>
            <w:pPr>
              <w:spacing w:after="0"/>
            </w:pPr>
            <w:r/>
            <w:r>
              <w:rPr>
                <w:rFonts w:ascii="Georgia" w:hAnsi="Georgia" w:eastAsia="Georgia"/>
                <w:b/>
                <w:i w:val="0"/>
                <w:color w:val="173A2A"/>
                <w:sz w:val="17"/>
              </w:rPr>
              <w:t>Fixed schedule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6F0"/>
          </w:tcPr>
          <w:p>
            <w:pPr>
              <w:spacing w:after="0"/>
            </w:pPr>
            <w:r/>
            <w:r>
              <w:rPr>
                <w:rFonts w:ascii="Georgia" w:hAnsi="Georgia" w:eastAsia="Georgia"/>
                <w:b/>
                <w:i w:val="0"/>
                <w:color w:val="173A2A"/>
                <w:sz w:val="17"/>
              </w:rPr>
              <w:t>Adaptive control</w:t>
            </w:r>
          </w:p>
        </w:tc>
        <w:tc>
          <w:tcPr>
            <w:tcW w:type="dxa" w:w="23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6F0"/>
          </w:tcPr>
          <w:p>
            <w:pPr>
              <w:spacing w:after="0"/>
            </w:pPr>
            <w:r/>
            <w:r>
              <w:rPr>
                <w:rFonts w:ascii="Georgia" w:hAnsi="Georgia" w:eastAsia="Georgia"/>
                <w:b/>
                <w:i w:val="0"/>
                <w:color w:val="173A2A"/>
                <w:sz w:val="17"/>
              </w:rPr>
              <w:t>Change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Georgia" w:hAnsi="Georgia" w:eastAsia="Georgia"/>
                <w:b w:val="0"/>
                <w:i w:val="0"/>
                <w:color w:val="173A2A"/>
                <w:sz w:val="18"/>
              </w:rPr>
              <w:t>Glare events / day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Georgia" w:hAnsi="Georgia" w:eastAsia="Georgia"/>
                <w:b w:val="0"/>
                <w:i w:val="0"/>
                <w:color w:val="173A2A"/>
                <w:sz w:val="18"/>
              </w:rPr>
              <w:t>6.4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Georgia" w:hAnsi="Georgia" w:eastAsia="Georgia"/>
                <w:b w:val="0"/>
                <w:i w:val="0"/>
                <w:color w:val="173A2A"/>
                <w:sz w:val="18"/>
              </w:rPr>
              <w:t>2.1</w:t>
            </w:r>
          </w:p>
        </w:tc>
        <w:tc>
          <w:tcPr>
            <w:tcW w:type="dxa" w:w="23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Georgia" w:hAnsi="Georgia" w:eastAsia="Georgia"/>
                <w:b w:val="0"/>
                <w:i w:val="0"/>
                <w:color w:val="173A2A"/>
                <w:sz w:val="18"/>
              </w:rPr>
              <w:t>−67%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Georgia" w:hAnsi="Georgia" w:eastAsia="Georgia"/>
                <w:b w:val="0"/>
                <w:i w:val="0"/>
                <w:color w:val="173A2A"/>
                <w:sz w:val="18"/>
              </w:rPr>
              <w:t>Lighting energy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Georgia" w:hAnsi="Georgia" w:eastAsia="Georgia"/>
                <w:b w:val="0"/>
                <w:i w:val="0"/>
                <w:color w:val="173A2A"/>
                <w:sz w:val="18"/>
              </w:rPr>
              <w:t>100% baseline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Georgia" w:hAnsi="Georgia" w:eastAsia="Georgia"/>
                <w:b w:val="0"/>
                <w:i w:val="0"/>
                <w:color w:val="173A2A"/>
                <w:sz w:val="18"/>
              </w:rPr>
              <w:t>82%</w:t>
            </w:r>
          </w:p>
        </w:tc>
        <w:tc>
          <w:tcPr>
            <w:tcW w:type="dxa" w:w="23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Georgia" w:hAnsi="Georgia" w:eastAsia="Georgia"/>
                <w:b w:val="0"/>
                <w:i w:val="0"/>
                <w:color w:val="173A2A"/>
                <w:sz w:val="18"/>
              </w:rPr>
              <w:t>−18%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Georgia" w:hAnsi="Georgia" w:eastAsia="Georgia"/>
                <w:b w:val="0"/>
                <w:i w:val="0"/>
                <w:color w:val="173A2A"/>
                <w:sz w:val="18"/>
              </w:rPr>
              <w:t>Comfort rating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Georgia" w:hAnsi="Georgia" w:eastAsia="Georgia"/>
                <w:b w:val="0"/>
                <w:i w:val="0"/>
                <w:color w:val="173A2A"/>
                <w:sz w:val="18"/>
              </w:rPr>
              <w:t>3.4 / 5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Georgia" w:hAnsi="Georgia" w:eastAsia="Georgia"/>
                <w:b w:val="0"/>
                <w:i w:val="0"/>
                <w:color w:val="173A2A"/>
                <w:sz w:val="18"/>
              </w:rPr>
              <w:t>4.2 / 5</w:t>
            </w:r>
          </w:p>
        </w:tc>
        <w:tc>
          <w:tcPr>
            <w:tcW w:type="dxa" w:w="23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Georgia" w:hAnsi="Georgia" w:eastAsia="Georgia"/>
                <w:b w:val="0"/>
                <w:i w:val="0"/>
                <w:color w:val="173A2A"/>
                <w:sz w:val="18"/>
              </w:rPr>
              <w:t>+0.8</w:t>
            </w:r>
          </w:p>
        </w:tc>
      </w:tr>
    </w:tbl>
    <w:p>
      <w:pPr>
        <w:keepNext w:val="0"/>
        <w:widowControl/>
        <w:spacing w:before="40" w:after="80" w:line="278" w:lineRule="auto"/>
      </w:pPr>
      <w:r>
        <w:rPr>
          <w:rFonts w:ascii="Georgia" w:hAnsi="Georgia" w:eastAsia="Georgia"/>
          <w:b w:val="0"/>
          <w:i/>
          <w:color w:val="8BB69B"/>
          <w:sz w:val="14"/>
        </w:rPr>
        <w:t>Source: fictional benchmark scenario; values are illustrative.</w:t>
      </w:r>
    </w:p>
    <w:p>
      <w:pPr>
        <w:keepNext w:val="0"/>
        <w:widowControl/>
        <w:spacing w:before="80" w:after="80" w:line="278" w:lineRule="auto"/>
      </w:pPr>
      <w:r>
        <w:rPr>
          <w:rFonts w:ascii="Georgia" w:hAnsi="Georgia" w:eastAsia="Georgia"/>
          <w:b/>
          <w:i w:val="0"/>
          <w:color w:val="176B3A"/>
          <w:sz w:val="28"/>
        </w:rPr>
        <w:t>Interpretation</w:t>
      </w:r>
    </w:p>
    <w:p>
      <w:pPr>
        <w:pStyle w:val="ListBullet"/>
        <w:keepNext w:val="0"/>
        <w:widowControl/>
        <w:spacing w:before="0" w:after="60" w:line="278" w:lineRule="auto"/>
        <w:ind w:left="605" w:hanging="288"/>
      </w:pPr>
      <w:r>
        <w:rPr>
          <w:rFonts w:ascii="Georgia" w:hAnsi="Georgia" w:eastAsia="Georgia"/>
          <w:b w:val="0"/>
          <w:i w:val="0"/>
          <w:color w:val="173A2A"/>
          <w:sz w:val="20"/>
        </w:rPr>
        <w:t>The adaptive zone recorded fewer glare events in nine of ten test days.</w:t>
      </w:r>
    </w:p>
    <w:p>
      <w:pPr>
        <w:pStyle w:val="ListBullet"/>
        <w:keepNext w:val="0"/>
        <w:widowControl/>
        <w:spacing w:before="0" w:after="60" w:line="278" w:lineRule="auto"/>
        <w:ind w:left="605" w:hanging="288"/>
      </w:pPr>
      <w:r>
        <w:rPr>
          <w:rFonts w:ascii="Georgia" w:hAnsi="Georgia" w:eastAsia="Georgia"/>
          <w:b w:val="0"/>
          <w:i w:val="0"/>
          <w:color w:val="173A2A"/>
          <w:sz w:val="20"/>
        </w:rPr>
        <w:t>Energy savings were strongest during clear mornings and weakest on overcast days.</w:t>
      </w:r>
    </w:p>
    <w:p>
      <w:pPr>
        <w:pStyle w:val="ListBullet"/>
        <w:keepNext w:val="0"/>
        <w:widowControl/>
        <w:spacing w:before="0" w:after="60" w:line="278" w:lineRule="auto"/>
        <w:ind w:left="605" w:hanging="288"/>
      </w:pPr>
      <w:r>
        <w:rPr>
          <w:rFonts w:ascii="Georgia" w:hAnsi="Georgia" w:eastAsia="Georgia"/>
          <w:b w:val="0"/>
          <w:i w:val="0"/>
          <w:color w:val="173A2A"/>
          <w:sz w:val="20"/>
        </w:rPr>
        <w:t>No equipment faults or manual overrides were recorded during the pilot.</w:t>
      </w:r>
    </w:p>
    <w:p>
      <w:pPr>
        <w:keepNext w:val="0"/>
        <w:widowControl/>
        <w:spacing w:before="100" w:after="60" w:line="278" w:lineRule="auto"/>
      </w:pPr>
      <w:r>
        <w:rPr>
          <w:rFonts w:ascii="Georgia" w:hAnsi="Georgia" w:eastAsia="Georgia"/>
          <w:b/>
          <w:i w:val="0"/>
          <w:color w:val="173A2A"/>
          <w:sz w:val="23"/>
        </w:rPr>
        <w:t>Limitations</w:t>
      </w:r>
    </w:p>
    <w:p>
      <w:pPr>
        <w:keepNext w:val="0"/>
        <w:widowControl/>
        <w:spacing w:before="0" w:after="60" w:line="278" w:lineRule="auto"/>
      </w:pPr>
      <w:r>
        <w:rPr>
          <w:rFonts w:ascii="Georgia" w:hAnsi="Georgia" w:eastAsia="Georgia"/>
          <w:b w:val="0"/>
          <w:i w:val="0"/>
          <w:color w:val="8BB69B"/>
          <w:sz w:val="18"/>
        </w:rPr>
        <w:t>The ten-day duration and two-zone sample limit generalization across seasons and orientations.</w:t>
      </w:r>
    </w:p>
    <w:p>
      <w:pPr>
        <w:keepNext w:val="0"/>
        <w:widowControl/>
        <w:spacing w:before="80" w:after="60" w:line="278" w:lineRule="auto"/>
      </w:pPr>
      <w:r>
        <w:rPr>
          <w:rFonts w:ascii="Georgia" w:hAnsi="Georgia" w:eastAsia="Georgia"/>
          <w:b/>
          <w:i w:val="0"/>
          <w:color w:val="176B3A"/>
          <w:sz w:val="28"/>
        </w:rPr>
        <w:t>Next step</w:t>
      </w:r>
    </w:p>
    <w:p>
      <w:pPr>
        <w:pStyle w:val="ListNumber"/>
        <w:keepNext w:val="0"/>
        <w:widowControl/>
        <w:spacing w:before="0" w:after="60" w:line="278" w:lineRule="auto"/>
        <w:ind w:left="605" w:hanging="288"/>
      </w:pPr>
      <w:r>
        <w:rPr>
          <w:rFonts w:ascii="Georgia" w:hAnsi="Georgia" w:eastAsia="Georgia"/>
          <w:b w:val="0"/>
          <w:i w:val="0"/>
          <w:color w:val="173A2A"/>
          <w:sz w:val="20"/>
        </w:rPr>
        <w:t>Expand the test to four orientations and retain a manual override log.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504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Georgia" w:hAnsi="Georgia" w:eastAsia="Georgia"/>
        <w:b w:val="0"/>
        <w:i w:val="0"/>
        <w:color w:val="8BB69B"/>
        <w:sz w:val="15"/>
      </w:rPr>
      <w:t xml:space="preserve">BENCHMARK EDITION  ·  </w:t>
    </w:r>
    <w:r>
      <w:fldChar w:fldCharType="begin"/>
      <w:instrText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 w:eastAsia="Georgia"/>
        <w:b/>
        <w:i w:val="0"/>
        <w:color w:val="8BB69B"/>
        <w:sz w:val="15"/>
      </w:rPr>
      <w:t>EXPERIMENT REPORT  ·  AUGUST 5,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8" w:lineRule="auto"/>
    </w:pPr>
    <w:rPr>
      <w:rFonts w:ascii="Georgia" w:hAnsi="Georgia" w:eastAsia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Georgia" w:hAnsi="Georgia"/>
      <w:b/>
      <w:bCs/>
      <w:color w:val="176B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Georgia" w:hAnsi="Georgia"/>
      <w:b/>
      <w:bCs/>
      <w:color w:val="173A2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Georgia" w:hAnsi="Georgia"/>
      <w:b/>
      <w:bCs/>
      <w:color w:val="173A2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