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0" w:after="60" w:line="278" w:lineRule="auto"/>
      </w:pPr>
      <w:r>
        <w:rPr>
          <w:rFonts w:ascii="Arial" w:hAnsi="Arial" w:eastAsia="Arial"/>
          <w:b/>
          <w:i w:val="0"/>
          <w:color w:val="111111"/>
          <w:sz w:val="48"/>
        </w:rPr>
        <w:t>INVESTMENT COMMITTEE MEMO</w:t>
      </w:r>
    </w:p>
    <w:p>
      <w:pPr>
        <w:keepNext w:val="0"/>
        <w:widowControl/>
        <w:spacing w:before="0" w:after="240" w:line="278" w:lineRule="auto"/>
      </w:pPr>
      <w:r>
        <w:rPr>
          <w:rFonts w:ascii="Arial" w:hAnsi="Arial" w:eastAsia="Arial"/>
          <w:b w:val="0"/>
          <w:i w:val="0"/>
          <w:color w:val="6F6F6F"/>
          <w:sz w:val="18"/>
        </w:rPr>
        <w:t>Investment committee memorandum · Decision requested</w:t>
      </w:r>
    </w:p>
    <w:tbl>
      <w:tblPr>
        <w:tblW w:type="dxa" w:w="9994"/>
        <w:jc w:val="left"/>
        <w:tblLayout w:type="fixed"/>
        <w:tblLook w:firstColumn="1" w:firstRow="1" w:lastColumn="0" w:lastRow="0" w:noHBand="0" w:noVBand="1" w:val="04A0"/>
        <w:tblBorders>
          <w:top w:val="single" w:sz="6" w:color="D8D8D8"/>
          <w:left w:val="single" w:sz="6" w:color="D8D8D8"/>
          <w:bottom w:val="single" w:sz="6" w:color="D8D8D8"/>
          <w:right w:val="single" w:sz="6" w:color="D8D8D8"/>
          <w:insideH w:val="single" w:sz="6" w:color="D8D8D8"/>
          <w:insideV w:val="single" w:sz="6" w:color="D8D8D8"/>
        </w:tblBorders>
      </w:tblPr>
      <w:tblGrid>
        <w:gridCol w:w="750"/>
        <w:gridCol w:w="3300"/>
        <w:gridCol w:w="850"/>
        <w:gridCol w:w="5094"/>
      </w:tblGrid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To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Investment Committee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Date</w:t>
            </w:r>
          </w:p>
        </w:tc>
        <w:tc>
          <w:tcPr>
            <w:tcW w:type="dxa" w:w="5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7"/>
              </w:rPr>
              <w:t>August 5, 2026</w:t>
            </w:r>
          </w:p>
        </w:tc>
      </w:tr>
      <w:tr>
        <w:tc>
          <w:tcPr>
            <w:tcW w:type="dxa" w:w="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From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Real Assets Team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Decision requested</w:t>
            </w:r>
          </w:p>
        </w:tc>
      </w:tr>
    </w:tbl>
    <w:p>
      <w:pPr>
        <w:spacing w:after="160"/>
        <w:pBdr>
          <w:bottom w:val="single" w:sz="9" w:space="1" w:color="111111"/>
        </w:pBdr>
      </w:pPr>
    </w:p>
    <w:p>
      <w:pPr>
        <w:keepNext w:val="0"/>
        <w:widowControl/>
        <w:spacing w:before="0" w:after="60" w:line="278" w:lineRule="auto"/>
      </w:pPr>
      <w:r>
        <w:rPr>
          <w:rFonts w:ascii="Arial" w:hAnsi="Arial" w:eastAsia="Arial"/>
          <w:b/>
          <w:i w:val="0"/>
          <w:color w:val="6F6F6F"/>
          <w:sz w:val="16"/>
        </w:rPr>
        <w:t>OPPORTUNITY</w:t>
      </w:r>
    </w:p>
    <w:p>
      <w:pPr>
        <w:keepNext w:val="0"/>
        <w:widowControl/>
        <w:spacing w:before="0" w:after="160" w:line="278" w:lineRule="auto"/>
      </w:pPr>
      <w:r>
        <w:rPr>
          <w:rFonts w:ascii="Arial" w:hAnsi="Arial" w:eastAsia="Arial"/>
          <w:b/>
          <w:i w:val="0"/>
          <w:color w:val="111111"/>
          <w:sz w:val="32"/>
        </w:rPr>
        <w:t>Circular Timber Retrofit Fund I</w:t>
      </w:r>
    </w:p>
    <w:p>
      <w:pPr>
        <w:keepNext w:val="0"/>
        <w:widowControl/>
        <w:spacing w:before="0" w:after="80" w:line="278" w:lineRule="auto"/>
      </w:pPr>
      <w:r>
        <w:rPr>
          <w:rFonts w:ascii="Arial" w:hAnsi="Arial" w:eastAsia="Arial"/>
          <w:b/>
          <w:i w:val="0"/>
          <w:color w:val="111111"/>
          <w:sz w:val="16"/>
        </w:rPr>
        <w:t>RECOMMENDATION</w:t>
      </w:r>
    </w:p>
    <w:p>
      <w:pPr>
        <w:keepNext w:val="0"/>
        <w:widowControl/>
        <w:spacing w:before="0" w:after="200" w:line="278" w:lineRule="auto"/>
      </w:pPr>
      <w:r>
        <w:rPr>
          <w:rFonts w:ascii="Arial" w:hAnsi="Arial" w:eastAsia="Arial"/>
          <w:b/>
          <w:i w:val="0"/>
          <w:color w:val="111111"/>
          <w:sz w:val="26"/>
        </w:rPr>
        <w:t>Recommend a conditional $4.0M commitment, subject to first-close concentration limits and quarterly project-level carbon reporting.</w:t>
      </w:r>
    </w:p>
    <w:p>
      <w:pPr>
        <w:keepNext w:val="0"/>
        <w:widowControl/>
        <w:spacing w:before="140" w:after="100" w:line="278" w:lineRule="auto"/>
      </w:pPr>
      <w:r>
        <w:rPr>
          <w:rFonts w:ascii="Arial" w:hAnsi="Arial" w:eastAsia="Arial"/>
          <w:b/>
          <w:i w:val="0"/>
          <w:color w:val="111111"/>
          <w:sz w:val="30"/>
        </w:rPr>
        <w:t>Transaction summary</w:t>
      </w:r>
    </w:p>
    <w:tbl>
      <w:tblPr>
        <w:tblW w:type="dxa" w:w="9994"/>
        <w:jc w:val="left"/>
        <w:tblLayout w:type="fixed"/>
        <w:tblLook w:firstColumn="1" w:firstRow="1" w:lastColumn="0" w:lastRow="0" w:noHBand="0" w:noVBand="1" w:val="04A0"/>
        <w:tblBorders>
          <w:top w:val="single" w:sz="6" w:color="D8D8D8"/>
          <w:left w:val="single" w:sz="6" w:color="D8D8D8"/>
          <w:bottom w:val="single" w:sz="6" w:color="D8D8D8"/>
          <w:right w:val="single" w:sz="6" w:color="D8D8D8"/>
          <w:insideH w:val="single" w:sz="6" w:color="D8D8D8"/>
          <w:insideV w:val="single" w:sz="6" w:color="D8D8D8"/>
        </w:tblBorders>
      </w:tblPr>
      <w:tblGrid>
        <w:gridCol w:w="2200"/>
        <w:gridCol w:w="3900"/>
        <w:gridCol w:w="3894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11111"/>
                <w:sz w:val="17"/>
              </w:rPr>
              <w:t>Item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11111"/>
                <w:sz w:val="17"/>
              </w:rPr>
              <w:t>Proposed term</w:t>
            </w:r>
          </w:p>
        </w:tc>
        <w:tc>
          <w:tcPr>
            <w:tcW w:type="dxa" w:w="38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2F2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11111"/>
                <w:sz w:val="17"/>
              </w:rPr>
              <w:t>Committee view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Commitment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$4.0M</w:t>
            </w:r>
          </w:p>
        </w:tc>
        <w:tc>
          <w:tcPr>
            <w:tcW w:type="dxa" w:w="38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Within pilot allocation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Fund target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$42M</w:t>
            </w:r>
          </w:p>
        </w:tc>
        <w:tc>
          <w:tcPr>
            <w:tcW w:type="dxa" w:w="38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Minimum viable scale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Term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10 years + 2</w:t>
            </w:r>
          </w:p>
        </w:tc>
        <w:tc>
          <w:tcPr>
            <w:tcW w:type="dxa" w:w="38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Market standard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Target net IRR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14–16%</w:t>
            </w:r>
          </w:p>
        </w:tc>
        <w:tc>
          <w:tcPr>
            <w:tcW w:type="dxa" w:w="38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Requires downside guardrails</w:t>
            </w:r>
          </w:p>
        </w:tc>
      </w:tr>
    </w:tbl>
    <w:p>
      <w:pPr>
        <w:keepNext w:val="0"/>
        <w:widowControl/>
        <w:spacing w:before="160" w:after="100" w:line="278" w:lineRule="auto"/>
      </w:pPr>
      <w:r>
        <w:rPr>
          <w:rFonts w:ascii="Arial" w:hAnsi="Arial" w:eastAsia="Arial"/>
          <w:b/>
          <w:i w:val="0"/>
          <w:color w:val="111111"/>
          <w:sz w:val="30"/>
        </w:rPr>
        <w:t>Underwriting case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11111"/>
          <w:sz w:val="20"/>
        </w:rPr>
        <w:t>Pipeline includes eight adaptive-reuse projects with identified off-take partners.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11111"/>
          <w:sz w:val="20"/>
        </w:rPr>
        <w:t>The manager has operating experience but limited institutional fund history.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11111"/>
          <w:sz w:val="20"/>
        </w:rPr>
        <w:t>Returns depend on disciplined acquisition pricing and verified material recovery yields.</w:t>
      </w:r>
    </w:p>
    <w:p>
      <w:pPr>
        <w:keepNext w:val="0"/>
        <w:widowControl/>
        <w:spacing w:before="160" w:after="100" w:line="278" w:lineRule="auto"/>
      </w:pPr>
      <w:r>
        <w:rPr>
          <w:rFonts w:ascii="Arial" w:hAnsi="Arial" w:eastAsia="Arial"/>
          <w:b/>
          <w:i w:val="0"/>
          <w:color w:val="111111"/>
          <w:sz w:val="30"/>
        </w:rPr>
        <w:t>Risks and mitigations</w:t>
      </w:r>
    </w:p>
    <w:p>
      <w:pPr>
        <w:pStyle w:val="ListNumber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11111"/>
          <w:sz w:val="20"/>
        </w:rPr>
        <w:t>Cap exposure at 10% until the second close.</w:t>
      </w:r>
    </w:p>
    <w:p>
      <w:pPr>
        <w:pStyle w:val="ListNumber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11111"/>
          <w:sz w:val="20"/>
        </w:rPr>
        <w:t>Require quarterly cost, schedule, carbon, and recovery-rate reporting.</w:t>
      </w:r>
    </w:p>
    <w:p>
      <w:pPr>
        <w:pStyle w:val="ListNumber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11111"/>
          <w:sz w:val="20"/>
        </w:rPr>
        <w:t>Add key-person and recycling-yield covenants to side-letter terms.</w:t>
      </w:r>
    </w:p>
    <w:p>
      <w:pPr>
        <w:keepNext w:val="0"/>
        <w:widowControl/>
        <w:spacing w:before="200" w:after="80" w:line="278" w:lineRule="auto"/>
      </w:pPr>
      <w:r>
        <w:rPr>
          <w:rFonts w:ascii="Arial" w:hAnsi="Arial" w:eastAsia="Arial"/>
          <w:b/>
          <w:i w:val="0"/>
          <w:color w:val="111111"/>
          <w:sz w:val="24"/>
        </w:rPr>
        <w:t>Committee decision</w:t>
      </w:r>
    </w:p>
    <w:p>
      <w:pPr>
        <w:keepNext w:val="0"/>
        <w:widowControl/>
        <w:spacing w:before="0" w:after="120" w:line="278" w:lineRule="auto"/>
      </w:pPr>
      <w:r>
        <w:rPr>
          <w:rFonts w:ascii="Arial" w:hAnsi="Arial" w:eastAsia="Arial"/>
          <w:b w:val="0"/>
          <w:i w:val="0"/>
          <w:color w:val="6F6F6F"/>
          <w:sz w:val="20"/>
        </w:rPr>
        <w:t>Approve / Approve with conditions / Decline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F6F6F"/>
        <w:sz w:val="15"/>
      </w:rPr>
      <w:t xml:space="preserve">BENCHMARK EDITION  ·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6F6F6F"/>
        <w:sz w:val="15"/>
      </w:rPr>
      <w:t>INVESTMENT COMMITTEE MEMO  ·  AUGUST 5,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