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6345936" cy="3410712"/>
            <wp:docPr id="1" name="Timber neighborhood pavilion in dappled shade" descr="Timber neighborhood pavilion in dappled shad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45936" cy="3410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180" w:after="100" w:line="278" w:lineRule="auto"/>
      </w:pPr>
      <w:r>
        <w:rPr>
          <w:rFonts w:ascii="Arial" w:hAnsi="Arial" w:eastAsia="Arial"/>
          <w:b/>
          <w:i w:val="0"/>
          <w:color w:val="2F5146"/>
          <w:sz w:val="16"/>
        </w:rPr>
        <w:t>FIELD REPORT / 01</w:t>
      </w:r>
    </w:p>
    <w:p>
      <w:pPr>
        <w:keepNext/>
        <w:widowControl/>
        <w:spacing w:before="0" w:after="100" w:line="278" w:lineRule="auto"/>
      </w:pPr>
      <w:r>
        <w:rPr>
          <w:rFonts w:ascii="Arial" w:hAnsi="Arial" w:eastAsia="Arial"/>
          <w:b/>
          <w:i w:val="0"/>
          <w:color w:val="1D2925"/>
          <w:sz w:val="58"/>
        </w:rPr>
        <w:t>Shelter in the Shade</w:t>
      </w:r>
    </w:p>
    <w:p>
      <w:pPr>
        <w:keepNext w:val="0"/>
        <w:widowControl/>
        <w:spacing w:before="0" w:after="240" w:line="278" w:lineRule="auto"/>
      </w:pPr>
      <w:r>
        <w:rPr>
          <w:rFonts w:ascii="Arial" w:hAnsi="Arial" w:eastAsia="Arial"/>
          <w:b w:val="0"/>
          <w:i w:val="0"/>
          <w:color w:val="A7B6AE"/>
          <w:sz w:val="22"/>
        </w:rPr>
        <w:t>A field report on passive cooling at neighborhood pavilions</w:t>
      </w:r>
    </w:p>
    <w:tbl>
      <w:tblPr>
        <w:tblW w:type="dxa" w:w="9994"/>
        <w:jc w:val="left"/>
        <w:tblLayout w:type="fixed"/>
        <w:tblLook w:firstColumn="1" w:firstRow="1" w:lastColumn="0" w:lastRow="0" w:noHBand="0" w:noVBand="1" w:val="04A0"/>
        <w:tblBorders>
          <w:top w:val="single" w:sz="6" w:color="FFFFFF"/>
          <w:left w:val="single" w:sz="6" w:color="FFFFFF"/>
          <w:bottom w:val="single" w:sz="6" w:color="FFFFFF"/>
          <w:right w:val="single" w:sz="6" w:color="FFFFFF"/>
          <w:insideH w:val="single" w:sz="6" w:color="FFFFFF"/>
          <w:insideV w:val="single" w:sz="6" w:color="FFFFFF"/>
        </w:tblBorders>
      </w:tblPr>
      <w:tblGrid>
        <w:gridCol w:w="900"/>
        <w:gridCol w:w="3100"/>
        <w:gridCol w:w="1400"/>
        <w:gridCol w:w="4594"/>
      </w:tblGrid>
      <w:t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2F5146"/>
              </w:rPr>
            </w:r>
            <w:r>
              <w:rPr>
                <w:rFonts w:ascii="Arial" w:hAnsi="Arial" w:eastAsia="Arial"/>
                <w:b/>
                <w:i w:val="0"/>
                <w:color w:val="2F5146"/>
                <w:sz w:val="17"/>
              </w:rPr>
              <w:t>SITE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D2925"/>
                <w:sz w:val="17"/>
              </w:rPr>
              <w:t>East Junction Pavilion</w:t>
            </w:r>
          </w:p>
        </w:tc>
        <w:tc>
          <w:tcPr>
            <w:tcW w:type="dxa" w:w="1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color w:val="2F5146"/>
              </w:rPr>
            </w:r>
            <w:r>
              <w:rPr>
                <w:rFonts w:ascii="Arial" w:hAnsi="Arial" w:eastAsia="Arial"/>
                <w:b/>
                <w:i w:val="0"/>
                <w:color w:val="2F5146"/>
                <w:sz w:val="17"/>
              </w:rPr>
              <w:t>PREPARED FOR</w:t>
            </w:r>
          </w:p>
        </w:tc>
        <w:tc>
          <w:tcPr>
            <w:tcW w:type="dxa" w:w="45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i w:val="0"/>
                <w:color w:val="1D2925"/>
                <w:sz w:val="17"/>
              </w:rPr>
              <w:t>Civic Cooling Lab</w:t>
            </w:r>
          </w:p>
        </w:tc>
      </w:tr>
    </w:tbl>
    <w:p>
      <w:r>
        <w:br w:type="page"/>
      </w:r>
    </w:p>
    <w:p>
      <w:pPr>
        <w:keepNext w:val="0"/>
        <w:widowControl/>
        <w:spacing w:before="0" w:after="80" w:line="278" w:lineRule="auto"/>
      </w:pPr>
      <w:r>
        <w:rPr>
          <w:rFonts w:ascii="Arial" w:hAnsi="Arial" w:eastAsia="Arial"/>
          <w:b/>
          <w:i w:val="0"/>
          <w:color w:val="2F5146"/>
          <w:sz w:val="16"/>
        </w:rPr>
        <w:t>EXECUTIVE OBSERVATION</w:t>
      </w:r>
    </w:p>
    <w:p>
      <w:pPr>
        <w:keepNext w:val="0"/>
        <w:widowControl/>
        <w:spacing w:before="0" w:after="280" w:line="278" w:lineRule="auto"/>
      </w:pPr>
      <w:r>
        <w:rPr>
          <w:rFonts w:ascii="Arial" w:hAnsi="Arial" w:eastAsia="Arial"/>
          <w:b/>
          <w:i w:val="0"/>
          <w:color w:val="1D2925"/>
          <w:sz w:val="36"/>
        </w:rPr>
        <w:t>Small shade structures can reduce perceived heat without mechanical cooling when material, orientation, and airflow are designed as one system.</w:t>
      </w:r>
    </w:p>
    <w:p>
      <w:pPr>
        <w:keepNext w:val="0"/>
        <w:widowControl/>
        <w:spacing w:before="160" w:after="120" w:line="278" w:lineRule="auto"/>
      </w:pPr>
      <w:r>
        <w:rPr>
          <w:rFonts w:ascii="Arial" w:hAnsi="Arial" w:eastAsia="Arial"/>
          <w:b/>
          <w:i w:val="0"/>
          <w:color w:val="2F5146"/>
          <w:sz w:val="30"/>
        </w:rPr>
        <w:t>Field findings</w:t>
      </w:r>
    </w:p>
    <w:p>
      <w:pPr>
        <w:pStyle w:val="ListBullet"/>
        <w:keepNext w:val="0"/>
        <w:widowControl/>
        <w:spacing w:before="0" w:after="60" w:line="278" w:lineRule="auto"/>
        <w:ind w:left="605" w:hanging="288"/>
      </w:pPr>
      <w:r>
        <w:rPr>
          <w:rFonts w:ascii="Arial" w:hAnsi="Arial" w:eastAsia="Arial"/>
          <w:b w:val="0"/>
          <w:i w:val="0"/>
          <w:color w:val="1D2925"/>
          <w:sz w:val="20"/>
        </w:rPr>
        <w:t>Deep roof overhangs kept occupied edges comfortable during the hottest observation window.</w:t>
      </w:r>
    </w:p>
    <w:p>
      <w:pPr>
        <w:pStyle w:val="ListBullet"/>
        <w:keepNext w:val="0"/>
        <w:widowControl/>
        <w:spacing w:before="0" w:after="60" w:line="278" w:lineRule="auto"/>
        <w:ind w:left="605" w:hanging="288"/>
      </w:pPr>
      <w:r>
        <w:rPr>
          <w:rFonts w:ascii="Arial" w:hAnsi="Arial" w:eastAsia="Arial"/>
          <w:b w:val="0"/>
          <w:i w:val="0"/>
          <w:color w:val="1D2925"/>
          <w:sz w:val="20"/>
        </w:rPr>
        <w:t>Timber surfaces reduced glare, while narrow openings preserved cross-ventilation.</w:t>
      </w:r>
    </w:p>
    <w:p>
      <w:pPr>
        <w:pStyle w:val="ListBullet"/>
        <w:keepNext w:val="0"/>
        <w:widowControl/>
        <w:spacing w:before="0" w:after="60" w:line="278" w:lineRule="auto"/>
        <w:ind w:left="605" w:hanging="288"/>
      </w:pPr>
      <w:r>
        <w:rPr>
          <w:rFonts w:ascii="Arial" w:hAnsi="Arial" w:eastAsia="Arial"/>
          <w:b w:val="0"/>
          <w:i w:val="0"/>
          <w:color w:val="1D2925"/>
          <w:sz w:val="20"/>
        </w:rPr>
        <w:t>Planting worked best as a cooling layer when it did not block prevailing breezes.</w:t>
      </w:r>
    </w:p>
    <w:p>
      <w:pPr>
        <w:keepNext w:val="0"/>
        <w:widowControl/>
        <w:spacing w:before="200" w:after="120" w:line="278" w:lineRule="auto"/>
      </w:pPr>
      <w:r>
        <w:rPr>
          <w:rFonts w:ascii="Arial" w:hAnsi="Arial" w:eastAsia="Arial"/>
          <w:b/>
          <w:i w:val="0"/>
          <w:color w:val="2F5146"/>
          <w:sz w:val="30"/>
        </w:rPr>
        <w:t>Practical recommendations</w:t>
      </w:r>
    </w:p>
    <w:p>
      <w:pPr>
        <w:pStyle w:val="ListNumber"/>
        <w:keepNext w:val="0"/>
        <w:widowControl/>
        <w:spacing w:before="0" w:after="60" w:line="278" w:lineRule="auto"/>
        <w:ind w:left="605" w:hanging="288"/>
      </w:pPr>
      <w:r>
        <w:rPr>
          <w:rFonts w:ascii="Arial" w:hAnsi="Arial" w:eastAsia="Arial"/>
          <w:b w:val="0"/>
          <w:i w:val="0"/>
          <w:color w:val="1D2925"/>
          <w:sz w:val="20"/>
        </w:rPr>
        <w:t>Orient primary openings toward prevailing summer winds.</w:t>
      </w:r>
    </w:p>
    <w:p>
      <w:pPr>
        <w:pStyle w:val="ListNumber"/>
        <w:keepNext w:val="0"/>
        <w:widowControl/>
        <w:spacing w:before="0" w:after="60" w:line="278" w:lineRule="auto"/>
        <w:ind w:left="605" w:hanging="288"/>
      </w:pPr>
      <w:r>
        <w:rPr>
          <w:rFonts w:ascii="Arial" w:hAnsi="Arial" w:eastAsia="Arial"/>
          <w:b w:val="0"/>
          <w:i w:val="0"/>
          <w:color w:val="1D2925"/>
          <w:sz w:val="20"/>
        </w:rPr>
        <w:t>Pair high-albedo paving with shaded, low-glare seating surfaces.</w:t>
      </w:r>
    </w:p>
    <w:p>
      <w:pPr>
        <w:pStyle w:val="ListNumber"/>
        <w:keepNext w:val="0"/>
        <w:widowControl/>
        <w:spacing w:before="0" w:after="60" w:line="278" w:lineRule="auto"/>
        <w:ind w:left="605" w:hanging="288"/>
      </w:pPr>
      <w:r>
        <w:rPr>
          <w:rFonts w:ascii="Arial" w:hAnsi="Arial" w:eastAsia="Arial"/>
          <w:b w:val="0"/>
          <w:i w:val="0"/>
          <w:color w:val="1D2925"/>
          <w:sz w:val="20"/>
        </w:rPr>
        <w:t>Track surface temperature and dwell time during the next six-week pilot.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37" w:left="112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b w:val="0"/>
        <w:i w:val="0"/>
        <w:color w:val="A7B6AE"/>
        <w:sz w:val="15"/>
      </w:rPr>
      <w:t xml:space="preserve">BENCHMARK EDITION  ·  </w:t>
    </w:r>
    <w:r>
      <w:fldChar w:fldCharType="begin"/>
      <w:instrText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  <w:b/>
        <w:i w:val="0"/>
        <w:color w:val="A7B6AE"/>
        <w:sz w:val="15"/>
      </w:rPr>
      <w:t>PHOTO REPORT  ·  AUGUST 5,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78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2F514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D292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D292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