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l-GR"/>
        </w:rPr>
      </w:pPr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b2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261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600" spc="-1" strike="noStrike">
                <a:solidFill>
                  <a:srgbClr val="595959"/>
                </a:solidFill>
                <a:latin typeface="Calibri"/>
              </a:defRPr>
            </a:pPr>
            <a:r>
              <a:rPr b="1" sz="1600" spc="-1" strike="noStrike">
                <a:solidFill>
                  <a:srgbClr val="595959"/>
                </a:solidFill>
                <a:latin typeface="Calibri"/>
              </a:rPr>
              <a:t>Citations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30"/>
      <c:rotY val="0"/>
      <c:rAngAx val="0"/>
      <c:perspective val="30"/>
    </c:view3D>
    <c:floor>
      <c:spPr>
        <a:solidFill>
          <a:srgbClr val="d9d9d9"/>
        </a:solidFill>
        <a:ln>
          <a:noFill/>
        </a:ln>
      </c:spPr>
    </c:floor>
    <c:sideWall>
      <c:spPr>
        <a:solidFill>
          <a:srgbClr val="d9d9d9"/>
        </a:solidFill>
        <a:ln>
          <a:noFill/>
        </a:ln>
      </c:spPr>
    </c:sideWall>
    <c:backWall>
      <c:spPr>
        <a:solidFill>
          <a:srgbClr val="d9d9d9"/>
        </a:solidFill>
        <a:ln>
          <a:noFill/>
        </a:ln>
      </c:spPr>
    </c:backWall>
    <c:plotArea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Citations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explosion val="0"/>
          <c:dPt>
            <c:idx val="0"/>
            <c:spPr>
              <a:gradFill>
                <a:gsLst>
                  <a:gs pos="0">
                    <a:srgbClr val="80b761"/>
                  </a:gs>
                  <a:gs pos="100000">
                    <a:srgbClr val="6fb142"/>
                  </a:gs>
                </a:gsLst>
                <a:lin ang="5400000"/>
              </a:gradFill>
              <a:ln>
                <a:noFill/>
              </a:ln>
            </c:spPr>
          </c:dPt>
          <c:dPt>
            <c:idx val="1"/>
            <c:spPr>
              <a:gradFill>
                <a:gsLst>
                  <a:gs pos="0">
                    <a:srgbClr val="71a6da"/>
                  </a:gs>
                  <a:gs pos="100000">
                    <a:srgbClr val="549ada"/>
                  </a:gs>
                </a:gsLst>
                <a:lin ang="5400000"/>
              </a:gradFill>
              <a:ln>
                <a:noFill/>
              </a:ln>
            </c:spPr>
          </c:dPt>
          <c:dPt>
            <c:idx val="2"/>
            <c:spPr>
              <a:gradFill>
                <a:gsLst>
                  <a:gs pos="0">
                    <a:srgbClr val="ffc54b"/>
                  </a:gs>
                  <a:gs pos="100000">
                    <a:srgbClr val="ffbf00"/>
                  </a:gs>
                </a:gsLst>
                <a:lin ang="5400000"/>
              </a:gradFill>
              <a:ln>
                <a:noFill/>
              </a:ln>
            </c:spPr>
          </c:dPt>
          <c:dPt>
            <c:idx val="3"/>
            <c:spPr>
              <a:gradFill>
                <a:gsLst>
                  <a:gs pos="0">
                    <a:srgbClr val="5f7b53"/>
                  </a:gs>
                  <a:gs pos="100000">
                    <a:srgbClr val="426a27"/>
                  </a:gs>
                </a:gsLst>
                <a:lin ang="5400000"/>
              </a:gradFill>
              <a:ln>
                <a:noFill/>
              </a:ln>
            </c:spPr>
          </c:dPt>
          <c:dPt>
            <c:idx val="4"/>
            <c:spPr>
              <a:gradFill>
                <a:gsLst>
                  <a:gs pos="0">
                    <a:srgbClr val="50729e"/>
                  </a:gs>
                  <a:gs pos="100000">
                    <a:srgbClr val="205d96"/>
                  </a:gs>
                </a:gsLst>
                <a:lin ang="5400000"/>
              </a:gradFill>
              <a:ln>
                <a:noFill/>
              </a:ln>
            </c:spPr>
          </c:dPt>
          <c:dPt>
            <c:idx val="5"/>
            <c:spPr>
              <a:gradFill>
                <a:gsLst>
                  <a:gs pos="0">
                    <a:srgbClr val="a4834b"/>
                  </a:gs>
                  <a:gs pos="100000">
                    <a:srgbClr val="997200"/>
                  </a:gs>
                </a:gsLst>
                <a:lin ang="5400000"/>
              </a:gradFill>
              <a:ln>
                <a:noFill/>
              </a:ln>
            </c:spPr>
          </c:dPt>
          <c:dLbls>
            <c:numFmt formatCode="General" sourceLinked="1"/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</c:dLbl>
            <c:dLbl>
              <c:idx val="2"/>
              <c:dLblPos val="bestFit"/>
              <c:showLegendKey val="0"/>
              <c:showVal val="1"/>
              <c:showCatName val="0"/>
              <c:showSerName val="0"/>
              <c:showPercent val="0"/>
            </c:dLbl>
            <c:dLbl>
              <c:idx val="3"/>
              <c:dLblPos val="bestFit"/>
              <c:showLegendKey val="0"/>
              <c:showVal val="1"/>
              <c:showCatName val="0"/>
              <c:showSerName val="0"/>
              <c:showPercent val="0"/>
            </c:dLbl>
            <c:dLbl>
              <c:idx val="4"/>
              <c:dLblPos val="bestFit"/>
              <c:showLegendKey val="0"/>
              <c:showVal val="1"/>
              <c:showCatName val="0"/>
              <c:showSerName val="0"/>
              <c:showPercent val="0"/>
            </c:dLbl>
            <c:dLbl>
              <c:idx val="5"/>
              <c:dLblPos val="bestFit"/>
              <c:showLegendKey val="0"/>
              <c:showVal val="1"/>
              <c:showCatName val="0"/>
              <c:showSerName val="0"/>
              <c:showPercent val="0"/>
            </c:dLbl>
            <c:dLblPos val="bestFit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MaZda</c:v>
                </c:pt>
                <c:pt idx="1">
                  <c:v>IBEX</c:v>
                </c:pt>
                <c:pt idx="2">
                  <c:v>PyRadiomics</c:v>
                </c:pt>
                <c:pt idx="3">
                  <c:v>LIFEx</c:v>
                </c:pt>
                <c:pt idx="4">
                  <c:v>Moddicom</c:v>
                </c:pt>
                <c:pt idx="5">
                  <c:v>CERR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366</c:v>
                </c:pt>
                <c:pt idx="1">
                  <c:v>134</c:v>
                </c:pt>
                <c:pt idx="2">
                  <c:v>324</c:v>
                </c:pt>
                <c:pt idx="3">
                  <c:v>84</c:v>
                </c:pt>
                <c:pt idx="4">
                  <c:v>13</c:v>
                </c:pt>
                <c:pt idx="5">
                  <c:v>25</c:v>
                </c:pt>
              </c:numCache>
            </c:numRef>
          </c:val>
        </c:ser>
      </c:pie3DChart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1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02E6-B92B-4B1C-A5BF-CE7040D8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LibreOffice/6.0.7.3$Linux_X86_64 LibreOffice_project/00m0$Build-3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2020-09-02T08:11:00Z</dcterms:created>
  <dc:creator>Μιχάλης</dc:creator>
  <dc:description/>
  <dc:language>en-US</dc:language>
  <cp:lastModifiedBy>Μιχάλης</cp:lastModifiedBy>
  <dcterms:modified xsi:type="dcterms:W3CDTF">2020-09-02T09:44:00Z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