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75C23D" w14:textId="77777777" w:rsidR="00635C6B" w:rsidRDefault="009F49C8">
      <w:pPr>
        <w:spacing w:after="80"/>
      </w:pPr>
      <w:r>
        <w:rPr>
          <w:b/>
          <w:bCs/>
          <w:color w:val="C1652E"/>
          <w:sz w:val="22"/>
          <w:szCs w:val="22"/>
        </w:rPr>
        <w:t>PRODUCT SPECIFICATION</w:t>
      </w:r>
    </w:p>
    <w:p w14:paraId="76A974ED" w14:textId="77777777" w:rsidR="00635C6B" w:rsidRDefault="009F49C8">
      <w:pPr>
        <w:spacing w:after="200"/>
      </w:pPr>
      <w:proofErr w:type="spellStart"/>
      <w:r>
        <w:rPr>
          <w:b/>
          <w:bCs/>
          <w:color w:val="1F3D2B"/>
          <w:sz w:val="56"/>
          <w:szCs w:val="56"/>
        </w:rPr>
        <w:t>BioTEREA</w:t>
      </w:r>
      <w:proofErr w:type="spellEnd"/>
      <w:r>
        <w:rPr>
          <w:b/>
          <w:bCs/>
          <w:color w:val="1F3D2B"/>
          <w:sz w:val="56"/>
          <w:szCs w:val="56"/>
        </w:rPr>
        <w:t xml:space="preserve"> v3</w:t>
      </w:r>
    </w:p>
    <w:p w14:paraId="5DF78EF9" w14:textId="77777777" w:rsidR="00635C6B" w:rsidRDefault="009F49C8">
      <w:pPr>
        <w:spacing w:after="400"/>
      </w:pPr>
      <w:proofErr w:type="gramStart"/>
      <w:r>
        <w:rPr>
          <w:i/>
          <w:iCs/>
          <w:color w:val="5B5F52"/>
          <w:sz w:val="26"/>
          <w:szCs w:val="26"/>
        </w:rPr>
        <w:t>Fully-Specified</w:t>
      </w:r>
      <w:proofErr w:type="gramEnd"/>
      <w:r>
        <w:rPr>
          <w:i/>
          <w:iCs/>
          <w:color w:val="5B5F52"/>
          <w:sz w:val="26"/>
          <w:szCs w:val="26"/>
        </w:rPr>
        <w:t xml:space="preserve"> Materials Architecture &amp; Hardware Requirements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50"/>
      </w:tblGrid>
      <w:tr w:rsidR="00635C6B" w14:paraId="0E7B3277" w14:textId="77777777">
        <w:tblPrEx>
          <w:tblCellMar>
            <w:top w:w="0" w:type="dxa"/>
            <w:bottom w:w="0" w:type="dxa"/>
          </w:tblCellMar>
        </w:tblPrEx>
        <w:tc>
          <w:tcPr>
            <w:tcW w:w="2600" w:type="dxa"/>
            <w:shd w:val="clear" w:color="auto" w:fill="EEF2EB"/>
            <w:tcMar>
              <w:top w:w="100" w:type="dxa"/>
              <w:left w:w="120" w:type="dxa"/>
              <w:bottom w:w="100" w:type="dxa"/>
              <w:right w:w="120" w:type="dxa"/>
            </w:tcMar>
          </w:tcPr>
          <w:p w14:paraId="7D34CF6E" w14:textId="77777777" w:rsidR="00635C6B" w:rsidRDefault="009F49C8">
            <w:r>
              <w:rPr>
                <w:b/>
                <w:bCs/>
                <w:color w:val="1F3D2B"/>
              </w:rPr>
              <w:t>Document title</w:t>
            </w:r>
          </w:p>
        </w:tc>
        <w:tc>
          <w:tcPr>
            <w:tcW w:w="6750" w:type="dxa"/>
            <w:shd w:val="clear" w:color="auto" w:fill="FFFFFF"/>
            <w:tcMar>
              <w:top w:w="100" w:type="dxa"/>
              <w:left w:w="120" w:type="dxa"/>
              <w:bottom w:w="100" w:type="dxa"/>
              <w:right w:w="120" w:type="dxa"/>
            </w:tcMar>
          </w:tcPr>
          <w:p w14:paraId="6E069B28" w14:textId="77777777" w:rsidR="00635C6B" w:rsidRDefault="009F49C8">
            <w:proofErr w:type="spellStart"/>
            <w:r>
              <w:rPr>
                <w:color w:val="1A1A1A"/>
              </w:rPr>
              <w:t>BioTEREA</w:t>
            </w:r>
            <w:proofErr w:type="spellEnd"/>
            <w:r>
              <w:rPr>
                <w:color w:val="1A1A1A"/>
              </w:rPr>
              <w:t xml:space="preserve"> v3 — Product Specification</w:t>
            </w:r>
          </w:p>
        </w:tc>
      </w:tr>
      <w:tr w:rsidR="00635C6B" w14:paraId="1309005C" w14:textId="77777777">
        <w:tblPrEx>
          <w:tblCellMar>
            <w:top w:w="0" w:type="dxa"/>
            <w:bottom w:w="0" w:type="dxa"/>
          </w:tblCellMar>
        </w:tblPrEx>
        <w:tc>
          <w:tcPr>
            <w:tcW w:w="2600" w:type="dxa"/>
            <w:shd w:val="clear" w:color="auto" w:fill="EEF2EB"/>
            <w:tcMar>
              <w:top w:w="100" w:type="dxa"/>
              <w:left w:w="120" w:type="dxa"/>
              <w:bottom w:w="100" w:type="dxa"/>
              <w:right w:w="120" w:type="dxa"/>
            </w:tcMar>
          </w:tcPr>
          <w:p w14:paraId="274BA61F" w14:textId="77777777" w:rsidR="00635C6B" w:rsidRDefault="009F49C8">
            <w:r>
              <w:rPr>
                <w:b/>
                <w:bCs/>
                <w:color w:val="1F3D2B"/>
              </w:rPr>
              <w:t>Version</w:t>
            </w:r>
          </w:p>
        </w:tc>
        <w:tc>
          <w:tcPr>
            <w:tcW w:w="6750" w:type="dxa"/>
            <w:shd w:val="clear" w:color="auto" w:fill="FFFFFF"/>
            <w:tcMar>
              <w:top w:w="100" w:type="dxa"/>
              <w:left w:w="120" w:type="dxa"/>
              <w:bottom w:w="100" w:type="dxa"/>
              <w:right w:w="120" w:type="dxa"/>
            </w:tcMar>
          </w:tcPr>
          <w:p w14:paraId="1C30B128" w14:textId="77777777" w:rsidR="00635C6B" w:rsidRDefault="009F49C8">
            <w:r>
              <w:rPr>
                <w:color w:val="1A1A1A"/>
              </w:rPr>
              <w:t>3.0 (Draft)</w:t>
            </w:r>
          </w:p>
        </w:tc>
      </w:tr>
      <w:tr w:rsidR="00635C6B" w14:paraId="3E976A4A" w14:textId="77777777">
        <w:tblPrEx>
          <w:tblCellMar>
            <w:top w:w="0" w:type="dxa"/>
            <w:bottom w:w="0" w:type="dxa"/>
          </w:tblCellMar>
        </w:tblPrEx>
        <w:tc>
          <w:tcPr>
            <w:tcW w:w="2600" w:type="dxa"/>
            <w:shd w:val="clear" w:color="auto" w:fill="EEF2EB"/>
            <w:tcMar>
              <w:top w:w="100" w:type="dxa"/>
              <w:left w:w="120" w:type="dxa"/>
              <w:bottom w:w="100" w:type="dxa"/>
              <w:right w:w="120" w:type="dxa"/>
            </w:tcMar>
          </w:tcPr>
          <w:p w14:paraId="5B5F7F12" w14:textId="77777777" w:rsidR="00635C6B" w:rsidRDefault="009F49C8">
            <w:r>
              <w:rPr>
                <w:b/>
                <w:bCs/>
                <w:color w:val="1F3D2B"/>
              </w:rPr>
              <w:t>Status</w:t>
            </w:r>
          </w:p>
        </w:tc>
        <w:tc>
          <w:tcPr>
            <w:tcW w:w="6750" w:type="dxa"/>
            <w:shd w:val="clear" w:color="auto" w:fill="FFFFFF"/>
            <w:tcMar>
              <w:top w:w="100" w:type="dxa"/>
              <w:left w:w="120" w:type="dxa"/>
              <w:bottom w:w="100" w:type="dxa"/>
              <w:right w:w="120" w:type="dxa"/>
            </w:tcMar>
          </w:tcPr>
          <w:p w14:paraId="799AB179" w14:textId="77777777" w:rsidR="00635C6B" w:rsidRDefault="009F49C8">
            <w:r>
              <w:rPr>
                <w:color w:val="1A1A1A"/>
              </w:rPr>
              <w:t>Concept specification — pre-validation, not yet tested</w:t>
            </w:r>
          </w:p>
        </w:tc>
      </w:tr>
      <w:tr w:rsidR="00635C6B" w14:paraId="6EF1E600" w14:textId="77777777">
        <w:tblPrEx>
          <w:tblCellMar>
            <w:top w:w="0" w:type="dxa"/>
            <w:bottom w:w="0" w:type="dxa"/>
          </w:tblCellMar>
        </w:tblPrEx>
        <w:tc>
          <w:tcPr>
            <w:tcW w:w="2600" w:type="dxa"/>
            <w:shd w:val="clear" w:color="auto" w:fill="EEF2EB"/>
            <w:tcMar>
              <w:top w:w="100" w:type="dxa"/>
              <w:left w:w="120" w:type="dxa"/>
              <w:bottom w:w="100" w:type="dxa"/>
              <w:right w:w="120" w:type="dxa"/>
            </w:tcMar>
          </w:tcPr>
          <w:p w14:paraId="51D5721F" w14:textId="77777777" w:rsidR="00635C6B" w:rsidRDefault="009F49C8">
            <w:r>
              <w:rPr>
                <w:b/>
                <w:bCs/>
                <w:color w:val="1F3D2B"/>
              </w:rPr>
              <w:t>Date</w:t>
            </w:r>
          </w:p>
        </w:tc>
        <w:tc>
          <w:tcPr>
            <w:tcW w:w="6750" w:type="dxa"/>
            <w:shd w:val="clear" w:color="auto" w:fill="FFFFFF"/>
            <w:tcMar>
              <w:top w:w="100" w:type="dxa"/>
              <w:left w:w="120" w:type="dxa"/>
              <w:bottom w:w="100" w:type="dxa"/>
              <w:right w:w="120" w:type="dxa"/>
            </w:tcMar>
          </w:tcPr>
          <w:p w14:paraId="0487F5EB" w14:textId="77777777" w:rsidR="00635C6B" w:rsidRDefault="009F49C8">
            <w:r>
              <w:rPr>
                <w:color w:val="1A1A1A"/>
              </w:rPr>
              <w:t>22 August 2026</w:t>
            </w:r>
          </w:p>
        </w:tc>
      </w:tr>
      <w:tr w:rsidR="00635C6B" w14:paraId="0FC2EF07" w14:textId="77777777">
        <w:tblPrEx>
          <w:tblCellMar>
            <w:top w:w="0" w:type="dxa"/>
            <w:bottom w:w="0" w:type="dxa"/>
          </w:tblCellMar>
        </w:tblPrEx>
        <w:tc>
          <w:tcPr>
            <w:tcW w:w="2600" w:type="dxa"/>
            <w:shd w:val="clear" w:color="auto" w:fill="EEF2EB"/>
            <w:tcMar>
              <w:top w:w="100" w:type="dxa"/>
              <w:left w:w="120" w:type="dxa"/>
              <w:bottom w:w="100" w:type="dxa"/>
              <w:right w:w="120" w:type="dxa"/>
            </w:tcMar>
          </w:tcPr>
          <w:p w14:paraId="51117F97" w14:textId="77777777" w:rsidR="00635C6B" w:rsidRDefault="009F49C8">
            <w:r>
              <w:rPr>
                <w:b/>
                <w:bCs/>
                <w:color w:val="1F3D2B"/>
              </w:rPr>
              <w:t>Prepared by</w:t>
            </w:r>
          </w:p>
        </w:tc>
        <w:tc>
          <w:tcPr>
            <w:tcW w:w="6750" w:type="dxa"/>
            <w:shd w:val="clear" w:color="auto" w:fill="FFFFFF"/>
            <w:tcMar>
              <w:top w:w="100" w:type="dxa"/>
              <w:left w:w="120" w:type="dxa"/>
              <w:bottom w:w="100" w:type="dxa"/>
              <w:right w:w="120" w:type="dxa"/>
            </w:tcMar>
          </w:tcPr>
          <w:p w14:paraId="2758ABC8" w14:textId="3624B580" w:rsidR="00635C6B" w:rsidRDefault="00004ECF">
            <w:r>
              <w:t>Emmanouil Diakakis</w:t>
            </w:r>
          </w:p>
        </w:tc>
      </w:tr>
      <w:tr w:rsidR="00635C6B" w14:paraId="047DD465" w14:textId="77777777">
        <w:tblPrEx>
          <w:tblCellMar>
            <w:top w:w="0" w:type="dxa"/>
            <w:bottom w:w="0" w:type="dxa"/>
          </w:tblCellMar>
        </w:tblPrEx>
        <w:tc>
          <w:tcPr>
            <w:tcW w:w="2600" w:type="dxa"/>
            <w:shd w:val="clear" w:color="auto" w:fill="EEF2EB"/>
            <w:tcMar>
              <w:top w:w="100" w:type="dxa"/>
              <w:left w:w="120" w:type="dxa"/>
              <w:bottom w:w="100" w:type="dxa"/>
              <w:right w:w="120" w:type="dxa"/>
            </w:tcMar>
          </w:tcPr>
          <w:p w14:paraId="44588B14" w14:textId="77777777" w:rsidR="00635C6B" w:rsidRDefault="009F49C8">
            <w:r>
              <w:rPr>
                <w:b/>
                <w:bCs/>
                <w:color w:val="1F3D2B"/>
              </w:rPr>
              <w:t>Scope</w:t>
            </w:r>
          </w:p>
        </w:tc>
        <w:tc>
          <w:tcPr>
            <w:tcW w:w="6750" w:type="dxa"/>
            <w:shd w:val="clear" w:color="auto" w:fill="FFFFFF"/>
            <w:tcMar>
              <w:top w:w="100" w:type="dxa"/>
              <w:left w:w="120" w:type="dxa"/>
              <w:bottom w:w="100" w:type="dxa"/>
              <w:right w:w="120" w:type="dxa"/>
            </w:tcMar>
          </w:tcPr>
          <w:p w14:paraId="13DC4633" w14:textId="77777777" w:rsidR="00635C6B" w:rsidRDefault="009F49C8">
            <w:r>
              <w:rPr>
                <w:color w:val="1A1A1A"/>
              </w:rPr>
              <w:t>Stick materials architecture and holder hardware requirements</w:t>
            </w:r>
          </w:p>
        </w:tc>
      </w:tr>
    </w:tbl>
    <w:p w14:paraId="6A49CD34" w14:textId="77777777" w:rsidR="00635C6B" w:rsidRDefault="00635C6B">
      <w:pPr>
        <w:spacing w:after="200"/>
      </w:pPr>
    </w:p>
    <w:p w14:paraId="2C522BAB" w14:textId="77777777" w:rsidR="00635C6B" w:rsidRDefault="009F49C8">
      <w:pPr>
        <w:pStyle w:val="1"/>
        <w:spacing w:before="400" w:after="200"/>
      </w:pPr>
      <w:r>
        <w:rPr>
          <w:b/>
          <w:bCs/>
          <w:color w:val="1F3D2B"/>
        </w:rPr>
        <w:t>1. Purpose &amp; Scope</w:t>
      </w:r>
    </w:p>
    <w:p w14:paraId="6762088C" w14:textId="77777777" w:rsidR="00635C6B" w:rsidRDefault="009F49C8">
      <w:pPr>
        <w:spacing w:after="160"/>
      </w:pPr>
      <w:r>
        <w:rPr>
          <w:sz w:val="21"/>
          <w:szCs w:val="21"/>
        </w:rPr>
        <w:t xml:space="preserve">This document specifies a single, concrete material and design choice for every component of the </w:t>
      </w:r>
      <w:proofErr w:type="spellStart"/>
      <w:r>
        <w:rPr>
          <w:sz w:val="21"/>
          <w:szCs w:val="21"/>
        </w:rPr>
        <w:t>BioTEREA</w:t>
      </w:r>
      <w:proofErr w:type="spellEnd"/>
      <w:r>
        <w:rPr>
          <w:sz w:val="21"/>
          <w:szCs w:val="21"/>
        </w:rPr>
        <w:t xml:space="preserve"> v3 heated-tobacco stick, together with the general hardware changes required in the companion induction holder. Each component entry states the selected specification, the engineering rationale behind that selection, and viable alternative materials the specification could be built from instead. This document covers materials and hardware architecture only; it does not cover validation testing, regulatory strategy, or economic analysis, which are addressed separately.</w:t>
      </w:r>
    </w:p>
    <w:p w14:paraId="36EEE35D" w14:textId="77777777" w:rsidR="00635C6B" w:rsidRDefault="00635C6B">
      <w:pPr>
        <w:pageBreakBefore/>
      </w:pPr>
    </w:p>
    <w:p w14:paraId="05952DF9" w14:textId="77777777" w:rsidR="00635C6B" w:rsidRDefault="009F49C8">
      <w:pPr>
        <w:pStyle w:val="1"/>
        <w:spacing w:before="400" w:after="200"/>
      </w:pPr>
      <w:r>
        <w:rPr>
          <w:b/>
          <w:bCs/>
          <w:color w:val="1F3D2B"/>
        </w:rPr>
        <w:t>2. Product Structure &amp; Materials Specification</w:t>
      </w:r>
    </w:p>
    <w:p w14:paraId="47114C00" w14:textId="77777777" w:rsidR="00635C6B" w:rsidRDefault="009F49C8">
      <w:pPr>
        <w:spacing w:after="160"/>
      </w:pPr>
      <w:r>
        <w:rPr>
          <w:sz w:val="21"/>
          <w:szCs w:val="21"/>
        </w:rPr>
        <w:t xml:space="preserve">The table below gives the complete component list </w:t>
      </w:r>
      <w:proofErr w:type="gramStart"/>
      <w:r>
        <w:rPr>
          <w:sz w:val="21"/>
          <w:szCs w:val="21"/>
        </w:rPr>
        <w:t>at a glance</w:t>
      </w:r>
      <w:proofErr w:type="gramEnd"/>
      <w:r>
        <w:rPr>
          <w:sz w:val="21"/>
          <w:szCs w:val="21"/>
        </w:rPr>
        <w:t>. Full specification, rationale, and alternative options for each component follow in numbered subsections.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5950"/>
      </w:tblGrid>
      <w:tr w:rsidR="00635C6B" w14:paraId="2DBCF685" w14:textId="77777777">
        <w:tblPrEx>
          <w:tblCellMar>
            <w:top w:w="0" w:type="dxa"/>
            <w:bottom w:w="0" w:type="dxa"/>
          </w:tblCellMar>
        </w:tblPrEx>
        <w:trPr>
          <w:tblHeader/>
        </w:trPr>
        <w:tc>
          <w:tcPr>
            <w:tcW w:w="3400" w:type="dxa"/>
            <w:shd w:val="clear" w:color="auto" w:fill="1F3D2B"/>
            <w:tcMar>
              <w:top w:w="100" w:type="dxa"/>
              <w:left w:w="120" w:type="dxa"/>
              <w:bottom w:w="100" w:type="dxa"/>
              <w:right w:w="120" w:type="dxa"/>
            </w:tcMar>
          </w:tcPr>
          <w:p w14:paraId="7D9D6BB8" w14:textId="77777777" w:rsidR="00635C6B" w:rsidRDefault="009F49C8">
            <w:r>
              <w:rPr>
                <w:b/>
                <w:bCs/>
                <w:color w:val="FFFFFF"/>
              </w:rPr>
              <w:t>Component</w:t>
            </w:r>
          </w:p>
        </w:tc>
        <w:tc>
          <w:tcPr>
            <w:tcW w:w="5950" w:type="dxa"/>
            <w:shd w:val="clear" w:color="auto" w:fill="1F3D2B"/>
            <w:tcMar>
              <w:top w:w="100" w:type="dxa"/>
              <w:left w:w="120" w:type="dxa"/>
              <w:bottom w:w="100" w:type="dxa"/>
              <w:right w:w="120" w:type="dxa"/>
            </w:tcMar>
          </w:tcPr>
          <w:p w14:paraId="1B3A7C3D" w14:textId="77777777" w:rsidR="00635C6B" w:rsidRDefault="009F49C8">
            <w:r>
              <w:rPr>
                <w:b/>
                <w:bCs/>
                <w:color w:val="FFFFFF"/>
              </w:rPr>
              <w:t>Final Material Specification</w:t>
            </w:r>
          </w:p>
        </w:tc>
      </w:tr>
      <w:tr w:rsidR="00635C6B" w14:paraId="4F2CF8E1" w14:textId="77777777">
        <w:tblPrEx>
          <w:tblCellMar>
            <w:top w:w="0" w:type="dxa"/>
            <w:bottom w:w="0" w:type="dxa"/>
          </w:tblCellMar>
        </w:tblPrEx>
        <w:tc>
          <w:tcPr>
            <w:tcW w:w="3400" w:type="dxa"/>
            <w:shd w:val="clear" w:color="auto" w:fill="FFFFFF"/>
            <w:tcMar>
              <w:top w:w="100" w:type="dxa"/>
              <w:left w:w="120" w:type="dxa"/>
              <w:bottom w:w="100" w:type="dxa"/>
              <w:right w:w="120" w:type="dxa"/>
            </w:tcMar>
          </w:tcPr>
          <w:p w14:paraId="454A154C" w14:textId="77777777" w:rsidR="00635C6B" w:rsidRDefault="009F49C8">
            <w:r>
              <w:rPr>
                <w:color w:val="1A1A1A"/>
              </w:rPr>
              <w:t>Mouthpiece filter</w:t>
            </w:r>
          </w:p>
        </w:tc>
        <w:tc>
          <w:tcPr>
            <w:tcW w:w="5950" w:type="dxa"/>
            <w:shd w:val="clear" w:color="auto" w:fill="FFFFFF"/>
            <w:tcMar>
              <w:top w:w="100" w:type="dxa"/>
              <w:left w:w="120" w:type="dxa"/>
              <w:bottom w:w="100" w:type="dxa"/>
              <w:right w:w="120" w:type="dxa"/>
            </w:tcMar>
          </w:tcPr>
          <w:p w14:paraId="461FDB4D" w14:textId="77777777" w:rsidR="00635C6B" w:rsidRDefault="009F49C8">
            <w:r>
              <w:rPr>
                <w:color w:val="1A1A1A"/>
              </w:rPr>
              <w:t>Crimped lyocell (regenerated cellulose) fiber tow, starch/pectin sizing</w:t>
            </w:r>
          </w:p>
        </w:tc>
      </w:tr>
      <w:tr w:rsidR="00635C6B" w14:paraId="6C55DA16" w14:textId="77777777">
        <w:tblPrEx>
          <w:tblCellMar>
            <w:top w:w="0" w:type="dxa"/>
            <w:bottom w:w="0" w:type="dxa"/>
          </w:tblCellMar>
        </w:tblPrEx>
        <w:tc>
          <w:tcPr>
            <w:tcW w:w="3400" w:type="dxa"/>
            <w:shd w:val="clear" w:color="auto" w:fill="EEF2EB"/>
            <w:tcMar>
              <w:top w:w="100" w:type="dxa"/>
              <w:left w:w="120" w:type="dxa"/>
              <w:bottom w:w="100" w:type="dxa"/>
              <w:right w:w="120" w:type="dxa"/>
            </w:tcMar>
          </w:tcPr>
          <w:p w14:paraId="0B54BCC3" w14:textId="77777777" w:rsidR="00635C6B" w:rsidRDefault="009F49C8">
            <w:r>
              <w:rPr>
                <w:color w:val="1A1A1A"/>
              </w:rPr>
              <w:t>Tannin trap core</w:t>
            </w:r>
          </w:p>
        </w:tc>
        <w:tc>
          <w:tcPr>
            <w:tcW w:w="5950" w:type="dxa"/>
            <w:shd w:val="clear" w:color="auto" w:fill="EEF2EB"/>
            <w:tcMar>
              <w:top w:w="100" w:type="dxa"/>
              <w:left w:w="120" w:type="dxa"/>
              <w:bottom w:w="100" w:type="dxa"/>
              <w:right w:w="120" w:type="dxa"/>
            </w:tcMar>
          </w:tcPr>
          <w:p w14:paraId="4CDA4354" w14:textId="77777777" w:rsidR="00635C6B" w:rsidRDefault="009F49C8">
            <w:r>
              <w:rPr>
                <w:color w:val="1A1A1A"/>
              </w:rPr>
              <w:t>Quebracho tannin extract (condensed/proanthocyanidin)</w:t>
            </w:r>
          </w:p>
        </w:tc>
      </w:tr>
      <w:tr w:rsidR="00635C6B" w14:paraId="44208B12" w14:textId="77777777">
        <w:tblPrEx>
          <w:tblCellMar>
            <w:top w:w="0" w:type="dxa"/>
            <w:bottom w:w="0" w:type="dxa"/>
          </w:tblCellMar>
        </w:tblPrEx>
        <w:tc>
          <w:tcPr>
            <w:tcW w:w="3400" w:type="dxa"/>
            <w:shd w:val="clear" w:color="auto" w:fill="FFFFFF"/>
            <w:tcMar>
              <w:top w:w="100" w:type="dxa"/>
              <w:left w:w="120" w:type="dxa"/>
              <w:bottom w:w="100" w:type="dxa"/>
              <w:right w:w="120" w:type="dxa"/>
            </w:tcMar>
          </w:tcPr>
          <w:p w14:paraId="349C5F66" w14:textId="77777777" w:rsidR="00635C6B" w:rsidRDefault="009F49C8">
            <w:r>
              <w:rPr>
                <w:color w:val="1A1A1A"/>
              </w:rPr>
              <w:t>Trap capsule shell</w:t>
            </w:r>
          </w:p>
        </w:tc>
        <w:tc>
          <w:tcPr>
            <w:tcW w:w="5950" w:type="dxa"/>
            <w:shd w:val="clear" w:color="auto" w:fill="FFFFFF"/>
            <w:tcMar>
              <w:top w:w="100" w:type="dxa"/>
              <w:left w:w="120" w:type="dxa"/>
              <w:bottom w:w="100" w:type="dxa"/>
              <w:right w:w="120" w:type="dxa"/>
            </w:tcMar>
          </w:tcPr>
          <w:p w14:paraId="6E04AAFD" w14:textId="77777777" w:rsidR="00635C6B" w:rsidRDefault="009F49C8">
            <w:r>
              <w:rPr>
                <w:color w:val="1A1A1A"/>
              </w:rPr>
              <w:t>OSA-modified tapioca starch</w:t>
            </w:r>
          </w:p>
        </w:tc>
      </w:tr>
      <w:tr w:rsidR="00635C6B" w14:paraId="1744EA88" w14:textId="77777777">
        <w:tblPrEx>
          <w:tblCellMar>
            <w:top w:w="0" w:type="dxa"/>
            <w:bottom w:w="0" w:type="dxa"/>
          </w:tblCellMar>
        </w:tblPrEx>
        <w:tc>
          <w:tcPr>
            <w:tcW w:w="3400" w:type="dxa"/>
            <w:shd w:val="clear" w:color="auto" w:fill="EEF2EB"/>
            <w:tcMar>
              <w:top w:w="100" w:type="dxa"/>
              <w:left w:w="120" w:type="dxa"/>
              <w:bottom w:w="100" w:type="dxa"/>
              <w:right w:w="120" w:type="dxa"/>
            </w:tcMar>
          </w:tcPr>
          <w:p w14:paraId="2F83FF64" w14:textId="77777777" w:rsidR="00635C6B" w:rsidRDefault="009F49C8">
            <w:r>
              <w:rPr>
                <w:color w:val="1A1A1A"/>
              </w:rPr>
              <w:t>Cooling matrix</w:t>
            </w:r>
          </w:p>
        </w:tc>
        <w:tc>
          <w:tcPr>
            <w:tcW w:w="5950" w:type="dxa"/>
            <w:shd w:val="clear" w:color="auto" w:fill="EEF2EB"/>
            <w:tcMar>
              <w:top w:w="100" w:type="dxa"/>
              <w:left w:w="120" w:type="dxa"/>
              <w:bottom w:w="100" w:type="dxa"/>
              <w:right w:w="120" w:type="dxa"/>
            </w:tcMar>
          </w:tcPr>
          <w:p w14:paraId="75E96E99" w14:textId="77777777" w:rsidR="00635C6B" w:rsidRDefault="009F49C8">
            <w:r>
              <w:rPr>
                <w:color w:val="1A1A1A"/>
              </w:rPr>
              <w:t>Unbleached, totally-chlorine-free (TCF) kraft paper, corrugated fold</w:t>
            </w:r>
          </w:p>
        </w:tc>
      </w:tr>
      <w:tr w:rsidR="00635C6B" w14:paraId="5E4052AA" w14:textId="77777777">
        <w:tblPrEx>
          <w:tblCellMar>
            <w:top w:w="0" w:type="dxa"/>
            <w:bottom w:w="0" w:type="dxa"/>
          </w:tblCellMar>
        </w:tblPrEx>
        <w:tc>
          <w:tcPr>
            <w:tcW w:w="3400" w:type="dxa"/>
            <w:shd w:val="clear" w:color="auto" w:fill="FFFFFF"/>
            <w:tcMar>
              <w:top w:w="100" w:type="dxa"/>
              <w:left w:w="120" w:type="dxa"/>
              <w:bottom w:w="100" w:type="dxa"/>
              <w:right w:w="120" w:type="dxa"/>
            </w:tcMar>
          </w:tcPr>
          <w:p w14:paraId="49E61C20" w14:textId="77777777" w:rsidR="00635C6B" w:rsidRDefault="009F49C8">
            <w:r>
              <w:rPr>
                <w:color w:val="1A1A1A"/>
              </w:rPr>
              <w:t>Support tube</w:t>
            </w:r>
          </w:p>
        </w:tc>
        <w:tc>
          <w:tcPr>
            <w:tcW w:w="5950" w:type="dxa"/>
            <w:shd w:val="clear" w:color="auto" w:fill="FFFFFF"/>
            <w:tcMar>
              <w:top w:w="100" w:type="dxa"/>
              <w:left w:w="120" w:type="dxa"/>
              <w:bottom w:w="100" w:type="dxa"/>
              <w:right w:w="120" w:type="dxa"/>
            </w:tcMar>
          </w:tcPr>
          <w:p w14:paraId="1BD1E4B9" w14:textId="77777777" w:rsidR="00635C6B" w:rsidRDefault="009F49C8">
            <w:r>
              <w:rPr>
                <w:color w:val="1A1A1A"/>
              </w:rPr>
              <w:t>Wet-molded bagasse pulp, candelilla wax inner coating</w:t>
            </w:r>
          </w:p>
        </w:tc>
      </w:tr>
      <w:tr w:rsidR="00635C6B" w14:paraId="7BBF67AE" w14:textId="77777777">
        <w:tblPrEx>
          <w:tblCellMar>
            <w:top w:w="0" w:type="dxa"/>
            <w:bottom w:w="0" w:type="dxa"/>
          </w:tblCellMar>
        </w:tblPrEx>
        <w:tc>
          <w:tcPr>
            <w:tcW w:w="3400" w:type="dxa"/>
            <w:shd w:val="clear" w:color="auto" w:fill="EEF2EB"/>
            <w:tcMar>
              <w:top w:w="100" w:type="dxa"/>
              <w:left w:w="120" w:type="dxa"/>
              <w:bottom w:w="100" w:type="dxa"/>
              <w:right w:w="120" w:type="dxa"/>
            </w:tcMar>
          </w:tcPr>
          <w:p w14:paraId="64B02C35" w14:textId="77777777" w:rsidR="00635C6B" w:rsidRDefault="009F49C8">
            <w:r>
              <w:rPr>
                <w:color w:val="1A1A1A"/>
              </w:rPr>
              <w:t>Tobacco substrate</w:t>
            </w:r>
          </w:p>
        </w:tc>
        <w:tc>
          <w:tcPr>
            <w:tcW w:w="5950" w:type="dxa"/>
            <w:shd w:val="clear" w:color="auto" w:fill="EEF2EB"/>
            <w:tcMar>
              <w:top w:w="100" w:type="dxa"/>
              <w:left w:w="120" w:type="dxa"/>
              <w:bottom w:w="100" w:type="dxa"/>
              <w:right w:w="120" w:type="dxa"/>
            </w:tcMar>
          </w:tcPr>
          <w:p w14:paraId="559CCF09" w14:textId="77777777" w:rsidR="00635C6B" w:rsidRDefault="009F49C8">
            <w:r>
              <w:rPr>
                <w:color w:val="1A1A1A"/>
              </w:rPr>
              <w:t>VLN tobacco leaf, dosed with nicotine benzoate</w:t>
            </w:r>
          </w:p>
        </w:tc>
      </w:tr>
      <w:tr w:rsidR="00635C6B" w14:paraId="07098E5B" w14:textId="77777777">
        <w:tblPrEx>
          <w:tblCellMar>
            <w:top w:w="0" w:type="dxa"/>
            <w:bottom w:w="0" w:type="dxa"/>
          </w:tblCellMar>
        </w:tblPrEx>
        <w:tc>
          <w:tcPr>
            <w:tcW w:w="3400" w:type="dxa"/>
            <w:shd w:val="clear" w:color="auto" w:fill="FFFFFF"/>
            <w:tcMar>
              <w:top w:w="100" w:type="dxa"/>
              <w:left w:w="120" w:type="dxa"/>
              <w:bottom w:w="100" w:type="dxa"/>
              <w:right w:w="120" w:type="dxa"/>
            </w:tcMar>
          </w:tcPr>
          <w:p w14:paraId="78F96F20" w14:textId="77777777" w:rsidR="00635C6B" w:rsidRDefault="009F49C8">
            <w:r>
              <w:rPr>
                <w:color w:val="1A1A1A"/>
              </w:rPr>
              <w:t>Susceptor ribbon</w:t>
            </w:r>
          </w:p>
        </w:tc>
        <w:tc>
          <w:tcPr>
            <w:tcW w:w="5950" w:type="dxa"/>
            <w:shd w:val="clear" w:color="auto" w:fill="FFFFFF"/>
            <w:tcMar>
              <w:top w:w="100" w:type="dxa"/>
              <w:left w:w="120" w:type="dxa"/>
              <w:bottom w:w="100" w:type="dxa"/>
              <w:right w:w="120" w:type="dxa"/>
            </w:tcMar>
          </w:tcPr>
          <w:p w14:paraId="142914A4" w14:textId="77777777" w:rsidR="00635C6B" w:rsidRDefault="009F49C8">
            <w:r>
              <w:rPr>
                <w:color w:val="1A1A1A"/>
              </w:rPr>
              <w:t>Coconut-shell biochar ribbon, magnetite (</w:t>
            </w:r>
            <w:proofErr w:type="spellStart"/>
            <w:r>
              <w:rPr>
                <w:color w:val="1A1A1A"/>
              </w:rPr>
              <w:t>Fe₃O</w:t>
            </w:r>
            <w:proofErr w:type="spellEnd"/>
            <w:r>
              <w:rPr>
                <w:color w:val="1A1A1A"/>
              </w:rPr>
              <w:t>₄) doped</w:t>
            </w:r>
          </w:p>
        </w:tc>
      </w:tr>
      <w:tr w:rsidR="00635C6B" w14:paraId="43A7ABCC" w14:textId="77777777">
        <w:tblPrEx>
          <w:tblCellMar>
            <w:top w:w="0" w:type="dxa"/>
            <w:bottom w:w="0" w:type="dxa"/>
          </w:tblCellMar>
        </w:tblPrEx>
        <w:tc>
          <w:tcPr>
            <w:tcW w:w="3400" w:type="dxa"/>
            <w:shd w:val="clear" w:color="auto" w:fill="EEF2EB"/>
            <w:tcMar>
              <w:top w:w="100" w:type="dxa"/>
              <w:left w:w="120" w:type="dxa"/>
              <w:bottom w:w="100" w:type="dxa"/>
              <w:right w:w="120" w:type="dxa"/>
            </w:tcMar>
          </w:tcPr>
          <w:p w14:paraId="14A6E412" w14:textId="77777777" w:rsidR="00635C6B" w:rsidRDefault="009F49C8">
            <w:r>
              <w:rPr>
                <w:color w:val="1A1A1A"/>
              </w:rPr>
              <w:t>Tip seals</w:t>
            </w:r>
          </w:p>
        </w:tc>
        <w:tc>
          <w:tcPr>
            <w:tcW w:w="5950" w:type="dxa"/>
            <w:shd w:val="clear" w:color="auto" w:fill="EEF2EB"/>
            <w:tcMar>
              <w:top w:w="100" w:type="dxa"/>
              <w:left w:w="120" w:type="dxa"/>
              <w:bottom w:w="100" w:type="dxa"/>
              <w:right w:w="120" w:type="dxa"/>
            </w:tcMar>
          </w:tcPr>
          <w:p w14:paraId="6188440E" w14:textId="77777777" w:rsidR="00635C6B" w:rsidRDefault="009F49C8">
            <w:r>
              <w:rPr>
                <w:color w:val="1A1A1A"/>
              </w:rPr>
              <w:t>Food-grade sodium alginate, kaolin-clay reinforced at hot end</w:t>
            </w:r>
          </w:p>
        </w:tc>
      </w:tr>
      <w:tr w:rsidR="00635C6B" w14:paraId="2A940369" w14:textId="77777777">
        <w:tblPrEx>
          <w:tblCellMar>
            <w:top w:w="0" w:type="dxa"/>
            <w:bottom w:w="0" w:type="dxa"/>
          </w:tblCellMar>
        </w:tblPrEx>
        <w:tc>
          <w:tcPr>
            <w:tcW w:w="3400" w:type="dxa"/>
            <w:shd w:val="clear" w:color="auto" w:fill="FFFFFF"/>
            <w:tcMar>
              <w:top w:w="100" w:type="dxa"/>
              <w:left w:w="120" w:type="dxa"/>
              <w:bottom w:w="100" w:type="dxa"/>
              <w:right w:w="120" w:type="dxa"/>
            </w:tcMar>
          </w:tcPr>
          <w:p w14:paraId="12767B5E" w14:textId="77777777" w:rsidR="00635C6B" w:rsidRDefault="009F49C8">
            <w:r>
              <w:rPr>
                <w:color w:val="1A1A1A"/>
              </w:rPr>
              <w:t>Adhesive</w:t>
            </w:r>
          </w:p>
        </w:tc>
        <w:tc>
          <w:tcPr>
            <w:tcW w:w="5950" w:type="dxa"/>
            <w:shd w:val="clear" w:color="auto" w:fill="FFFFFF"/>
            <w:tcMar>
              <w:top w:w="100" w:type="dxa"/>
              <w:left w:w="120" w:type="dxa"/>
              <w:bottom w:w="100" w:type="dxa"/>
              <w:right w:w="120" w:type="dxa"/>
            </w:tcMar>
          </w:tcPr>
          <w:p w14:paraId="666778D9" w14:textId="77777777" w:rsidR="00635C6B" w:rsidRDefault="009F49C8">
            <w:r>
              <w:rPr>
                <w:color w:val="1A1A1A"/>
              </w:rPr>
              <w:t>Dextrin-based adhesive (acid/heat-modified starch)</w:t>
            </w:r>
          </w:p>
        </w:tc>
      </w:tr>
      <w:tr w:rsidR="00635C6B" w14:paraId="5438AF6E" w14:textId="77777777">
        <w:tblPrEx>
          <w:tblCellMar>
            <w:top w:w="0" w:type="dxa"/>
            <w:bottom w:w="0" w:type="dxa"/>
          </w:tblCellMar>
        </w:tblPrEx>
        <w:tc>
          <w:tcPr>
            <w:tcW w:w="3400" w:type="dxa"/>
            <w:shd w:val="clear" w:color="auto" w:fill="EEF2EB"/>
            <w:tcMar>
              <w:top w:w="100" w:type="dxa"/>
              <w:left w:w="120" w:type="dxa"/>
              <w:bottom w:w="100" w:type="dxa"/>
              <w:right w:w="120" w:type="dxa"/>
            </w:tcMar>
          </w:tcPr>
          <w:p w14:paraId="0B53A02D" w14:textId="77777777" w:rsidR="00635C6B" w:rsidRDefault="009F49C8">
            <w:r>
              <w:rPr>
                <w:color w:val="1A1A1A"/>
              </w:rPr>
              <w:t>Outer wrap / moisture barrier</w:t>
            </w:r>
          </w:p>
        </w:tc>
        <w:tc>
          <w:tcPr>
            <w:tcW w:w="5950" w:type="dxa"/>
            <w:shd w:val="clear" w:color="auto" w:fill="EEF2EB"/>
            <w:tcMar>
              <w:top w:w="100" w:type="dxa"/>
              <w:left w:w="120" w:type="dxa"/>
              <w:bottom w:w="100" w:type="dxa"/>
              <w:right w:w="120" w:type="dxa"/>
            </w:tcMar>
          </w:tcPr>
          <w:p w14:paraId="22348756" w14:textId="77777777" w:rsidR="00635C6B" w:rsidRDefault="009F49C8">
            <w:r>
              <w:rPr>
                <w:color w:val="1A1A1A"/>
              </w:rPr>
              <w:t>Standard wrap paper, cellulose nanocrystal (CNC) barrier coating</w:t>
            </w:r>
          </w:p>
        </w:tc>
      </w:tr>
    </w:tbl>
    <w:p w14:paraId="1DAEE9DA" w14:textId="77777777" w:rsidR="00635C6B" w:rsidRDefault="00635C6B">
      <w:pPr>
        <w:spacing w:after="200"/>
      </w:pPr>
    </w:p>
    <w:p w14:paraId="5A4E1055" w14:textId="77777777" w:rsidR="00635C6B" w:rsidRDefault="009F49C8">
      <w:pPr>
        <w:pStyle w:val="2"/>
        <w:spacing w:before="280" w:after="120"/>
      </w:pPr>
      <w:r>
        <w:rPr>
          <w:b/>
          <w:bCs/>
          <w:color w:val="1F3D2B"/>
        </w:rPr>
        <w:t>2.1 Mouthpiece Filter</w:t>
      </w:r>
    </w:p>
    <w:p w14:paraId="7FD5794C" w14:textId="77777777" w:rsidR="00635C6B" w:rsidRDefault="009F49C8">
      <w:pPr>
        <w:spacing w:before="100" w:after="40"/>
      </w:pPr>
      <w:r>
        <w:rPr>
          <w:b/>
          <w:bCs/>
          <w:color w:val="C1652E"/>
        </w:rPr>
        <w:t>Specification</w:t>
      </w:r>
    </w:p>
    <w:p w14:paraId="3B9B5272" w14:textId="77777777" w:rsidR="00635C6B" w:rsidRDefault="009F49C8">
      <w:pPr>
        <w:spacing w:after="160"/>
      </w:pPr>
      <w:r>
        <w:rPr>
          <w:sz w:val="21"/>
          <w:szCs w:val="21"/>
        </w:rPr>
        <w:t>Crimped lyocell (regenerated cellulose) fiber tow, bonded with a starch/pectin sizing agent in place of a triacetin plasticizer.</w:t>
      </w:r>
    </w:p>
    <w:p w14:paraId="50B6A060" w14:textId="77777777" w:rsidR="00635C6B" w:rsidRDefault="009F49C8">
      <w:pPr>
        <w:spacing w:before="100" w:after="40"/>
      </w:pPr>
      <w:r>
        <w:rPr>
          <w:b/>
          <w:bCs/>
          <w:color w:val="C1652E"/>
        </w:rPr>
        <w:t>Rationale</w:t>
      </w:r>
    </w:p>
    <w:p w14:paraId="09336F3A" w14:textId="77777777" w:rsidR="00635C6B" w:rsidRDefault="009F49C8">
      <w:pPr>
        <w:spacing w:after="160"/>
      </w:pPr>
      <w:r>
        <w:rPr>
          <w:sz w:val="21"/>
          <w:szCs w:val="21"/>
        </w:rPr>
        <w:t xml:space="preserve">Lyocell is manufactured as continuous, uniform, fine-denier filament — the closest physical analog to cellulose acetate tow that exists in a biodegradable fiber. It crimps into a filter rod on existing filter-rod-making machinery with substantially less retrofit risk than raw hemp or wood-pulp fiber, which are shorter and more variable in length and crimp less consistently at production speed. Lyocell is also lower in the grassy, </w:t>
      </w:r>
      <w:proofErr w:type="gramStart"/>
      <w:r>
        <w:rPr>
          <w:sz w:val="21"/>
          <w:szCs w:val="21"/>
        </w:rPr>
        <w:t>papery flavor</w:t>
      </w:r>
      <w:proofErr w:type="gramEnd"/>
      <w:r>
        <w:rPr>
          <w:sz w:val="21"/>
          <w:szCs w:val="21"/>
        </w:rPr>
        <w:t xml:space="preserve"> compounds that raw hemp and unrefined wood pulp carry, since it is purified cellulose without residual lignin or hemicellulose.</w:t>
      </w:r>
    </w:p>
    <w:p w14:paraId="153EAA36" w14:textId="77777777" w:rsidR="00635C6B" w:rsidRDefault="009F49C8">
      <w:pPr>
        <w:spacing w:before="100" w:after="40"/>
      </w:pPr>
      <w:r>
        <w:rPr>
          <w:b/>
          <w:bCs/>
          <w:color w:val="C1652E"/>
        </w:rPr>
        <w:t>Alternative Options</w:t>
      </w:r>
    </w:p>
    <w:p w14:paraId="20149E8E" w14:textId="77777777" w:rsidR="00635C6B" w:rsidRDefault="009F49C8">
      <w:pPr>
        <w:pStyle w:val="a4"/>
        <w:numPr>
          <w:ilvl w:val="0"/>
          <w:numId w:val="2"/>
        </w:numPr>
        <w:spacing w:after="60"/>
      </w:pPr>
      <w:r>
        <w:rPr>
          <w:sz w:val="21"/>
          <w:szCs w:val="21"/>
        </w:rPr>
        <w:t>Hemp fiber — cheaper, more rustic product positioning, coarser and more variable taste profile.</w:t>
      </w:r>
    </w:p>
    <w:p w14:paraId="52136542" w14:textId="77777777" w:rsidR="00635C6B" w:rsidRDefault="009F49C8">
      <w:pPr>
        <w:pStyle w:val="a4"/>
        <w:numPr>
          <w:ilvl w:val="0"/>
          <w:numId w:val="2"/>
        </w:numPr>
        <w:spacing w:after="60"/>
      </w:pPr>
      <w:r>
        <w:rPr>
          <w:sz w:val="21"/>
          <w:szCs w:val="21"/>
        </w:rPr>
        <w:t xml:space="preserve">Wood-pulp crimped </w:t>
      </w:r>
      <w:proofErr w:type="gramStart"/>
      <w:r>
        <w:rPr>
          <w:sz w:val="21"/>
          <w:szCs w:val="21"/>
        </w:rPr>
        <w:t>tow —</w:t>
      </w:r>
      <w:proofErr w:type="gramEnd"/>
      <w:r>
        <w:rPr>
          <w:sz w:val="21"/>
          <w:szCs w:val="21"/>
        </w:rPr>
        <w:t xml:space="preserve"> lowest cost </w:t>
      </w:r>
      <w:proofErr w:type="gramStart"/>
      <w:r>
        <w:rPr>
          <w:sz w:val="21"/>
          <w:szCs w:val="21"/>
        </w:rPr>
        <w:t>option</w:t>
      </w:r>
      <w:proofErr w:type="gramEnd"/>
      <w:r>
        <w:rPr>
          <w:sz w:val="21"/>
          <w:szCs w:val="21"/>
        </w:rPr>
        <w:t>, weakest structural integrity and highest shedding risk of the group.</w:t>
      </w:r>
    </w:p>
    <w:p w14:paraId="4D206D3E" w14:textId="77777777" w:rsidR="00635C6B" w:rsidRDefault="009F49C8">
      <w:pPr>
        <w:pStyle w:val="a4"/>
        <w:numPr>
          <w:ilvl w:val="0"/>
          <w:numId w:val="2"/>
        </w:numPr>
        <w:spacing w:after="60"/>
      </w:pPr>
      <w:r>
        <w:rPr>
          <w:sz w:val="21"/>
          <w:szCs w:val="21"/>
        </w:rPr>
        <w:t>Cotton linter — soft texture, good filtration performance, higher raw material cost.</w:t>
      </w:r>
    </w:p>
    <w:p w14:paraId="700BBC50" w14:textId="77777777" w:rsidR="00635C6B" w:rsidRDefault="009F49C8">
      <w:pPr>
        <w:pStyle w:val="a4"/>
        <w:numPr>
          <w:ilvl w:val="0"/>
          <w:numId w:val="2"/>
        </w:numPr>
        <w:spacing w:after="60"/>
      </w:pPr>
      <w:r>
        <w:rPr>
          <w:sz w:val="21"/>
          <w:szCs w:val="21"/>
        </w:rPr>
        <w:t>Abaca fiber — very high tensile strength, proven at scale in tea-bag manufacturing, thinner existing supply chain for this application.</w:t>
      </w:r>
    </w:p>
    <w:p w14:paraId="0D442C45" w14:textId="77777777" w:rsidR="00635C6B" w:rsidRDefault="009F49C8">
      <w:pPr>
        <w:pStyle w:val="2"/>
        <w:spacing w:before="280" w:after="120"/>
      </w:pPr>
      <w:r>
        <w:rPr>
          <w:b/>
          <w:bCs/>
          <w:color w:val="1F3D2B"/>
        </w:rPr>
        <w:t>2.2 Tannin Trap Core</w:t>
      </w:r>
    </w:p>
    <w:p w14:paraId="0B63196D" w14:textId="77777777" w:rsidR="00635C6B" w:rsidRDefault="009F49C8">
      <w:pPr>
        <w:spacing w:before="100" w:after="40"/>
      </w:pPr>
      <w:r>
        <w:rPr>
          <w:b/>
          <w:bCs/>
          <w:color w:val="C1652E"/>
        </w:rPr>
        <w:t>Specification</w:t>
      </w:r>
    </w:p>
    <w:p w14:paraId="73D33393" w14:textId="77777777" w:rsidR="00635C6B" w:rsidRDefault="009F49C8">
      <w:pPr>
        <w:spacing w:after="160"/>
      </w:pPr>
      <w:r>
        <w:rPr>
          <w:sz w:val="21"/>
          <w:szCs w:val="21"/>
        </w:rPr>
        <w:t xml:space="preserve">Quebracho tannin extract (condensed / proanthocyanidin-type tannin, sourced from </w:t>
      </w:r>
      <w:proofErr w:type="spellStart"/>
      <w:r>
        <w:rPr>
          <w:sz w:val="21"/>
          <w:szCs w:val="21"/>
        </w:rPr>
        <w:t>Schinopsis</w:t>
      </w:r>
      <w:proofErr w:type="spellEnd"/>
      <w:r>
        <w:rPr>
          <w:sz w:val="21"/>
          <w:szCs w:val="21"/>
        </w:rPr>
        <w:t>), commercial grade at approximately 70–80% tannin purity.</w:t>
      </w:r>
    </w:p>
    <w:p w14:paraId="086E8B76" w14:textId="77777777" w:rsidR="00635C6B" w:rsidRDefault="009F49C8">
      <w:pPr>
        <w:spacing w:before="100" w:after="40"/>
      </w:pPr>
      <w:r>
        <w:rPr>
          <w:b/>
          <w:bCs/>
          <w:color w:val="C1652E"/>
        </w:rPr>
        <w:t>Rationale</w:t>
      </w:r>
    </w:p>
    <w:p w14:paraId="13E8E77D" w14:textId="77777777" w:rsidR="00635C6B" w:rsidRDefault="009F49C8">
      <w:pPr>
        <w:spacing w:after="160"/>
      </w:pPr>
      <w:r>
        <w:rPr>
          <w:sz w:val="21"/>
          <w:szCs w:val="21"/>
        </w:rPr>
        <w:t xml:space="preserve">Quebracho is not the most common industrial tannin — chestnut and </w:t>
      </w:r>
      <w:proofErr w:type="spellStart"/>
      <w:r>
        <w:rPr>
          <w:sz w:val="21"/>
          <w:szCs w:val="21"/>
        </w:rPr>
        <w:t>tara</w:t>
      </w:r>
      <w:proofErr w:type="spellEnd"/>
      <w:r>
        <w:rPr>
          <w:sz w:val="21"/>
          <w:szCs w:val="21"/>
        </w:rPr>
        <w:t xml:space="preserve"> tannins are more widely traded — but it belongs to the specific condensed-tannin family already used in livestock feed additives to bind dietary alkaloids </w:t>
      </w:r>
      <w:r>
        <w:rPr>
          <w:sz w:val="21"/>
          <w:szCs w:val="21"/>
        </w:rPr>
        <w:lastRenderedPageBreak/>
        <w:t>and reduce their bioavailability. This is the closest existing real-world precedent to “bind nicotine and reduce how much of it leaches,” and the extract is inexpensive and available at commercial scale.</w:t>
      </w:r>
    </w:p>
    <w:p w14:paraId="69057409" w14:textId="77777777" w:rsidR="00635C6B" w:rsidRDefault="009F49C8">
      <w:pPr>
        <w:spacing w:before="100" w:after="40"/>
      </w:pPr>
      <w:r>
        <w:rPr>
          <w:b/>
          <w:bCs/>
          <w:color w:val="C1652E"/>
        </w:rPr>
        <w:t>Alternative Options</w:t>
      </w:r>
    </w:p>
    <w:p w14:paraId="11415E01" w14:textId="77777777" w:rsidR="00635C6B" w:rsidRDefault="009F49C8">
      <w:pPr>
        <w:pStyle w:val="a4"/>
        <w:numPr>
          <w:ilvl w:val="0"/>
          <w:numId w:val="2"/>
        </w:numPr>
        <w:spacing w:after="60"/>
      </w:pPr>
      <w:r>
        <w:rPr>
          <w:sz w:val="21"/>
          <w:szCs w:val="21"/>
        </w:rPr>
        <w:t>Mimosa / wattle tannin — near-identical condensed-tannin chemical profile, a directly viable substitute.</w:t>
      </w:r>
    </w:p>
    <w:p w14:paraId="13C012F3" w14:textId="77777777" w:rsidR="00635C6B" w:rsidRDefault="009F49C8">
      <w:pPr>
        <w:pStyle w:val="a4"/>
        <w:numPr>
          <w:ilvl w:val="0"/>
          <w:numId w:val="2"/>
        </w:numPr>
        <w:spacing w:after="60"/>
      </w:pPr>
      <w:r>
        <w:rPr>
          <w:sz w:val="21"/>
          <w:szCs w:val="21"/>
        </w:rPr>
        <w:t xml:space="preserve">Chestnut or </w:t>
      </w:r>
      <w:proofErr w:type="spellStart"/>
      <w:r>
        <w:rPr>
          <w:sz w:val="21"/>
          <w:szCs w:val="21"/>
        </w:rPr>
        <w:t>tara</w:t>
      </w:r>
      <w:proofErr w:type="spellEnd"/>
      <w:r>
        <w:rPr>
          <w:sz w:val="21"/>
          <w:szCs w:val="21"/>
        </w:rPr>
        <w:t xml:space="preserve"> tannin — hydrolysable-type tannin, cheaper and more available in some regions, less proven specifically for alkaloid binding.</w:t>
      </w:r>
    </w:p>
    <w:p w14:paraId="4AA3ABCD" w14:textId="77777777" w:rsidR="00635C6B" w:rsidRDefault="009F49C8">
      <w:pPr>
        <w:pStyle w:val="2"/>
        <w:spacing w:before="280" w:after="120"/>
      </w:pPr>
      <w:r>
        <w:rPr>
          <w:b/>
          <w:bCs/>
          <w:color w:val="1F3D2B"/>
        </w:rPr>
        <w:t>2.3 Trap Capsule Shell</w:t>
      </w:r>
    </w:p>
    <w:p w14:paraId="0402A1CE" w14:textId="77777777" w:rsidR="00635C6B" w:rsidRDefault="009F49C8">
      <w:pPr>
        <w:spacing w:before="100" w:after="40"/>
      </w:pPr>
      <w:r>
        <w:rPr>
          <w:b/>
          <w:bCs/>
          <w:color w:val="C1652E"/>
        </w:rPr>
        <w:t>Specification</w:t>
      </w:r>
    </w:p>
    <w:p w14:paraId="74061680" w14:textId="77777777" w:rsidR="00635C6B" w:rsidRDefault="009F49C8">
      <w:pPr>
        <w:spacing w:after="160"/>
      </w:pPr>
      <w:r>
        <w:rPr>
          <w:sz w:val="21"/>
          <w:szCs w:val="21"/>
        </w:rPr>
        <w:t>OSA-modified tapioca starch (octenyl succinic anhydride starch), used as the encapsulating shell around the tannin core.</w:t>
      </w:r>
    </w:p>
    <w:p w14:paraId="289A3552" w14:textId="77777777" w:rsidR="00635C6B" w:rsidRDefault="009F49C8">
      <w:pPr>
        <w:spacing w:before="100" w:after="40"/>
      </w:pPr>
      <w:r>
        <w:rPr>
          <w:b/>
          <w:bCs/>
          <w:color w:val="C1652E"/>
        </w:rPr>
        <w:t>Rationale</w:t>
      </w:r>
    </w:p>
    <w:p w14:paraId="3EFC5857" w14:textId="77777777" w:rsidR="00635C6B" w:rsidRDefault="009F49C8">
      <w:pPr>
        <w:spacing w:after="160"/>
      </w:pPr>
      <w:r>
        <w:rPr>
          <w:sz w:val="21"/>
          <w:szCs w:val="21"/>
        </w:rPr>
        <w:t>Plain maltodextrin is somewhat hygroscopic and can slowly absorb ambient humidity over months of shelf storage, creating a risk of premature shell breakdown before the stick is ever used. OSA-modified starch is purpose-built for robust microencapsulation and provides materially better shelf stability under normal humidity variation, while remaining fully water-soluble on contact with liquid water and fully biodegradable.</w:t>
      </w:r>
    </w:p>
    <w:p w14:paraId="71D5DB5E" w14:textId="77777777" w:rsidR="00635C6B" w:rsidRDefault="009F49C8">
      <w:pPr>
        <w:spacing w:before="100" w:after="40"/>
      </w:pPr>
      <w:r>
        <w:rPr>
          <w:b/>
          <w:bCs/>
          <w:color w:val="C1652E"/>
        </w:rPr>
        <w:t>Alternative Options</w:t>
      </w:r>
    </w:p>
    <w:p w14:paraId="344D9637" w14:textId="77777777" w:rsidR="00635C6B" w:rsidRDefault="009F49C8">
      <w:pPr>
        <w:pStyle w:val="a4"/>
        <w:numPr>
          <w:ilvl w:val="0"/>
          <w:numId w:val="2"/>
        </w:numPr>
        <w:spacing w:after="60"/>
      </w:pPr>
      <w:r>
        <w:rPr>
          <w:sz w:val="21"/>
          <w:szCs w:val="21"/>
        </w:rPr>
        <w:t>Plain tapioca maltodextrin — cheaper and simpler to source, modestly weaker shelf-life performance.</w:t>
      </w:r>
    </w:p>
    <w:p w14:paraId="1F889991" w14:textId="77777777" w:rsidR="00635C6B" w:rsidRDefault="009F49C8">
      <w:pPr>
        <w:pStyle w:val="a4"/>
        <w:numPr>
          <w:ilvl w:val="0"/>
          <w:numId w:val="2"/>
        </w:numPr>
        <w:spacing w:after="60"/>
      </w:pPr>
      <w:r>
        <w:rPr>
          <w:sz w:val="21"/>
          <w:szCs w:val="21"/>
        </w:rPr>
        <w:t>Calcium-alginate beads — common for larger-format encapsulation, but they dissolve via ion exchange (chelation) rather than simple water contact, which is the wrong trigger mechanism for this application.</w:t>
      </w:r>
    </w:p>
    <w:p w14:paraId="5678247E" w14:textId="77777777" w:rsidR="00635C6B" w:rsidRDefault="009F49C8">
      <w:pPr>
        <w:pStyle w:val="2"/>
        <w:spacing w:before="280" w:after="120"/>
      </w:pPr>
      <w:r>
        <w:rPr>
          <w:b/>
          <w:bCs/>
          <w:color w:val="1F3D2B"/>
        </w:rPr>
        <w:t>2.4 Cooling Matrix</w:t>
      </w:r>
    </w:p>
    <w:p w14:paraId="5A1CE74A" w14:textId="77777777" w:rsidR="00635C6B" w:rsidRDefault="009F49C8">
      <w:pPr>
        <w:spacing w:before="100" w:after="40"/>
      </w:pPr>
      <w:r>
        <w:rPr>
          <w:b/>
          <w:bCs/>
          <w:color w:val="C1652E"/>
        </w:rPr>
        <w:t>Specification</w:t>
      </w:r>
    </w:p>
    <w:p w14:paraId="21E1E2D8" w14:textId="77777777" w:rsidR="00635C6B" w:rsidRDefault="009F49C8">
      <w:pPr>
        <w:spacing w:after="160"/>
      </w:pPr>
      <w:r>
        <w:rPr>
          <w:sz w:val="21"/>
          <w:szCs w:val="21"/>
        </w:rPr>
        <w:t>Unbleached, totally-chlorine-free (TCF) kraft paper, folded into a corrugated pattern.</w:t>
      </w:r>
    </w:p>
    <w:p w14:paraId="71C82D97" w14:textId="77777777" w:rsidR="00635C6B" w:rsidRDefault="009F49C8">
      <w:pPr>
        <w:spacing w:before="100" w:after="40"/>
      </w:pPr>
      <w:r>
        <w:rPr>
          <w:b/>
          <w:bCs/>
          <w:color w:val="C1652E"/>
        </w:rPr>
        <w:t>Rationale</w:t>
      </w:r>
    </w:p>
    <w:p w14:paraId="2789F1BE" w14:textId="77777777" w:rsidR="00635C6B" w:rsidRDefault="009F49C8">
      <w:pPr>
        <w:spacing w:after="160"/>
      </w:pPr>
      <w:r>
        <w:rPr>
          <w:sz w:val="21"/>
          <w:szCs w:val="21"/>
        </w:rPr>
        <w:t xml:space="preserve">Kraft paper has the highest fold and tensile strength of the common paper grades, which matters because the material must survive fine, </w:t>
      </w:r>
      <w:proofErr w:type="gramStart"/>
      <w:r>
        <w:rPr>
          <w:sz w:val="21"/>
          <w:szCs w:val="21"/>
        </w:rPr>
        <w:t>repeated</w:t>
      </w:r>
      <w:proofErr w:type="gramEnd"/>
      <w:r>
        <w:rPr>
          <w:sz w:val="21"/>
          <w:szCs w:val="21"/>
        </w:rPr>
        <w:t xml:space="preserve"> creasing at manufacturing speed without cracking or tearing. Leaving it unbleached and specifying a totally-chlorine-free pulping process avoids any dioxin-adjacent bleaching byproduct concerns, which is consistent with the product's overall environmental positioning.</w:t>
      </w:r>
    </w:p>
    <w:p w14:paraId="720BD179" w14:textId="77777777" w:rsidR="00635C6B" w:rsidRDefault="009F49C8">
      <w:pPr>
        <w:spacing w:before="100" w:after="40"/>
      </w:pPr>
      <w:r>
        <w:rPr>
          <w:b/>
          <w:bCs/>
          <w:color w:val="C1652E"/>
        </w:rPr>
        <w:t>Alternative Options</w:t>
      </w:r>
    </w:p>
    <w:p w14:paraId="4A700BCA" w14:textId="77777777" w:rsidR="00635C6B" w:rsidRDefault="009F49C8">
      <w:pPr>
        <w:pStyle w:val="a4"/>
        <w:numPr>
          <w:ilvl w:val="0"/>
          <w:numId w:val="2"/>
        </w:numPr>
        <w:spacing w:after="60"/>
      </w:pPr>
      <w:r>
        <w:rPr>
          <w:sz w:val="21"/>
          <w:szCs w:val="21"/>
        </w:rPr>
        <w:t>Bleached TCF paper — a whiter, more “premium” visual appearance with no functional performance benefit.</w:t>
      </w:r>
    </w:p>
    <w:p w14:paraId="47810F89" w14:textId="77777777" w:rsidR="00635C6B" w:rsidRDefault="009F49C8">
      <w:pPr>
        <w:pStyle w:val="a4"/>
        <w:numPr>
          <w:ilvl w:val="0"/>
          <w:numId w:val="2"/>
        </w:numPr>
        <w:spacing w:after="60"/>
      </w:pPr>
      <w:r>
        <w:rPr>
          <w:sz w:val="21"/>
          <w:szCs w:val="21"/>
        </w:rPr>
        <w:t>Sulfite pulp paper — softer handle, lower fold strength than kraft.</w:t>
      </w:r>
    </w:p>
    <w:p w14:paraId="3D3DDBBA" w14:textId="77777777" w:rsidR="00635C6B" w:rsidRDefault="009F49C8">
      <w:pPr>
        <w:pStyle w:val="2"/>
        <w:spacing w:before="280" w:after="120"/>
      </w:pPr>
      <w:r>
        <w:rPr>
          <w:b/>
          <w:bCs/>
          <w:color w:val="1F3D2B"/>
        </w:rPr>
        <w:t>2.5 Support Tube</w:t>
      </w:r>
    </w:p>
    <w:p w14:paraId="09234A10" w14:textId="77777777" w:rsidR="00635C6B" w:rsidRDefault="009F49C8">
      <w:pPr>
        <w:spacing w:before="100" w:after="40"/>
      </w:pPr>
      <w:r>
        <w:rPr>
          <w:b/>
          <w:bCs/>
          <w:color w:val="C1652E"/>
        </w:rPr>
        <w:t>Specification</w:t>
      </w:r>
    </w:p>
    <w:p w14:paraId="29DCF2F9" w14:textId="77777777" w:rsidR="00635C6B" w:rsidRDefault="009F49C8">
      <w:pPr>
        <w:spacing w:after="160"/>
      </w:pPr>
      <w:r>
        <w:rPr>
          <w:sz w:val="21"/>
          <w:szCs w:val="21"/>
        </w:rPr>
        <w:t>Wet-molded bagasse (sugarcane fiber) pulp, with a candelilla wax coating applied to the inner surface.</w:t>
      </w:r>
    </w:p>
    <w:p w14:paraId="1C6205EA" w14:textId="77777777" w:rsidR="00635C6B" w:rsidRDefault="009F49C8">
      <w:pPr>
        <w:spacing w:before="100" w:after="40"/>
      </w:pPr>
      <w:r>
        <w:rPr>
          <w:b/>
          <w:bCs/>
          <w:color w:val="C1652E"/>
        </w:rPr>
        <w:t>Rationale</w:t>
      </w:r>
    </w:p>
    <w:p w14:paraId="7789921C" w14:textId="77777777" w:rsidR="00635C6B" w:rsidRDefault="009F49C8">
      <w:pPr>
        <w:spacing w:after="160"/>
      </w:pPr>
      <w:r>
        <w:rPr>
          <w:sz w:val="21"/>
          <w:szCs w:val="21"/>
        </w:rPr>
        <w:t>Bagasse produces a smoother, more dimensionally consistent molded surface than recycled fiber, which matters for holding tight insertion tolerances against the holder's heating chamber. Candelilla wax is fully plant-derived, unlike beeswax, and is more workable as a thin, even coating than the harder and more brittle carnauba wax.</w:t>
      </w:r>
    </w:p>
    <w:p w14:paraId="73B72D89" w14:textId="77777777" w:rsidR="00635C6B" w:rsidRDefault="009F49C8">
      <w:pPr>
        <w:spacing w:before="100" w:after="40"/>
      </w:pPr>
      <w:r>
        <w:rPr>
          <w:b/>
          <w:bCs/>
          <w:color w:val="C1652E"/>
        </w:rPr>
        <w:t>Alternative Options</w:t>
      </w:r>
    </w:p>
    <w:p w14:paraId="555ADA3A" w14:textId="77777777" w:rsidR="00635C6B" w:rsidRDefault="009F49C8">
      <w:pPr>
        <w:pStyle w:val="a4"/>
        <w:numPr>
          <w:ilvl w:val="0"/>
          <w:numId w:val="2"/>
        </w:numPr>
        <w:spacing w:after="60"/>
      </w:pPr>
      <w:r>
        <w:rPr>
          <w:sz w:val="21"/>
          <w:szCs w:val="21"/>
        </w:rPr>
        <w:t>Carnauba wax — stronger moisture resistance in extreme humidity, higher cost, more brittle when applied as a thin coat.</w:t>
      </w:r>
    </w:p>
    <w:p w14:paraId="1972CDD9" w14:textId="77777777" w:rsidR="00635C6B" w:rsidRDefault="009F49C8">
      <w:pPr>
        <w:pStyle w:val="a4"/>
        <w:numPr>
          <w:ilvl w:val="0"/>
          <w:numId w:val="2"/>
        </w:numPr>
        <w:spacing w:after="60"/>
      </w:pPr>
      <w:r>
        <w:rPr>
          <w:sz w:val="21"/>
          <w:szCs w:val="21"/>
        </w:rPr>
        <w:t>Beeswax — excellent coating performance, but animal-derived, which breaks a fully plant-based materials claim.</w:t>
      </w:r>
    </w:p>
    <w:p w14:paraId="644FAB16" w14:textId="77777777" w:rsidR="00635C6B" w:rsidRDefault="009F49C8">
      <w:pPr>
        <w:pStyle w:val="a4"/>
        <w:numPr>
          <w:ilvl w:val="0"/>
          <w:numId w:val="2"/>
        </w:numPr>
        <w:spacing w:after="60"/>
      </w:pPr>
      <w:r>
        <w:rPr>
          <w:sz w:val="21"/>
          <w:szCs w:val="21"/>
        </w:rPr>
        <w:t>Recycled-fiber pulp — lower cost, less dimensionally consistent than bagasse.</w:t>
      </w:r>
    </w:p>
    <w:p w14:paraId="5F63601A" w14:textId="77777777" w:rsidR="00635C6B" w:rsidRDefault="009F49C8">
      <w:pPr>
        <w:pStyle w:val="2"/>
        <w:spacing w:before="280" w:after="120"/>
      </w:pPr>
      <w:r>
        <w:rPr>
          <w:b/>
          <w:bCs/>
          <w:color w:val="1F3D2B"/>
        </w:rPr>
        <w:t>2.6 Tobacco Substrate &amp; Nicotine Source</w:t>
      </w:r>
    </w:p>
    <w:p w14:paraId="026AC1FB" w14:textId="77777777" w:rsidR="00635C6B" w:rsidRDefault="009F49C8">
      <w:pPr>
        <w:spacing w:before="100" w:after="40"/>
      </w:pPr>
      <w:r>
        <w:rPr>
          <w:b/>
          <w:bCs/>
          <w:color w:val="C1652E"/>
        </w:rPr>
        <w:t>Specification</w:t>
      </w:r>
    </w:p>
    <w:p w14:paraId="54A06950" w14:textId="77777777" w:rsidR="00635C6B" w:rsidRDefault="009F49C8">
      <w:pPr>
        <w:spacing w:after="160"/>
      </w:pPr>
      <w:r>
        <w:rPr>
          <w:sz w:val="21"/>
          <w:szCs w:val="21"/>
        </w:rPr>
        <w:lastRenderedPageBreak/>
        <w:t>Very-low-nicotine (VLN) tobacco leaf as the base substrate, precisely dosed with synthetic nicotine benzoate.</w:t>
      </w:r>
    </w:p>
    <w:p w14:paraId="28F50592" w14:textId="77777777" w:rsidR="00635C6B" w:rsidRDefault="009F49C8">
      <w:pPr>
        <w:spacing w:before="100" w:after="40"/>
      </w:pPr>
      <w:r>
        <w:rPr>
          <w:b/>
          <w:bCs/>
          <w:color w:val="C1652E"/>
        </w:rPr>
        <w:t>Rationale</w:t>
      </w:r>
    </w:p>
    <w:p w14:paraId="5AE384E9" w14:textId="77777777" w:rsidR="00635C6B" w:rsidRDefault="009F49C8">
      <w:pPr>
        <w:spacing w:after="160"/>
      </w:pPr>
      <w:r>
        <w:rPr>
          <w:sz w:val="21"/>
          <w:szCs w:val="21"/>
        </w:rPr>
        <w:t xml:space="preserve">Among the common organic-acid nicotine salts — benzoate, lactate, tartrate, malate — none has a decisively proven thermal-stability advantage at 350°C; this remains an empirical question to be settled by the thermal screening test, not a solved one. Benzoate is specified here because it is already the dominant salt used in commercial nicotine-salt vaping products, meaning there is a substantial existing inhalation-toxicology and vaporization-behavior dataset behind it that the other candidates do not have. </w:t>
      </w:r>
      <w:r>
        <w:rPr>
          <w:sz w:val="21"/>
          <w:szCs w:val="21"/>
        </w:rPr>
        <w:t xml:space="preserve">VLN tobacco leaf itself has </w:t>
      </w:r>
      <w:proofErr w:type="gramStart"/>
      <w:r>
        <w:rPr>
          <w:sz w:val="21"/>
          <w:szCs w:val="21"/>
        </w:rPr>
        <w:t>real</w:t>
      </w:r>
      <w:proofErr w:type="gramEnd"/>
      <w:r>
        <w:rPr>
          <w:sz w:val="21"/>
          <w:szCs w:val="21"/>
        </w:rPr>
        <w:t xml:space="preserve"> commercial and regulatory precedent: reduced-nicotine tobacco developed by 22nd Century Group is already FDA-authorized and in market.</w:t>
      </w:r>
    </w:p>
    <w:p w14:paraId="656EB46F" w14:textId="77777777" w:rsidR="00635C6B" w:rsidRDefault="009F49C8">
      <w:pPr>
        <w:spacing w:before="100" w:after="40"/>
      </w:pPr>
      <w:r>
        <w:rPr>
          <w:b/>
          <w:bCs/>
          <w:color w:val="C1652E"/>
        </w:rPr>
        <w:t>Alternative Options</w:t>
      </w:r>
    </w:p>
    <w:p w14:paraId="630D05B3" w14:textId="77777777" w:rsidR="00635C6B" w:rsidRDefault="009F49C8">
      <w:pPr>
        <w:pStyle w:val="a4"/>
        <w:numPr>
          <w:ilvl w:val="0"/>
          <w:numId w:val="2"/>
        </w:numPr>
        <w:spacing w:after="60"/>
      </w:pPr>
      <w:r>
        <w:rPr>
          <w:sz w:val="21"/>
          <w:szCs w:val="21"/>
        </w:rPr>
        <w:t>Nicotine lactate — chemically viable, considerably less inhalation-toxicology data available.</w:t>
      </w:r>
    </w:p>
    <w:p w14:paraId="05A09C24" w14:textId="77777777" w:rsidR="00635C6B" w:rsidRDefault="009F49C8">
      <w:pPr>
        <w:pStyle w:val="a4"/>
        <w:numPr>
          <w:ilvl w:val="0"/>
          <w:numId w:val="2"/>
        </w:numPr>
        <w:spacing w:after="60"/>
      </w:pPr>
      <w:r>
        <w:rPr>
          <w:sz w:val="21"/>
          <w:szCs w:val="21"/>
        </w:rPr>
        <w:t>Nicotine tartrate — used in some nicotine pouch products, less common in inhaled formats.</w:t>
      </w:r>
    </w:p>
    <w:p w14:paraId="7D92CB12" w14:textId="77777777" w:rsidR="00635C6B" w:rsidRDefault="009F49C8">
      <w:pPr>
        <w:pStyle w:val="a4"/>
        <w:numPr>
          <w:ilvl w:val="0"/>
          <w:numId w:val="2"/>
        </w:numPr>
        <w:spacing w:after="60"/>
      </w:pPr>
      <w:r>
        <w:rPr>
          <w:sz w:val="21"/>
          <w:szCs w:val="21"/>
        </w:rPr>
        <w:t xml:space="preserve">Nicotine salicylate — chemically viable, no </w:t>
      </w:r>
      <w:proofErr w:type="gramStart"/>
      <w:r>
        <w:rPr>
          <w:sz w:val="21"/>
          <w:szCs w:val="21"/>
        </w:rPr>
        <w:t>particular advantage</w:t>
      </w:r>
      <w:proofErr w:type="gramEnd"/>
      <w:r>
        <w:rPr>
          <w:sz w:val="21"/>
          <w:szCs w:val="21"/>
        </w:rPr>
        <w:t xml:space="preserve"> identified over benzoate.</w:t>
      </w:r>
    </w:p>
    <w:p w14:paraId="03856203" w14:textId="77777777" w:rsidR="00635C6B" w:rsidRDefault="009F49C8">
      <w:pPr>
        <w:pStyle w:val="2"/>
        <w:spacing w:before="280" w:after="120"/>
      </w:pPr>
      <w:r>
        <w:rPr>
          <w:b/>
          <w:bCs/>
          <w:color w:val="1F3D2B"/>
        </w:rPr>
        <w:t>2.7 Susceptor Ribbon</w:t>
      </w:r>
    </w:p>
    <w:p w14:paraId="2F0DB2EE" w14:textId="77777777" w:rsidR="00635C6B" w:rsidRDefault="009F49C8">
      <w:pPr>
        <w:spacing w:before="100" w:after="40"/>
      </w:pPr>
      <w:r>
        <w:rPr>
          <w:b/>
          <w:bCs/>
          <w:color w:val="C1652E"/>
        </w:rPr>
        <w:t>Specification</w:t>
      </w:r>
    </w:p>
    <w:p w14:paraId="3B9623E3" w14:textId="77777777" w:rsidR="00635C6B" w:rsidRDefault="009F49C8">
      <w:pPr>
        <w:spacing w:after="160"/>
      </w:pPr>
      <w:r>
        <w:rPr>
          <w:sz w:val="21"/>
          <w:szCs w:val="21"/>
        </w:rPr>
        <w:t>Coconut-shell biochar, pressed into a continuous ribbon and doped with magnetite (</w:t>
      </w:r>
      <w:proofErr w:type="spellStart"/>
      <w:r>
        <w:rPr>
          <w:sz w:val="21"/>
          <w:szCs w:val="21"/>
        </w:rPr>
        <w:t>Fe₃O</w:t>
      </w:r>
      <w:proofErr w:type="spellEnd"/>
      <w:r>
        <w:rPr>
          <w:sz w:val="21"/>
          <w:szCs w:val="21"/>
        </w:rPr>
        <w:t>₄).</w:t>
      </w:r>
    </w:p>
    <w:p w14:paraId="09EB83A0" w14:textId="77777777" w:rsidR="00635C6B" w:rsidRDefault="009F49C8">
      <w:pPr>
        <w:spacing w:before="100" w:after="40"/>
      </w:pPr>
      <w:r>
        <w:rPr>
          <w:b/>
          <w:bCs/>
          <w:color w:val="C1652E"/>
        </w:rPr>
        <w:t>Rationale</w:t>
      </w:r>
    </w:p>
    <w:p w14:paraId="2B254188" w14:textId="77777777" w:rsidR="00635C6B" w:rsidRDefault="009F49C8">
      <w:pPr>
        <w:spacing w:after="160"/>
      </w:pPr>
      <w:r>
        <w:rPr>
          <w:sz w:val="21"/>
          <w:szCs w:val="21"/>
        </w:rPr>
        <w:t>This specification deliberately corrects an earlier draft's reference to generic “iron oxide.” Hematite (</w:t>
      </w:r>
      <w:proofErr w:type="spellStart"/>
      <w:r>
        <w:rPr>
          <w:sz w:val="21"/>
          <w:szCs w:val="21"/>
        </w:rPr>
        <w:t>Fe₂O</w:t>
      </w:r>
      <w:proofErr w:type="spellEnd"/>
      <w:r>
        <w:rPr>
          <w:sz w:val="21"/>
          <w:szCs w:val="21"/>
        </w:rPr>
        <w:t xml:space="preserve">₃, the reddish oxide </w:t>
      </w:r>
      <w:proofErr w:type="gramStart"/>
      <w:r>
        <w:rPr>
          <w:sz w:val="21"/>
          <w:szCs w:val="21"/>
        </w:rPr>
        <w:t>most commonly meant</w:t>
      </w:r>
      <w:proofErr w:type="gramEnd"/>
      <w:r>
        <w:rPr>
          <w:sz w:val="21"/>
          <w:szCs w:val="21"/>
        </w:rPr>
        <w:t xml:space="preserve"> by that term) is only weakly magnetic and would not meaningfully restore hysteresis heating. Magnetite is ferrimagnetic — it responds strongly to an alternating magnetic field — which is the entire purpose of doping the ribbon in the first place. Coconut-shell biochar is the most industrially mature and consistent-quality biochar feedstock </w:t>
      </w:r>
      <w:proofErr w:type="gramStart"/>
      <w:r>
        <w:rPr>
          <w:sz w:val="21"/>
          <w:szCs w:val="21"/>
        </w:rPr>
        <w:t>available at</w:t>
      </w:r>
      <w:proofErr w:type="gramEnd"/>
      <w:r>
        <w:rPr>
          <w:sz w:val="21"/>
          <w:szCs w:val="21"/>
        </w:rPr>
        <w:t xml:space="preserve"> commercial scale. Magnetite is also an approved food colorant (E172), reinforcing the material's low-toxicity pr</w:t>
      </w:r>
      <w:r>
        <w:rPr>
          <w:sz w:val="21"/>
          <w:szCs w:val="21"/>
        </w:rPr>
        <w:t>ofile.</w:t>
      </w:r>
    </w:p>
    <w:p w14:paraId="4F4FBEEB" w14:textId="77777777" w:rsidR="00635C6B" w:rsidRDefault="009F49C8">
      <w:pPr>
        <w:spacing w:before="100" w:after="40"/>
      </w:pPr>
      <w:r>
        <w:rPr>
          <w:b/>
          <w:bCs/>
          <w:color w:val="C1652E"/>
        </w:rPr>
        <w:t>Alternative Options</w:t>
      </w:r>
    </w:p>
    <w:p w14:paraId="415C2645" w14:textId="77777777" w:rsidR="00635C6B" w:rsidRDefault="009F49C8">
      <w:pPr>
        <w:pStyle w:val="a4"/>
        <w:numPr>
          <w:ilvl w:val="0"/>
          <w:numId w:val="2"/>
        </w:numPr>
        <w:spacing w:after="60"/>
      </w:pPr>
      <w:r>
        <w:rPr>
          <w:sz w:val="21"/>
          <w:szCs w:val="21"/>
        </w:rPr>
        <w:t>Bamboo biochar — faster-renewing feedstock, comparable conductivity, thinner existing supply chain.</w:t>
      </w:r>
    </w:p>
    <w:p w14:paraId="07350A4C" w14:textId="77777777" w:rsidR="00635C6B" w:rsidRDefault="009F49C8">
      <w:pPr>
        <w:pStyle w:val="a4"/>
        <w:numPr>
          <w:ilvl w:val="0"/>
          <w:numId w:val="2"/>
        </w:numPr>
        <w:spacing w:after="60"/>
      </w:pPr>
      <w:r>
        <w:rPr>
          <w:sz w:val="21"/>
          <w:szCs w:val="21"/>
        </w:rPr>
        <w:t>Wood or rice-husk biochar — workable, but more variable in quality between batches.</w:t>
      </w:r>
    </w:p>
    <w:p w14:paraId="18D8C84C" w14:textId="77777777" w:rsidR="00635C6B" w:rsidRDefault="009F49C8">
      <w:pPr>
        <w:pStyle w:val="2"/>
        <w:spacing w:before="280" w:after="120"/>
      </w:pPr>
      <w:r>
        <w:rPr>
          <w:b/>
          <w:bCs/>
          <w:color w:val="1F3D2B"/>
        </w:rPr>
        <w:t>2.8 Tip Seals</w:t>
      </w:r>
    </w:p>
    <w:p w14:paraId="4F88D869" w14:textId="77777777" w:rsidR="00635C6B" w:rsidRDefault="009F49C8">
      <w:pPr>
        <w:spacing w:before="100" w:after="40"/>
      </w:pPr>
      <w:r>
        <w:rPr>
          <w:b/>
          <w:bCs/>
          <w:color w:val="C1652E"/>
        </w:rPr>
        <w:t>Specification</w:t>
      </w:r>
    </w:p>
    <w:p w14:paraId="4FE314F4" w14:textId="77777777" w:rsidR="00635C6B" w:rsidRDefault="009F49C8">
      <w:pPr>
        <w:spacing w:after="160"/>
      </w:pPr>
      <w:r>
        <w:rPr>
          <w:sz w:val="21"/>
          <w:szCs w:val="21"/>
        </w:rPr>
        <w:t>Food-grade sodium alginate (kelp-derived), reinforced with kaolin clay at the heated end; plain alginate at the mouth end.</w:t>
      </w:r>
    </w:p>
    <w:p w14:paraId="55A7A231" w14:textId="77777777" w:rsidR="00635C6B" w:rsidRDefault="009F49C8">
      <w:pPr>
        <w:spacing w:before="100" w:after="40"/>
      </w:pPr>
      <w:r>
        <w:rPr>
          <w:b/>
          <w:bCs/>
          <w:color w:val="C1652E"/>
        </w:rPr>
        <w:t>Rationale</w:t>
      </w:r>
    </w:p>
    <w:p w14:paraId="1B060B91" w14:textId="77777777" w:rsidR="00635C6B" w:rsidRDefault="009F49C8">
      <w:pPr>
        <w:spacing w:after="160"/>
      </w:pPr>
      <w:r>
        <w:rPr>
          <w:sz w:val="21"/>
          <w:szCs w:val="21"/>
        </w:rPr>
        <w:t>Kaolin remains chemically and thermally stable at temperatures far beyond what this application requires — it is used in refractory ceramics rated above 1000°C — and is already approved for food contact, giving a wide safety margin at the stick's 350°C peak. Matching seal composition to actual local heat exposure, rather than using one film everywhere, avoids over-specifying the cooler mouth-end seal.</w:t>
      </w:r>
    </w:p>
    <w:p w14:paraId="51F68461" w14:textId="77777777" w:rsidR="00635C6B" w:rsidRDefault="009F49C8">
      <w:pPr>
        <w:spacing w:before="100" w:after="40"/>
      </w:pPr>
      <w:r>
        <w:rPr>
          <w:b/>
          <w:bCs/>
          <w:color w:val="C1652E"/>
        </w:rPr>
        <w:t>Alternative Options</w:t>
      </w:r>
    </w:p>
    <w:p w14:paraId="79415ABF" w14:textId="77777777" w:rsidR="00635C6B" w:rsidRDefault="009F49C8">
      <w:pPr>
        <w:pStyle w:val="a4"/>
        <w:numPr>
          <w:ilvl w:val="0"/>
          <w:numId w:val="2"/>
        </w:numPr>
        <w:spacing w:after="60"/>
      </w:pPr>
      <w:r>
        <w:rPr>
          <w:sz w:val="21"/>
          <w:szCs w:val="21"/>
        </w:rPr>
        <w:t>Bentonite clay — higher water-swelling capacity, which could double as a moisture-absorbing element, but is less thermally inert than kaolin.</w:t>
      </w:r>
    </w:p>
    <w:p w14:paraId="5B434599" w14:textId="77777777" w:rsidR="00635C6B" w:rsidRDefault="009F49C8">
      <w:pPr>
        <w:pStyle w:val="a4"/>
        <w:numPr>
          <w:ilvl w:val="0"/>
          <w:numId w:val="2"/>
        </w:numPr>
        <w:spacing w:after="60"/>
      </w:pPr>
      <w:r>
        <w:rPr>
          <w:sz w:val="21"/>
          <w:szCs w:val="21"/>
        </w:rPr>
        <w:t>Attapulgite clay — functionally workable, thinner existing supply chain.</w:t>
      </w:r>
    </w:p>
    <w:p w14:paraId="3ED1F44B" w14:textId="77777777" w:rsidR="00635C6B" w:rsidRDefault="009F49C8">
      <w:pPr>
        <w:pStyle w:val="2"/>
        <w:spacing w:before="280" w:after="120"/>
      </w:pPr>
      <w:r>
        <w:rPr>
          <w:b/>
          <w:bCs/>
          <w:color w:val="1F3D2B"/>
        </w:rPr>
        <w:t>2.9 Adhesive</w:t>
      </w:r>
    </w:p>
    <w:p w14:paraId="1795C8CD" w14:textId="77777777" w:rsidR="00635C6B" w:rsidRDefault="009F49C8">
      <w:pPr>
        <w:spacing w:before="100" w:after="40"/>
      </w:pPr>
      <w:r>
        <w:rPr>
          <w:b/>
          <w:bCs/>
          <w:color w:val="C1652E"/>
        </w:rPr>
        <w:t>Specification</w:t>
      </w:r>
    </w:p>
    <w:p w14:paraId="684514FF" w14:textId="77777777" w:rsidR="00635C6B" w:rsidRDefault="009F49C8">
      <w:pPr>
        <w:spacing w:after="160"/>
      </w:pPr>
      <w:r>
        <w:rPr>
          <w:sz w:val="21"/>
          <w:szCs w:val="21"/>
        </w:rPr>
        <w:t>Dextrin-based adhesive (acid- or heat-modified starch).</w:t>
      </w:r>
    </w:p>
    <w:p w14:paraId="3D436124" w14:textId="77777777" w:rsidR="00635C6B" w:rsidRDefault="009F49C8">
      <w:pPr>
        <w:spacing w:before="100" w:after="40"/>
      </w:pPr>
      <w:r>
        <w:rPr>
          <w:b/>
          <w:bCs/>
          <w:color w:val="C1652E"/>
        </w:rPr>
        <w:t>Rationale</w:t>
      </w:r>
    </w:p>
    <w:p w14:paraId="5CF26822" w14:textId="77777777" w:rsidR="00635C6B" w:rsidRDefault="009F49C8">
      <w:pPr>
        <w:spacing w:after="160"/>
      </w:pPr>
      <w:r>
        <w:rPr>
          <w:sz w:val="21"/>
          <w:szCs w:val="21"/>
        </w:rPr>
        <w:t>This component requires the least change of any in the specification. Dextrin-based adhesives are already the standard water-based adhesive used industry-wide for cigarette tipping paper, making this close to a zero-risk substitution rather than a new material introduction.</w:t>
      </w:r>
    </w:p>
    <w:p w14:paraId="5A91DA2F" w14:textId="77777777" w:rsidR="00635C6B" w:rsidRDefault="009F49C8">
      <w:pPr>
        <w:spacing w:before="100" w:after="40"/>
      </w:pPr>
      <w:r>
        <w:rPr>
          <w:b/>
          <w:bCs/>
          <w:color w:val="C1652E"/>
        </w:rPr>
        <w:t>Alternative Options</w:t>
      </w:r>
    </w:p>
    <w:p w14:paraId="286C2441" w14:textId="77777777" w:rsidR="00635C6B" w:rsidRDefault="009F49C8">
      <w:pPr>
        <w:pStyle w:val="a4"/>
        <w:numPr>
          <w:ilvl w:val="0"/>
          <w:numId w:val="2"/>
        </w:numPr>
        <w:spacing w:after="60"/>
      </w:pPr>
      <w:r>
        <w:rPr>
          <w:sz w:val="21"/>
          <w:szCs w:val="21"/>
        </w:rPr>
        <w:t>Native starch paste — workable, produces a modestly weaker bond than dextrin.</w:t>
      </w:r>
    </w:p>
    <w:p w14:paraId="57B789A9" w14:textId="77777777" w:rsidR="00635C6B" w:rsidRDefault="009F49C8">
      <w:pPr>
        <w:pStyle w:val="a4"/>
        <w:numPr>
          <w:ilvl w:val="0"/>
          <w:numId w:val="2"/>
        </w:numPr>
        <w:spacing w:after="60"/>
      </w:pPr>
      <w:r>
        <w:rPr>
          <w:sz w:val="21"/>
          <w:szCs w:val="21"/>
        </w:rPr>
        <w:lastRenderedPageBreak/>
        <w:t>Modified cellulose gum adhesives — a viable alternative water-based adhesive class.</w:t>
      </w:r>
    </w:p>
    <w:p w14:paraId="3728ED24" w14:textId="77777777" w:rsidR="00635C6B" w:rsidRDefault="009F49C8">
      <w:pPr>
        <w:pStyle w:val="2"/>
        <w:spacing w:before="280" w:after="120"/>
      </w:pPr>
      <w:r>
        <w:rPr>
          <w:b/>
          <w:bCs/>
          <w:color w:val="1F3D2B"/>
        </w:rPr>
        <w:t>2.10 Outer Wrap &amp; Moisture Barrier</w:t>
      </w:r>
    </w:p>
    <w:p w14:paraId="381E4244" w14:textId="77777777" w:rsidR="00635C6B" w:rsidRDefault="009F49C8">
      <w:pPr>
        <w:spacing w:before="100" w:after="40"/>
      </w:pPr>
      <w:r>
        <w:rPr>
          <w:b/>
          <w:bCs/>
          <w:color w:val="C1652E"/>
        </w:rPr>
        <w:t>Specification</w:t>
      </w:r>
    </w:p>
    <w:p w14:paraId="7BE0E96A" w14:textId="77777777" w:rsidR="00635C6B" w:rsidRDefault="009F49C8">
      <w:pPr>
        <w:spacing w:after="160"/>
      </w:pPr>
      <w:r>
        <w:rPr>
          <w:sz w:val="21"/>
          <w:szCs w:val="21"/>
        </w:rPr>
        <w:t>Standard cigarette-grade wrap paper, coated with a cellulose nanocrystal (CNC) barrier film.</w:t>
      </w:r>
    </w:p>
    <w:p w14:paraId="7E6788FB" w14:textId="77777777" w:rsidR="00635C6B" w:rsidRDefault="009F49C8">
      <w:pPr>
        <w:spacing w:before="100" w:after="40"/>
      </w:pPr>
      <w:r>
        <w:rPr>
          <w:b/>
          <w:bCs/>
          <w:color w:val="C1652E"/>
        </w:rPr>
        <w:t>Rationale</w:t>
      </w:r>
    </w:p>
    <w:p w14:paraId="64FF0097" w14:textId="77777777" w:rsidR="00635C6B" w:rsidRDefault="009F49C8">
      <w:pPr>
        <w:spacing w:after="160"/>
      </w:pPr>
      <w:r>
        <w:rPr>
          <w:sz w:val="21"/>
          <w:szCs w:val="21"/>
        </w:rPr>
        <w:t>The base wrap paper itself likely requires no change, as it is already paper in the current product. Cellulose nanocrystal coatings are a well-studied, wood-derived nanomaterial with demonstrated oxygen and moisture barrier performance in packaging research, addressing the shelf-stability sensitivity introduced by moving to a starch-based adhesive.</w:t>
      </w:r>
    </w:p>
    <w:p w14:paraId="25C680FE" w14:textId="77777777" w:rsidR="00635C6B" w:rsidRDefault="009F49C8">
      <w:pPr>
        <w:spacing w:before="100" w:after="40"/>
      </w:pPr>
      <w:r>
        <w:rPr>
          <w:b/>
          <w:bCs/>
          <w:color w:val="C1652E"/>
        </w:rPr>
        <w:t>Alternative Options</w:t>
      </w:r>
    </w:p>
    <w:p w14:paraId="4B4F4579" w14:textId="77777777" w:rsidR="00635C6B" w:rsidRDefault="009F49C8">
      <w:pPr>
        <w:pStyle w:val="a4"/>
        <w:numPr>
          <w:ilvl w:val="0"/>
          <w:numId w:val="2"/>
        </w:numPr>
        <w:spacing w:after="60"/>
      </w:pPr>
      <w:r>
        <w:rPr>
          <w:sz w:val="21"/>
          <w:szCs w:val="21"/>
        </w:rPr>
        <w:t>Bio-wax coating — workable, less proven barrier performance than CNC.</w:t>
      </w:r>
    </w:p>
    <w:p w14:paraId="3B290B73" w14:textId="77777777" w:rsidR="00635C6B" w:rsidRDefault="009F49C8">
      <w:pPr>
        <w:pStyle w:val="a4"/>
        <w:numPr>
          <w:ilvl w:val="0"/>
          <w:numId w:val="2"/>
        </w:numPr>
        <w:spacing w:after="60"/>
      </w:pPr>
      <w:r>
        <w:rPr>
          <w:sz w:val="21"/>
          <w:szCs w:val="21"/>
        </w:rPr>
        <w:t xml:space="preserve">No barrier coating — lowest </w:t>
      </w:r>
      <w:proofErr w:type="gramStart"/>
      <w:r>
        <w:rPr>
          <w:sz w:val="21"/>
          <w:szCs w:val="21"/>
        </w:rPr>
        <w:t>cost, but</w:t>
      </w:r>
      <w:proofErr w:type="gramEnd"/>
      <w:r>
        <w:rPr>
          <w:sz w:val="21"/>
          <w:szCs w:val="21"/>
        </w:rPr>
        <w:t xml:space="preserve"> reopens the shelf-stability risk created by the starch-based adhesive's humidity sensitivity.</w:t>
      </w:r>
    </w:p>
    <w:p w14:paraId="30A9021C" w14:textId="77777777" w:rsidR="00635C6B" w:rsidRDefault="00635C6B">
      <w:pPr>
        <w:pageBreakBefore/>
      </w:pPr>
    </w:p>
    <w:p w14:paraId="5EC2C303" w14:textId="77777777" w:rsidR="00635C6B" w:rsidRDefault="009F49C8">
      <w:pPr>
        <w:pStyle w:val="1"/>
        <w:spacing w:before="400" w:after="200"/>
      </w:pPr>
      <w:r>
        <w:rPr>
          <w:b/>
          <w:bCs/>
          <w:color w:val="1F3D2B"/>
        </w:rPr>
        <w:t>3. Hardware Changes (General)</w:t>
      </w:r>
    </w:p>
    <w:p w14:paraId="70C037EF" w14:textId="77777777" w:rsidR="00635C6B" w:rsidRDefault="009F49C8">
      <w:pPr>
        <w:spacing w:after="160"/>
      </w:pPr>
      <w:r>
        <w:rPr>
          <w:sz w:val="21"/>
          <w:szCs w:val="21"/>
        </w:rPr>
        <w:t>The holder's external shape and form factor remain unchanged from the current design. The following five changes are internal to the device and are required to support the new susceptor ribbon and stick architecture specified in Section 2.</w:t>
      </w:r>
    </w:p>
    <w:p w14:paraId="192EB09B" w14:textId="77777777" w:rsidR="00635C6B" w:rsidRDefault="009F49C8">
      <w:pPr>
        <w:pStyle w:val="2"/>
        <w:spacing w:before="280" w:after="120"/>
      </w:pPr>
      <w:r>
        <w:rPr>
          <w:b/>
          <w:bCs/>
          <w:color w:val="1F3D2B"/>
        </w:rPr>
        <w:t>3.1 Coil Driver Retuning</w:t>
      </w:r>
    </w:p>
    <w:p w14:paraId="2F39E9A0" w14:textId="77777777" w:rsidR="00635C6B" w:rsidRDefault="009F49C8">
      <w:pPr>
        <w:spacing w:after="160"/>
      </w:pPr>
      <w:r>
        <w:rPr>
          <w:sz w:val="21"/>
          <w:szCs w:val="21"/>
        </w:rPr>
        <w:t xml:space="preserve">The coil's drive frequency and current profile must be </w:t>
      </w:r>
      <w:proofErr w:type="spellStart"/>
      <w:proofErr w:type="gramStart"/>
      <w:r>
        <w:rPr>
          <w:sz w:val="21"/>
          <w:szCs w:val="21"/>
        </w:rPr>
        <w:t>retuned</w:t>
      </w:r>
      <w:proofErr w:type="spellEnd"/>
      <w:proofErr w:type="gramEnd"/>
      <w:r>
        <w:rPr>
          <w:sz w:val="21"/>
          <w:szCs w:val="21"/>
        </w:rPr>
        <w:t xml:space="preserve"> to match the electromagnetic properties of the coconut-biochar / magnetite susceptor ribbon rather than the stainless-steel blade used in the current design. This is the </w:t>
      </w:r>
      <w:proofErr w:type="gramStart"/>
      <w:r>
        <w:rPr>
          <w:sz w:val="21"/>
          <w:szCs w:val="21"/>
        </w:rPr>
        <w:t>highest-risk</w:t>
      </w:r>
      <w:proofErr w:type="gramEnd"/>
      <w:r>
        <w:rPr>
          <w:sz w:val="21"/>
          <w:szCs w:val="21"/>
        </w:rPr>
        <w:t xml:space="preserve"> item in the hardware specification, since the required current </w:t>
      </w:r>
      <w:proofErr w:type="gramStart"/>
      <w:r>
        <w:rPr>
          <w:sz w:val="21"/>
          <w:szCs w:val="21"/>
        </w:rPr>
        <w:t>draw</w:t>
      </w:r>
      <w:proofErr w:type="gramEnd"/>
      <w:r>
        <w:rPr>
          <w:sz w:val="21"/>
          <w:szCs w:val="21"/>
        </w:rPr>
        <w:t xml:space="preserve"> for the new material is not yet established against the existing amplifier's operating range.</w:t>
      </w:r>
    </w:p>
    <w:p w14:paraId="5BC46542" w14:textId="77777777" w:rsidR="00635C6B" w:rsidRDefault="009F49C8">
      <w:pPr>
        <w:pStyle w:val="2"/>
        <w:spacing w:before="280" w:after="120"/>
      </w:pPr>
      <w:r>
        <w:rPr>
          <w:b/>
          <w:bCs/>
          <w:color w:val="1F3D2B"/>
        </w:rPr>
        <w:t>3.2 Auto-Start / Insertion Sensor Recalibration</w:t>
      </w:r>
    </w:p>
    <w:p w14:paraId="186D6F6B" w14:textId="77777777" w:rsidR="00635C6B" w:rsidRDefault="009F49C8">
      <w:pPr>
        <w:spacing w:after="160"/>
      </w:pPr>
      <w:r>
        <w:rPr>
          <w:sz w:val="21"/>
          <w:szCs w:val="21"/>
        </w:rPr>
        <w:t>The holder partly detects stick insertion through the electrical load the susceptor presents to the coil. Because the new ribbon material changes that load signature relative to steel, the auto-start detection threshold must be recalibrated against the new susceptor rather than reused from the current design.</w:t>
      </w:r>
    </w:p>
    <w:p w14:paraId="39581890" w14:textId="77777777" w:rsidR="00635C6B" w:rsidRDefault="009F49C8">
      <w:pPr>
        <w:pStyle w:val="2"/>
        <w:spacing w:before="280" w:after="120"/>
      </w:pPr>
      <w:r>
        <w:rPr>
          <w:b/>
          <w:bCs/>
          <w:color w:val="1F3D2B"/>
        </w:rPr>
        <w:t>3.3 Heating-Profile Firmware Rewrite</w:t>
      </w:r>
    </w:p>
    <w:p w14:paraId="03B32B1A" w14:textId="77777777" w:rsidR="00635C6B" w:rsidRDefault="009F49C8">
      <w:pPr>
        <w:spacing w:after="160"/>
      </w:pPr>
      <w:r>
        <w:rPr>
          <w:sz w:val="21"/>
          <w:szCs w:val="21"/>
        </w:rPr>
        <w:t>Stick temperature is inferred from coil electrical behavior over the course of a session, not measured directly inside the tobacco plug. The new susceptor's heat-up curve differs from steel's, so the firmware's inferred-temperature model requires a new calibration dataset specific to the coconut-biochar / magnetite ribbon, not merely a different target temperature value.</w:t>
      </w:r>
    </w:p>
    <w:p w14:paraId="0B892F4F" w14:textId="77777777" w:rsidR="00635C6B" w:rsidRDefault="009F49C8">
      <w:pPr>
        <w:pStyle w:val="2"/>
        <w:spacing w:before="280" w:after="120"/>
      </w:pPr>
      <w:r>
        <w:rPr>
          <w:b/>
          <w:bCs/>
          <w:color w:val="1F3D2B"/>
        </w:rPr>
        <w:t>3.4 Chamber Tolerance Constraint</w:t>
      </w:r>
    </w:p>
    <w:p w14:paraId="28E89948" w14:textId="77777777" w:rsidR="00635C6B" w:rsidRDefault="009F49C8">
      <w:pPr>
        <w:spacing w:after="160"/>
      </w:pPr>
      <w:r>
        <w:rPr>
          <w:sz w:val="21"/>
          <w:szCs w:val="21"/>
        </w:rPr>
        <w:t>The stick's external diameter and stiffness must be held to the current specification as a hard design constraint. Doing so avoids any redesign of the holder's mechanical insertion chamber, keeping the hardware change scope limited to the coil, sensor, and firmware.</w:t>
      </w:r>
    </w:p>
    <w:p w14:paraId="7E4D1FBE" w14:textId="77777777" w:rsidR="00635C6B" w:rsidRDefault="009F49C8">
      <w:pPr>
        <w:pStyle w:val="2"/>
        <w:spacing w:before="280" w:after="120"/>
      </w:pPr>
      <w:r>
        <w:rPr>
          <w:b/>
          <w:bCs/>
          <w:color w:val="1F3D2B"/>
        </w:rPr>
        <w:t>3.5 Airflow / Residue Path Adjustment</w:t>
      </w:r>
    </w:p>
    <w:p w14:paraId="6FC7ABE4" w14:textId="77777777" w:rsidR="00635C6B" w:rsidRDefault="009F49C8">
      <w:pPr>
        <w:spacing w:after="160"/>
      </w:pPr>
      <w:r>
        <w:rPr>
          <w:sz w:val="21"/>
          <w:szCs w:val="21"/>
        </w:rPr>
        <w:t>Biochar and paper particulates are more likely to leave fine residue inside the heating chamber than the current stainless-steel blade. A small airflow path or mesh addition may be required to preserve the device's current cleaning-free operation.</w:t>
      </w:r>
    </w:p>
    <w:p w14:paraId="5A1A2B02" w14:textId="77777777" w:rsidR="00635C6B" w:rsidRDefault="009F49C8">
      <w:pPr>
        <w:spacing w:before="100" w:after="40"/>
      </w:pPr>
      <w:r>
        <w:rPr>
          <w:b/>
          <w:bCs/>
          <w:color w:val="C1652E"/>
        </w:rPr>
        <w:t>Compatibility Outlook</w:t>
      </w:r>
    </w:p>
    <w:p w14:paraId="38F0DC32" w14:textId="77777777" w:rsidR="00635C6B" w:rsidRDefault="009F49C8">
      <w:pPr>
        <w:spacing w:after="160"/>
      </w:pPr>
      <w:r>
        <w:rPr>
          <w:sz w:val="21"/>
          <w:szCs w:val="21"/>
        </w:rPr>
        <w:t>In the best case, all five hardware changes can be delivered to existing holders through a firmware update alone, since the coil, sensor, and firmware are software-addressable subsystems. In the worst case, the current draw required by the coconut-biochar / magnetite susceptor falls outside the existing coil driver amplifier's operating range, which would require a new hardware revision of the holder rather than a firmware-only update. This determination should be established by bench testing before any fur</w:t>
      </w:r>
      <w:r>
        <w:rPr>
          <w:sz w:val="21"/>
          <w:szCs w:val="21"/>
        </w:rPr>
        <w:t>ther design commitment, as it governs the scope of every other change in this document.</w:t>
      </w:r>
    </w:p>
    <w:sectPr w:rsidR="00635C6B">
      <w:headerReference w:type="default" r:id="rId7"/>
      <w:footerReference w:type="default" r:id="rId8"/>
      <w:pgSz w:w="11906" w:h="16838"/>
      <w:pgMar w:top="1000" w:right="1100" w:bottom="1000" w:left="11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81D801" w14:textId="77777777" w:rsidR="009F49C8" w:rsidRDefault="009F49C8">
      <w:r>
        <w:separator/>
      </w:r>
    </w:p>
  </w:endnote>
  <w:endnote w:type="continuationSeparator" w:id="0">
    <w:p w14:paraId="5FCA4B83" w14:textId="77777777" w:rsidR="009F49C8" w:rsidRDefault="009F49C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4BC996" w14:textId="77777777" w:rsidR="00635C6B" w:rsidRDefault="009F49C8">
    <w:pPr>
      <w:jc w:val="center"/>
    </w:pPr>
    <w:r>
      <w:rPr>
        <w:color w:val="5B5F52"/>
        <w:sz w:val="16"/>
        <w:szCs w:val="16"/>
      </w:rPr>
      <w:t xml:space="preserve">Page </w:t>
    </w:r>
    <w:r>
      <w:rPr>
        <w:color w:val="5B5F52"/>
        <w:sz w:val="16"/>
        <w:szCs w:val="16"/>
      </w:rPr>
      <w:fldChar w:fldCharType="begin"/>
    </w:r>
    <w:r>
      <w:rPr>
        <w:color w:val="5B5F52"/>
        <w:sz w:val="16"/>
        <w:szCs w:val="16"/>
      </w:rPr>
      <w:instrText>PAGE</w:instrText>
    </w:r>
    <w:r>
      <w:rPr>
        <w:color w:val="5B5F52"/>
        <w:sz w:val="16"/>
        <w:szCs w:val="16"/>
      </w:rPr>
      <w:fldChar w:fldCharType="separate"/>
    </w:r>
    <w:r w:rsidR="008F119F">
      <w:rPr>
        <w:noProof/>
        <w:color w:val="5B5F52"/>
        <w:sz w:val="16"/>
        <w:szCs w:val="16"/>
      </w:rPr>
      <w:t>1</w:t>
    </w:r>
    <w:r>
      <w:rPr>
        <w:color w:val="5B5F52"/>
        <w:sz w:val="16"/>
        <w:szCs w:val="16"/>
      </w:rPr>
      <w:fldChar w:fldCharType="end"/>
    </w:r>
    <w:r>
      <w:rPr>
        <w:color w:val="5B5F52"/>
        <w:sz w:val="16"/>
        <w:szCs w:val="16"/>
      </w:rPr>
      <w:t xml:space="preserve"> of </w:t>
    </w:r>
    <w:r>
      <w:rPr>
        <w:color w:val="5B5F52"/>
        <w:sz w:val="16"/>
        <w:szCs w:val="16"/>
      </w:rPr>
      <w:fldChar w:fldCharType="begin"/>
    </w:r>
    <w:r>
      <w:rPr>
        <w:color w:val="5B5F52"/>
        <w:sz w:val="16"/>
        <w:szCs w:val="16"/>
      </w:rPr>
      <w:instrText>NUMPAGES</w:instrText>
    </w:r>
    <w:r>
      <w:rPr>
        <w:color w:val="5B5F52"/>
        <w:sz w:val="16"/>
        <w:szCs w:val="16"/>
      </w:rPr>
      <w:fldChar w:fldCharType="separate"/>
    </w:r>
    <w:r w:rsidR="008F119F">
      <w:rPr>
        <w:noProof/>
        <w:color w:val="5B5F52"/>
        <w:sz w:val="16"/>
        <w:szCs w:val="16"/>
      </w:rPr>
      <w:t>2</w:t>
    </w:r>
    <w:r>
      <w:rPr>
        <w:color w:val="5B5F52"/>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91B831" w14:textId="77777777" w:rsidR="009F49C8" w:rsidRDefault="009F49C8">
      <w:r>
        <w:separator/>
      </w:r>
    </w:p>
  </w:footnote>
  <w:footnote w:type="continuationSeparator" w:id="0">
    <w:p w14:paraId="4A754E0E" w14:textId="77777777" w:rsidR="009F49C8" w:rsidRDefault="009F49C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97F629" w14:textId="77777777" w:rsidR="00635C6B" w:rsidRDefault="009F49C8">
    <w:pPr>
      <w:pBdr>
        <w:bottom w:val="single" w:sz="4" w:space="4" w:color="C7CDD6"/>
      </w:pBdr>
      <w:jc w:val="right"/>
    </w:pPr>
    <w:proofErr w:type="spellStart"/>
    <w:r>
      <w:rPr>
        <w:color w:val="5B5F52"/>
        <w:sz w:val="16"/>
        <w:szCs w:val="16"/>
      </w:rPr>
      <w:t>BioTEREA</w:t>
    </w:r>
    <w:proofErr w:type="spellEnd"/>
    <w:r>
      <w:rPr>
        <w:color w:val="5B5F52"/>
        <w:sz w:val="16"/>
        <w:szCs w:val="16"/>
      </w:rPr>
      <w:t xml:space="preserve"> v3 — Product Specification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DC53A3"/>
    <w:multiLevelType w:val="hybridMultilevel"/>
    <w:tmpl w:val="ADDC4A0C"/>
    <w:lvl w:ilvl="0" w:tplc="1264C73A">
      <w:start w:val="1"/>
      <w:numFmt w:val="bullet"/>
      <w:lvlText w:val="▪"/>
      <w:lvlJc w:val="left"/>
      <w:pPr>
        <w:ind w:left="540" w:hanging="270"/>
      </w:pPr>
    </w:lvl>
    <w:lvl w:ilvl="1" w:tplc="9190B234">
      <w:numFmt w:val="decimal"/>
      <w:lvlText w:val=""/>
      <w:lvlJc w:val="left"/>
    </w:lvl>
    <w:lvl w:ilvl="2" w:tplc="289C6F1C">
      <w:numFmt w:val="decimal"/>
      <w:lvlText w:val=""/>
      <w:lvlJc w:val="left"/>
    </w:lvl>
    <w:lvl w:ilvl="3" w:tplc="0A0E1BD2">
      <w:numFmt w:val="decimal"/>
      <w:lvlText w:val=""/>
      <w:lvlJc w:val="left"/>
    </w:lvl>
    <w:lvl w:ilvl="4" w:tplc="C792B3A8">
      <w:numFmt w:val="decimal"/>
      <w:lvlText w:val=""/>
      <w:lvlJc w:val="left"/>
    </w:lvl>
    <w:lvl w:ilvl="5" w:tplc="D9A2D3F0">
      <w:numFmt w:val="decimal"/>
      <w:lvlText w:val=""/>
      <w:lvlJc w:val="left"/>
    </w:lvl>
    <w:lvl w:ilvl="6" w:tplc="23946ECC">
      <w:numFmt w:val="decimal"/>
      <w:lvlText w:val=""/>
      <w:lvlJc w:val="left"/>
    </w:lvl>
    <w:lvl w:ilvl="7" w:tplc="1278E01C">
      <w:numFmt w:val="decimal"/>
      <w:lvlText w:val=""/>
      <w:lvlJc w:val="left"/>
    </w:lvl>
    <w:lvl w:ilvl="8" w:tplc="231E9880">
      <w:numFmt w:val="decimal"/>
      <w:lvlText w:val=""/>
      <w:lvlJc w:val="left"/>
    </w:lvl>
  </w:abstractNum>
  <w:abstractNum w:abstractNumId="1" w15:restartNumberingAfterBreak="0">
    <w:nsid w:val="65716D05"/>
    <w:multiLevelType w:val="hybridMultilevel"/>
    <w:tmpl w:val="026C53D4"/>
    <w:lvl w:ilvl="0" w:tplc="4E36062C">
      <w:start w:val="1"/>
      <w:numFmt w:val="bullet"/>
      <w:lvlText w:val="●"/>
      <w:lvlJc w:val="left"/>
      <w:pPr>
        <w:ind w:left="720" w:hanging="360"/>
      </w:pPr>
    </w:lvl>
    <w:lvl w:ilvl="1" w:tplc="2FE61840">
      <w:start w:val="1"/>
      <w:numFmt w:val="bullet"/>
      <w:lvlText w:val="○"/>
      <w:lvlJc w:val="left"/>
      <w:pPr>
        <w:ind w:left="1440" w:hanging="360"/>
      </w:pPr>
    </w:lvl>
    <w:lvl w:ilvl="2" w:tplc="A456007A">
      <w:start w:val="1"/>
      <w:numFmt w:val="bullet"/>
      <w:lvlText w:val="■"/>
      <w:lvlJc w:val="left"/>
      <w:pPr>
        <w:ind w:left="2160" w:hanging="360"/>
      </w:pPr>
    </w:lvl>
    <w:lvl w:ilvl="3" w:tplc="C224687C">
      <w:start w:val="1"/>
      <w:numFmt w:val="bullet"/>
      <w:lvlText w:val="●"/>
      <w:lvlJc w:val="left"/>
      <w:pPr>
        <w:ind w:left="2880" w:hanging="360"/>
      </w:pPr>
    </w:lvl>
    <w:lvl w:ilvl="4" w:tplc="DAFC7982">
      <w:start w:val="1"/>
      <w:numFmt w:val="bullet"/>
      <w:lvlText w:val="○"/>
      <w:lvlJc w:val="left"/>
      <w:pPr>
        <w:ind w:left="3600" w:hanging="360"/>
      </w:pPr>
    </w:lvl>
    <w:lvl w:ilvl="5" w:tplc="031C92F6">
      <w:start w:val="1"/>
      <w:numFmt w:val="bullet"/>
      <w:lvlText w:val="■"/>
      <w:lvlJc w:val="left"/>
      <w:pPr>
        <w:ind w:left="4320" w:hanging="360"/>
      </w:pPr>
    </w:lvl>
    <w:lvl w:ilvl="6" w:tplc="56F8E602">
      <w:start w:val="1"/>
      <w:numFmt w:val="bullet"/>
      <w:lvlText w:val="●"/>
      <w:lvlJc w:val="left"/>
      <w:pPr>
        <w:ind w:left="5040" w:hanging="360"/>
      </w:pPr>
    </w:lvl>
    <w:lvl w:ilvl="7" w:tplc="5AFAC62A">
      <w:start w:val="1"/>
      <w:numFmt w:val="bullet"/>
      <w:lvlText w:val="●"/>
      <w:lvlJc w:val="left"/>
      <w:pPr>
        <w:ind w:left="5760" w:hanging="360"/>
      </w:pPr>
    </w:lvl>
    <w:lvl w:ilvl="8" w:tplc="CEC60004">
      <w:start w:val="1"/>
      <w:numFmt w:val="bullet"/>
      <w:lvlText w:val="●"/>
      <w:lvlJc w:val="left"/>
      <w:pPr>
        <w:ind w:left="6480" w:hanging="360"/>
      </w:pPr>
    </w:lvl>
  </w:abstractNum>
  <w:num w:numId="1" w16cid:durableId="1375275430">
    <w:abstractNumId w:val="1"/>
    <w:lvlOverride w:ilvl="0">
      <w:startOverride w:val="1"/>
    </w:lvlOverride>
  </w:num>
  <w:num w:numId="2" w16cid:durableId="168304446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35C6B"/>
    <w:rsid w:val="00004ECF"/>
    <w:rsid w:val="00244D95"/>
    <w:rsid w:val="00635C6B"/>
    <w:rsid w:val="008F119F"/>
    <w:rsid w:val="009F49C8"/>
    <w:rsid w:val="00C57531"/>
    <w:rsid w:val="00E176D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F45DC5"/>
  <w15:docId w15:val="{C3439912-F202-4129-BB04-A1E46DC0B8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uiPriority w:val="9"/>
    <w:qFormat/>
    <w:pPr>
      <w:outlineLvl w:val="0"/>
    </w:pPr>
    <w:rPr>
      <w:color w:val="2E74B5"/>
      <w:sz w:val="32"/>
      <w:szCs w:val="32"/>
    </w:rPr>
  </w:style>
  <w:style w:type="paragraph" w:styleId="2">
    <w:name w:val="heading 2"/>
    <w:uiPriority w:val="9"/>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Έντονο1"/>
    <w:qFormat/>
    <w:rPr>
      <w:b/>
      <w:bCs/>
    </w:rPr>
  </w:style>
  <w:style w:type="paragraph" w:styleId="a4">
    <w:name w:val="List Paragraph"/>
    <w:qFormat/>
  </w:style>
  <w:style w:type="character" w:styleId="-">
    <w:name w:val="Hyperlink"/>
    <w:uiPriority w:val="99"/>
    <w:unhideWhenUsed/>
    <w:rPr>
      <w:color w:val="0563C1"/>
      <w:u w:val="single"/>
    </w:rPr>
  </w:style>
  <w:style w:type="character" w:styleId="a5">
    <w:name w:val="footnote reference"/>
    <w:uiPriority w:val="99"/>
    <w:semiHidden/>
    <w:unhideWhenUsed/>
    <w:rPr>
      <w:vertAlign w:val="superscript"/>
    </w:rPr>
  </w:style>
  <w:style w:type="paragraph" w:styleId="a6">
    <w:name w:val="footnote text"/>
    <w:link w:val="Char"/>
    <w:uiPriority w:val="99"/>
    <w:semiHidden/>
    <w:unhideWhenUsed/>
  </w:style>
  <w:style w:type="character" w:customStyle="1" w:styleId="Char">
    <w:name w:val="Κείμενο υποσημείωσης Char"/>
    <w:link w:val="a6"/>
    <w:uiPriority w:val="99"/>
    <w:semiHidden/>
    <w:unhideWhenUsed/>
    <w:rPr>
      <w:sz w:val="20"/>
      <w:szCs w:val="20"/>
    </w:rPr>
  </w:style>
  <w:style w:type="character" w:styleId="a7">
    <w:name w:val="endnote reference"/>
    <w:uiPriority w:val="99"/>
    <w:semiHidden/>
    <w:unhideWhenUsed/>
    <w:rPr>
      <w:vertAlign w:val="superscript"/>
    </w:rPr>
  </w:style>
  <w:style w:type="paragraph" w:styleId="a8">
    <w:name w:val="endnote text"/>
    <w:link w:val="Char0"/>
    <w:uiPriority w:val="99"/>
    <w:semiHidden/>
    <w:unhideWhenUsed/>
  </w:style>
  <w:style w:type="character" w:customStyle="1" w:styleId="Char0">
    <w:name w:val="Κείμενο σημείωσης τέλους Char"/>
    <w:link w:val="a8"/>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Θέμα του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1995</Words>
  <Characters>11373</Characters>
  <Application>Microsoft Office Word</Application>
  <DocSecurity>0</DocSecurity>
  <Lines>94</Lines>
  <Paragraphs>26</Paragraphs>
  <ScaleCrop>false</ScaleCrop>
  <Company/>
  <LinksUpToDate>false</LinksUpToDate>
  <CharactersWithSpaces>13342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Emmanouil Diakakis</cp:lastModifiedBy>
  <cp:revision>2</cp:revision>
  <dcterms:created xsi:type="dcterms:W3CDTF">2026-08-25T17:59:00Z</dcterms:created>
  <dcterms:modified xsi:type="dcterms:W3CDTF">2026-08-25T17:59:00Z</dcterms:modified>
</cp:coreProperties>
</file>