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4FD6"/>
          <w:sz w:val="56"/>
          <w:szCs w:val="56"/>
        </w:rPr>
        <w:t xml:space="preserve">AeroSense</w:t>
      </w:r>
    </w:p>
    <w:p>
      <w:pPr>
        <w:spacing w:after="60"/>
      </w:pPr>
      <w:r>
        <w:rPr>
          <w:b/>
          <w:bCs/>
          <w:sz w:val="32"/>
          <w:szCs w:val="32"/>
        </w:rPr>
        <w:t xml:space="preserve">Quick Guide</w:t>
      </w:r>
    </w:p>
    <w:p>
      <w:pPr>
        <w:spacing w:after="0"/>
      </w:pPr>
      <w:r>
        <w:rPr>
          <w:i/>
          <w:iCs/>
          <w:sz w:val="24"/>
          <w:szCs w:val="24"/>
        </w:rPr>
        <w:t xml:space="preserve">Portable Air Quality Monitor</w:t>
      </w:r>
    </w:p>
    <w:p>
      <w:pPr>
        <w:pBdr>
          <w:bottom w:val="single" w:color="5B4FD6" w:sz="6"/>
        </w:pBdr>
        <w:spacing w:after="200" w:before="200"/>
      </w:pPr>
    </w:p>
    <w:p>
      <w:pPr>
        <w:pStyle w:val="Heading1"/>
        <w:spacing w:after="160" w:before="320"/>
      </w:pPr>
      <w:r>
        <w:rPr>
          <w:b/>
          <w:bCs/>
          <w:color w:val="5B4FD6"/>
          <w:sz w:val="30"/>
          <w:szCs w:val="30"/>
        </w:rPr>
        <w:t xml:space="preserve">What It Does</w:t>
      </w:r>
    </w:p>
    <w:p>
      <w:pPr>
        <w:spacing w:after="120"/>
      </w:pPr>
      <w:r>
        <w:t xml:space="preserve">AeroSense measures the air around it and shows how clean it is right now. The readings appear on the device immediately, and it works perfectly well on its own. Units that have been given Wi-Fi details also upload their readings to a private cloud database — see Wi-Fi and Cloud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DEBFA" w:val="clear"/>
            <w:tcMar>
              <w:top w:type="dxa" w:w="80"/>
              <w:left w:type="dxa" w:w="120"/>
              <w:bottom w:type="dxa" w:w="80"/>
              <w:right w:type="dxa" w:w="120"/>
            </w:tcMar>
          </w:tcPr>
          <w:p>
            <w:pPr>
              <w:spacing w:after="0"/>
            </w:pPr>
            <w:r>
              <w:rPr>
                <w:b/>
                <w:bCs/>
              </w:rPr>
              <w:t xml:space="preserve">Reading</w:t>
            </w:r>
          </w:p>
        </w:tc>
        <w:tc>
          <w:tcPr>
            <w:tcW w:type="dxa" w:w="6026"/>
            <w:shd w:fill="EDEBFA" w:val="clear"/>
            <w:tcMar>
              <w:top w:type="dxa" w:w="80"/>
              <w:left w:type="dxa" w:w="120"/>
              <w:bottom w:type="dxa" w:w="80"/>
              <w:right w:type="dxa" w:w="120"/>
            </w:tcMar>
          </w:tcPr>
          <w:p>
            <w:pPr>
              <w:spacing w:after="0"/>
            </w:pPr>
            <w:r>
              <w:rPr>
                <w:b/>
                <w:bCs/>
              </w:rPr>
              <w:t xml:space="preserve">What it is</w:t>
            </w:r>
          </w:p>
        </w:tc>
      </w:tr>
      <w:tr>
        <w:trPr>
          <w:tblHeader w:val="false"/>
        </w:trPr>
        <w:tc>
          <w:tcPr>
            <w:tcW w:type="dxa" w:w="3000"/>
            <w:tcMar>
              <w:top w:type="dxa" w:w="80"/>
              <w:left w:type="dxa" w:w="120"/>
              <w:bottom w:type="dxa" w:w="80"/>
              <w:right w:type="dxa" w:w="120"/>
            </w:tcMar>
          </w:tcPr>
          <w:p>
            <w:pPr>
              <w:spacing w:after="0"/>
            </w:pPr>
            <w:r>
              <w:rPr>
                <w:b/>
                <w:bCs/>
              </w:rPr>
              <w:t xml:space="preserve">PM1.0 / PM2.5 / PM10</w:t>
            </w:r>
          </w:p>
        </w:tc>
        <w:tc>
          <w:tcPr>
            <w:tcW w:type="dxa" w:w="6026"/>
            <w:tcMar>
              <w:top w:type="dxa" w:w="80"/>
              <w:left w:type="dxa" w:w="120"/>
              <w:bottom w:type="dxa" w:w="80"/>
              <w:right w:type="dxa" w:w="120"/>
            </w:tcMar>
          </w:tcPr>
          <w:p>
            <w:pPr>
              <w:spacing w:after="0"/>
            </w:pPr>
            <w:r>
              <w:rPr>
                <w:b w:val="false"/>
                <w:bCs w:val="false"/>
              </w:rPr>
              <w:t xml:space="preserve">Airborne particles — smoke, soot, dust, haze (µg/m³). PM2.5 matters most for health.</w:t>
            </w:r>
          </w:p>
        </w:tc>
      </w:tr>
      <w:tr>
        <w:trPr>
          <w:tblHeader w:val="false"/>
        </w:trPr>
        <w:tc>
          <w:tcPr>
            <w:tcW w:type="dxa" w:w="3000"/>
            <w:tcMar>
              <w:top w:type="dxa" w:w="80"/>
              <w:left w:type="dxa" w:w="120"/>
              <w:bottom w:type="dxa" w:w="80"/>
              <w:right w:type="dxa" w:w="120"/>
            </w:tcMar>
          </w:tcPr>
          <w:p>
            <w:pPr>
              <w:spacing w:after="0"/>
            </w:pPr>
            <w:r>
              <w:rPr>
                <w:b/>
                <w:bCs/>
              </w:rPr>
              <w:t xml:space="preserve">Gas (MQ-2)</w:t>
            </w:r>
          </w:p>
        </w:tc>
        <w:tc>
          <w:tcPr>
            <w:tcW w:type="dxa" w:w="6026"/>
            <w:tcMar>
              <w:top w:type="dxa" w:w="80"/>
              <w:left w:type="dxa" w:w="120"/>
              <w:bottom w:type="dxa" w:w="80"/>
              <w:right w:type="dxa" w:w="120"/>
            </w:tcMar>
          </w:tcPr>
          <w:p>
            <w:pPr>
              <w:spacing w:after="0"/>
            </w:pPr>
            <w:r>
              <w:rPr>
                <w:b w:val="false"/>
                <w:bCs w:val="false"/>
              </w:rPr>
              <w:t xml:space="preserve">Combustible gas and smoke — LPG, cooking gas, methane. A relative level, not a calibrated figure.</w:t>
            </w:r>
          </w:p>
        </w:tc>
      </w:tr>
      <w:tr>
        <w:trPr>
          <w:tblHeader w:val="false"/>
        </w:trPr>
        <w:tc>
          <w:tcPr>
            <w:tcW w:type="dxa" w:w="3000"/>
            <w:tcMar>
              <w:top w:type="dxa" w:w="80"/>
              <w:left w:type="dxa" w:w="120"/>
              <w:bottom w:type="dxa" w:w="80"/>
              <w:right w:type="dxa" w:w="120"/>
            </w:tcMar>
          </w:tcPr>
          <w:p>
            <w:pPr>
              <w:spacing w:after="0"/>
            </w:pPr>
            <w:r>
              <w:rPr>
                <w:b/>
                <w:bCs/>
              </w:rPr>
              <w:t xml:space="preserve">AQI</w:t>
            </w:r>
          </w:p>
        </w:tc>
        <w:tc>
          <w:tcPr>
            <w:tcW w:type="dxa" w:w="6026"/>
            <w:tcMar>
              <w:top w:type="dxa" w:w="80"/>
              <w:left w:type="dxa" w:w="120"/>
              <w:bottom w:type="dxa" w:w="80"/>
              <w:right w:type="dxa" w:w="120"/>
            </w:tcMar>
          </w:tcPr>
          <w:p>
            <w:pPr>
              <w:spacing w:after="0"/>
            </w:pPr>
            <w:r>
              <w:rPr>
                <w:b w:val="false"/>
                <w:bCs w:val="false"/>
              </w:rPr>
              <w:t xml:space="preserve">Air Quality Index, 0–500. Calculated from PM2.5 and PM10. The headline number.</w:t>
            </w:r>
          </w:p>
        </w:tc>
      </w:tr>
    </w:tbl>
    <w:p>
      <w:pPr>
        <w:pStyle w:val="Heading1"/>
        <w:spacing w:after="160" w:before="320"/>
      </w:pPr>
      <w:r>
        <w:rPr>
          <w:b/>
          <w:bCs/>
          <w:color w:val="5B4FD6"/>
          <w:sz w:val="30"/>
          <w:szCs w:val="30"/>
        </w:rPr>
        <w:t xml:space="preserve">Getting Started</w:t>
      </w:r>
    </w:p>
    <w:p>
      <w:pPr>
        <w:pStyle w:val="ListParagraph"/>
        <w:numPr>
          <w:ilvl w:val="0"/>
          <w:numId w:val="2"/>
        </w:numPr>
        <w:spacing w:after="100"/>
      </w:pPr>
      <w:r>
        <w:t xml:space="preserve">Place the device on a flat, dry surface at desk height, away from draughts and heat.</w:t>
      </w:r>
    </w:p>
    <w:p>
      <w:pPr>
        <w:pStyle w:val="ListParagraph"/>
        <w:numPr>
          <w:ilvl w:val="0"/>
          <w:numId w:val="2"/>
        </w:numPr>
        <w:spacing w:after="100"/>
      </w:pPr>
      <w:r>
        <w:t xml:space="preserve">Plug in the USB power. A start-up screen shows for about 1.5 seconds.</w:t>
      </w:r>
    </w:p>
    <w:p>
      <w:pPr>
        <w:pStyle w:val="ListParagraph"/>
        <w:numPr>
          <w:ilvl w:val="0"/>
          <w:numId w:val="2"/>
        </w:numPr>
        <w:spacing w:after="100"/>
      </w:pPr>
      <w:r>
        <w:t xml:space="preserve">The Home screen appears with a large AQI number.</w:t>
      </w:r>
    </w:p>
    <w:p>
      <w:pPr>
        <w:pStyle w:val="ListParagraph"/>
        <w:numPr>
          <w:ilvl w:val="0"/>
          <w:numId w:val="2"/>
        </w:numPr>
        <w:spacing w:after="100"/>
      </w:pPr>
      <w:r>
        <w:t xml:space="preserve">Wait 60 seconds while the gas sensor warms up. A high Gas reading during this time is normal — see below.</w:t>
      </w:r>
    </w:p>
    <w:p>
      <w:pPr>
        <w:pStyle w:val="ListParagraph"/>
        <w:numPr>
          <w:ilvl w:val="0"/>
          <w:numId w:val="2"/>
        </w:numPr>
        <w:spacing w:after="100"/>
      </w:pPr>
      <w:r>
        <w:t xml:space="preserve">Press Button 2 for the next page, Button 1 for the previous one. Hold Button 1 to jump back to Home.</w:t>
      </w:r>
    </w:p>
    <w:p>
      <w:pPr>
        <w:pStyle w:val="Heading1"/>
        <w:spacing w:after="160" w:before="320"/>
      </w:pPr>
      <w:r>
        <w:rPr>
          <w:b/>
          <w:bCs/>
          <w:color w:val="5B4FD6"/>
          <w:sz w:val="30"/>
          <w:szCs w:val="30"/>
        </w:rPr>
        <w:t xml:space="preserve">The First Minute</w:t>
      </w:r>
    </w:p>
    <w:p>
      <w:pPr>
        <w:spacing w:after="120"/>
      </w:pPr>
      <w:r>
        <w:t xml:space="preserve">The MQ-2 contains a small heater. Until it reaches working temperature it reads close to maximum. This is normal hardware behaviour, not gas in the room.</w:t>
      </w:r>
    </w:p>
    <w:p>
      <w:pPr>
        <w:spacing w:after="120"/>
      </w:pPr>
      <w:r>
        <w:t xml:space="preserve">AeroSense keeps sampling throughout, but </w:t>
      </w:r>
      <w:r>
        <w:rPr>
          <w:b/>
          <w:bCs/>
        </w:rPr>
        <w:t xml:space="preserve">switches gas warnings off for 60 seconds</w:t>
      </w:r>
      <w:r>
        <w:t xml:space="preserve"> so you get no false alarms. AQI is unaffected and works normally, because it comes only from the particulate sensor.</w:t>
      </w:r>
    </w:p>
    <w:p>
      <w:pPr>
        <w:spacing w:after="120"/>
      </w:pPr>
      <w:r>
        <w:t xml:space="preserve">While warming up, the Home screen shows </w:t>
      </w:r>
      <w:r>
        <w:rPr>
          <w:b/>
          <w:bCs/>
        </w:rPr>
        <w:t xml:space="preserve">warming</w:t>
      </w:r>
      <w:r>
        <w:t xml:space="preserve"> in place of the gas number, the Gas Monitoring page shows </w:t>
      </w:r>
      <w:r>
        <w:rPr>
          <w:b/>
          <w:bCs/>
        </w:rPr>
        <w:t xml:space="preserve">WARMING UP</w:t>
      </w:r>
      <w:r>
        <w:t xml:space="preserve"> and a countdown, and System Status shows </w:t>
      </w:r>
      <w:r>
        <w:rPr>
          <w:b/>
          <w:bCs/>
        </w:rPr>
        <w:t xml:space="preserve">WARMUP 45s</w:t>
      </w:r>
      <w:r>
        <w:t xml:space="preserve">. When done it shows </w:t>
      </w:r>
      <w:r>
        <w:rPr>
          <w:b/>
          <w:bCs/>
        </w:rPr>
        <w:t xml:space="preserve">READY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1FB" w:val="clear"/>
            <w:tcMar>
              <w:top w:type="dxa" w:w="120"/>
              <w:left w:type="dxa" w:w="160"/>
              <w:bottom w:type="dxa" w:w="120"/>
              <w:right w:type="dxa" w:w="160"/>
            </w:tcMar>
          </w:tcPr>
          <w:p>
            <w:pPr>
              <w:spacing w:after="0"/>
            </w:pPr>
            <w:r>
              <w:rPr>
                <w:b/>
                <w:bCs/>
                <w:color w:val="5B4FD6"/>
              </w:rPr>
              <w:t xml:space="preserve">Note: </w:t>
            </w:r>
            <w:r>
              <w:t xml:space="preserve">Warm-up runs once from power-on. Changing pages or pressing buttons does not restart it.</w:t>
            </w:r>
          </w:p>
        </w:tc>
      </w:tr>
    </w:tbl>
    <w:p>
      <w:pPr>
        <w:pStyle w:val="Heading1"/>
        <w:spacing w:after="160" w:before="320"/>
      </w:pPr>
      <w:r>
        <w:rPr>
          <w:b/>
          <w:bCs/>
          <w:color w:val="5B4FD6"/>
          <w:sz w:val="30"/>
          <w:szCs w:val="30"/>
        </w:rPr>
        <w:t xml:space="preserve">The Two Buttons</w:t>
      </w:r>
    </w:p>
    <w:p>
      <w:pPr>
        <w:spacing w:after="120"/>
      </w:pPr>
      <w:r>
        <w:t xml:space="preserve">A </w:t>
      </w:r>
      <w:r>
        <w:rPr>
          <w:b/>
          <w:bCs/>
        </w:rPr>
        <w:t xml:space="preserve">press</w:t>
      </w:r>
      <w:r>
        <w:t xml:space="preserve"> is a quick tap. A </w:t>
      </w:r>
      <w:r>
        <w:rPr>
          <w:b/>
          <w:bCs/>
        </w:rPr>
        <w:t xml:space="preserve">hold</w:t>
      </w:r>
      <w:r>
        <w:t xml:space="preserve"> is about half a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shd w:fill="EDEBFA" w:val="clear"/>
            <w:tcMar>
              <w:top w:type="dxa" w:w="80"/>
              <w:left w:type="dxa" w:w="120"/>
              <w:bottom w:type="dxa" w:w="80"/>
              <w:right w:type="dxa" w:w="120"/>
            </w:tcMar>
          </w:tcPr>
          <w:p>
            <w:pPr>
              <w:spacing w:after="0"/>
            </w:pPr>
            <w:r>
              <w:rPr>
                <w:b/>
                <w:bCs/>
              </w:rPr>
              <w:t xml:space="preserve"/>
            </w:r>
          </w:p>
        </w:tc>
        <w:tc>
          <w:tcPr>
            <w:tcW w:type="dxa" w:w="3013"/>
            <w:shd w:fill="EDEBFA" w:val="clear"/>
            <w:tcMar>
              <w:top w:type="dxa" w:w="80"/>
              <w:left w:type="dxa" w:w="120"/>
              <w:bottom w:type="dxa" w:w="80"/>
              <w:right w:type="dxa" w:w="120"/>
            </w:tcMar>
          </w:tcPr>
          <w:p>
            <w:pPr>
              <w:spacing w:after="0"/>
            </w:pPr>
            <w:r>
              <w:rPr>
                <w:b/>
                <w:bCs/>
              </w:rPr>
              <w:t xml:space="preserve">Button 1</w:t>
            </w:r>
          </w:p>
        </w:tc>
        <w:tc>
          <w:tcPr>
            <w:tcW w:type="dxa" w:w="3013"/>
            <w:shd w:fill="EDEBFA" w:val="clear"/>
            <w:tcMar>
              <w:top w:type="dxa" w:w="80"/>
              <w:left w:type="dxa" w:w="120"/>
              <w:bottom w:type="dxa" w:w="80"/>
              <w:right w:type="dxa" w:w="120"/>
            </w:tcMar>
          </w:tcPr>
          <w:p>
            <w:pPr>
              <w:spacing w:after="0"/>
            </w:pPr>
            <w:r>
              <w:rPr>
                <w:b/>
                <w:bCs/>
              </w:rPr>
              <w:t xml:space="preserve">Button 2</w:t>
            </w:r>
          </w:p>
        </w:tc>
      </w:tr>
      <w:tr>
        <w:trPr>
          <w:tblHeader w:val="false"/>
        </w:trPr>
        <w:tc>
          <w:tcPr>
            <w:tcW w:type="dxa" w:w="3000"/>
            <w:tcMar>
              <w:top w:type="dxa" w:w="80"/>
              <w:left w:type="dxa" w:w="120"/>
              <w:bottom w:type="dxa" w:w="80"/>
              <w:right w:type="dxa" w:w="120"/>
            </w:tcMar>
          </w:tcPr>
          <w:p>
            <w:pPr>
              <w:spacing w:after="0"/>
            </w:pPr>
            <w:r>
              <w:rPr>
                <w:b/>
                <w:bCs/>
              </w:rPr>
              <w:t xml:space="preserve">Press</w:t>
            </w:r>
          </w:p>
        </w:tc>
        <w:tc>
          <w:tcPr>
            <w:tcW w:type="dxa" w:w="3013"/>
            <w:tcMar>
              <w:top w:type="dxa" w:w="80"/>
              <w:left w:type="dxa" w:w="120"/>
              <w:bottom w:type="dxa" w:w="80"/>
              <w:right w:type="dxa" w:w="120"/>
            </w:tcMar>
          </w:tcPr>
          <w:p>
            <w:pPr>
              <w:spacing w:after="0"/>
            </w:pPr>
            <w:r>
              <w:rPr>
                <w:b w:val="false"/>
                <w:bCs w:val="false"/>
              </w:rPr>
              <w:t xml:space="preserve">Previous page</w:t>
            </w:r>
          </w:p>
        </w:tc>
        <w:tc>
          <w:tcPr>
            <w:tcW w:type="dxa" w:w="3013"/>
            <w:tcMar>
              <w:top w:type="dxa" w:w="80"/>
              <w:left w:type="dxa" w:w="120"/>
              <w:bottom w:type="dxa" w:w="80"/>
              <w:right w:type="dxa" w:w="120"/>
            </w:tcMar>
          </w:tcPr>
          <w:p>
            <w:pPr>
              <w:spacing w:after="0"/>
            </w:pPr>
            <w:r>
              <w:rPr>
                <w:b w:val="false"/>
                <w:bCs w:val="false"/>
              </w:rPr>
              <w:t xml:space="preserve">Next page</w:t>
            </w:r>
          </w:p>
        </w:tc>
      </w:tr>
      <w:tr>
        <w:trPr>
          <w:tblHeader w:val="false"/>
        </w:trPr>
        <w:tc>
          <w:tcPr>
            <w:tcW w:type="dxa" w:w="3000"/>
            <w:tcMar>
              <w:top w:type="dxa" w:w="80"/>
              <w:left w:type="dxa" w:w="120"/>
              <w:bottom w:type="dxa" w:w="80"/>
              <w:right w:type="dxa" w:w="120"/>
            </w:tcMar>
          </w:tcPr>
          <w:p>
            <w:pPr>
              <w:spacing w:after="0"/>
            </w:pPr>
            <w:r>
              <w:rPr>
                <w:b/>
                <w:bCs/>
              </w:rPr>
              <w:t xml:space="preserve">Hold</w:t>
            </w:r>
          </w:p>
        </w:tc>
        <w:tc>
          <w:tcPr>
            <w:tcW w:type="dxa" w:w="3013"/>
            <w:tcMar>
              <w:top w:type="dxa" w:w="80"/>
              <w:left w:type="dxa" w:w="120"/>
              <w:bottom w:type="dxa" w:w="80"/>
              <w:right w:type="dxa" w:w="120"/>
            </w:tcMar>
          </w:tcPr>
          <w:p>
            <w:pPr>
              <w:spacing w:after="0"/>
            </w:pPr>
            <w:r>
              <w:rPr>
                <w:b w:val="false"/>
                <w:bCs w:val="false"/>
              </w:rPr>
              <w:t xml:space="preserve">Go to Home</w:t>
            </w:r>
          </w:p>
        </w:tc>
        <w:tc>
          <w:tcPr>
            <w:tcW w:type="dxa" w:w="3013"/>
            <w:tcMar>
              <w:top w:type="dxa" w:w="80"/>
              <w:left w:type="dxa" w:w="120"/>
              <w:bottom w:type="dxa" w:w="80"/>
              <w:right w:type="dxa" w:w="120"/>
            </w:tcMar>
          </w:tcPr>
          <w:p>
            <w:pPr>
              <w:spacing w:after="0"/>
            </w:pPr>
            <w:r>
              <w:rPr>
                <w:b w:val="false"/>
                <w:bCs w:val="false"/>
              </w:rPr>
              <w:t xml:space="preserve">Open Quick Menu</w:t>
            </w:r>
          </w:p>
        </w:tc>
      </w:tr>
    </w:tbl>
    <w:p>
      <w:pPr>
        <w:pStyle w:val="Heading2"/>
        <w:spacing w:after="120" w:before="240"/>
      </w:pPr>
      <w:r>
        <w:rPr>
          <w:b/>
          <w:bCs/>
          <w:sz w:val="24"/>
          <w:szCs w:val="24"/>
        </w:rPr>
        <w:t xml:space="preserve">In the Quick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shd w:fill="EDEBFA" w:val="clear"/>
            <w:tcMar>
              <w:top w:type="dxa" w:w="80"/>
              <w:left w:type="dxa" w:w="120"/>
              <w:bottom w:type="dxa" w:w="80"/>
              <w:right w:type="dxa" w:w="120"/>
            </w:tcMar>
          </w:tcPr>
          <w:p>
            <w:pPr>
              <w:spacing w:after="0"/>
            </w:pPr>
            <w:r>
              <w:rPr>
                <w:b/>
                <w:bCs/>
              </w:rPr>
              <w:t xml:space="preserve">Action</w:t>
            </w:r>
          </w:p>
        </w:tc>
        <w:tc>
          <w:tcPr>
            <w:tcW w:type="dxa" w:w="5013"/>
            <w:shd w:fill="EDEBFA" w:val="clear"/>
            <w:tcMar>
              <w:top w:type="dxa" w:w="80"/>
              <w:left w:type="dxa" w:w="120"/>
              <w:bottom w:type="dxa" w:w="80"/>
              <w:right w:type="dxa" w:w="120"/>
            </w:tcMar>
          </w:tcPr>
          <w:p>
            <w:pPr>
              <w:spacing w:after="0"/>
            </w:pPr>
            <w:r>
              <w:rPr>
                <w:b/>
                <w:bCs/>
              </w:rPr>
              <w:t xml:space="preserve">Result</w:t>
            </w:r>
          </w:p>
        </w:tc>
      </w:tr>
      <w:tr>
        <w:trPr>
          <w:tblHeader w:val="false"/>
        </w:trPr>
        <w:tc>
          <w:tcPr>
            <w:tcW w:type="dxa" w:w="4013"/>
            <w:tcMar>
              <w:top w:type="dxa" w:w="80"/>
              <w:left w:type="dxa" w:w="120"/>
              <w:bottom w:type="dxa" w:w="80"/>
              <w:right w:type="dxa" w:w="120"/>
            </w:tcMar>
          </w:tcPr>
          <w:p>
            <w:pPr>
              <w:spacing w:after="0"/>
            </w:pPr>
            <w:r>
              <w:rPr>
                <w:b/>
                <w:bCs/>
              </w:rPr>
              <w:t xml:space="preserve">Press Button 1 / Button 2</w:t>
            </w:r>
          </w:p>
        </w:tc>
        <w:tc>
          <w:tcPr>
            <w:tcW w:type="dxa" w:w="5013"/>
            <w:tcMar>
              <w:top w:type="dxa" w:w="80"/>
              <w:left w:type="dxa" w:w="120"/>
              <w:bottom w:type="dxa" w:w="80"/>
              <w:right w:type="dxa" w:w="120"/>
            </w:tcMar>
          </w:tcPr>
          <w:p>
            <w:pPr>
              <w:spacing w:after="0"/>
            </w:pPr>
            <w:r>
              <w:rPr>
                <w:b w:val="false"/>
                <w:bCs w:val="false"/>
              </w:rPr>
              <w:t xml:space="preserve">Move the highlight up / down</w:t>
            </w:r>
          </w:p>
        </w:tc>
      </w:tr>
      <w:tr>
        <w:trPr>
          <w:tblHeader w:val="false"/>
        </w:trPr>
        <w:tc>
          <w:tcPr>
            <w:tcW w:type="dxa" w:w="4013"/>
            <w:tcMar>
              <w:top w:type="dxa" w:w="80"/>
              <w:left w:type="dxa" w:w="120"/>
              <w:bottom w:type="dxa" w:w="80"/>
              <w:right w:type="dxa" w:w="120"/>
            </w:tcMar>
          </w:tcPr>
          <w:p>
            <w:pPr>
              <w:spacing w:after="0"/>
            </w:pPr>
            <w:r>
              <w:rPr>
                <w:b/>
                <w:bCs/>
              </w:rPr>
              <w:t xml:space="preserve">Hold Button 2</w:t>
            </w:r>
          </w:p>
        </w:tc>
        <w:tc>
          <w:tcPr>
            <w:tcW w:type="dxa" w:w="5013"/>
            <w:tcMar>
              <w:top w:type="dxa" w:w="80"/>
              <w:left w:type="dxa" w:w="120"/>
              <w:bottom w:type="dxa" w:w="80"/>
              <w:right w:type="dxa" w:w="120"/>
            </w:tcMar>
          </w:tcPr>
          <w:p>
            <w:pPr>
              <w:spacing w:after="0"/>
            </w:pPr>
            <w:r>
              <w:rPr>
                <w:b w:val="false"/>
                <w:bCs w:val="false"/>
              </w:rPr>
              <w:t xml:space="preserve">Confirm the highlighted option</w:t>
            </w:r>
          </w:p>
        </w:tc>
      </w:tr>
      <w:tr>
        <w:trPr>
          <w:tblHeader w:val="false"/>
        </w:trPr>
        <w:tc>
          <w:tcPr>
            <w:tcW w:type="dxa" w:w="4013"/>
            <w:tcMar>
              <w:top w:type="dxa" w:w="80"/>
              <w:left w:type="dxa" w:w="120"/>
              <w:bottom w:type="dxa" w:w="80"/>
              <w:right w:type="dxa" w:w="120"/>
            </w:tcMar>
          </w:tcPr>
          <w:p>
            <w:pPr>
              <w:spacing w:after="0"/>
            </w:pPr>
            <w:r>
              <w:rPr>
                <w:b/>
                <w:bCs/>
              </w:rPr>
              <w:t xml:space="preserve">Hold Button 1</w:t>
            </w:r>
          </w:p>
        </w:tc>
        <w:tc>
          <w:tcPr>
            <w:tcW w:type="dxa" w:w="5013"/>
            <w:tcMar>
              <w:top w:type="dxa" w:w="80"/>
              <w:left w:type="dxa" w:w="120"/>
              <w:bottom w:type="dxa" w:w="80"/>
              <w:right w:type="dxa" w:w="120"/>
            </w:tcMar>
          </w:tcPr>
          <w:p>
            <w:pPr>
              <w:spacing w:after="0"/>
            </w:pPr>
            <w:r>
              <w:rPr>
                <w:b w:val="false"/>
                <w:bCs w:val="false"/>
              </w:rPr>
              <w:t xml:space="preserve">Cancel and close the menu</w:t>
            </w:r>
          </w:p>
        </w:tc>
      </w:tr>
    </w:tbl>
    <w:p>
      <w:pPr>
        <w:spacing w:after="120"/>
      </w:pPr>
      <w:r>
        <w:t xml:space="preserve">Options: </w:t>
      </w:r>
      <w:r>
        <w:rPr>
          <w:b/>
          <w:bCs/>
        </w:rPr>
        <w:t xml:space="preserve">Reset Statistics</w:t>
      </w:r>
      <w:r>
        <w:t xml:space="preserve">, </w:t>
      </w:r>
      <w:r>
        <w:rPr>
          <w:b/>
          <w:bCs/>
        </w:rPr>
        <w:t xml:space="preserve">Wi-Fi Setup</w:t>
      </w:r>
      <w:r>
        <w:t xml:space="preserve">, </w:t>
      </w:r>
      <w:r>
        <w:rPr>
          <w:b/>
          <w:bCs/>
        </w:rPr>
        <w:t xml:space="preserve">Go to Home</w:t>
      </w:r>
      <w:r>
        <w:t xml:space="preserve">, </w:t>
      </w:r>
      <w:r>
        <w:rPr>
          <w:b/>
          <w:bCs/>
        </w:rPr>
        <w:t xml:space="preserve">Close Menu</w:t>
      </w:r>
      <w:r>
        <w:t xml:space="preserve">.</w:t>
      </w:r>
    </w:p>
    <w:p>
      <w:pPr>
        <w:pStyle w:val="Heading1"/>
        <w:spacing w:after="160" w:before="320"/>
      </w:pPr>
      <w:r>
        <w:rPr>
          <w:b/>
          <w:bCs/>
          <w:color w:val="5B4FD6"/>
          <w:sz w:val="30"/>
          <w:szCs w:val="30"/>
        </w:rPr>
        <w:t xml:space="preserve">The Seven Pages</w:t>
      </w:r>
    </w:p>
    <w:p>
      <w:pPr>
        <w:spacing w:after="120"/>
      </w:pPr>
      <w:r>
        <w:t xml:space="preserve">Button 2 steps through them in this order and loops back to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tblHeader/>
        </w:trPr>
        <w:tc>
          <w:tcPr>
            <w:tcW w:type="dxa" w:w="700"/>
            <w:shd w:fill="EDEBFA" w:val="clear"/>
            <w:tcMar>
              <w:top w:type="dxa" w:w="80"/>
              <w:left w:type="dxa" w:w="120"/>
              <w:bottom w:type="dxa" w:w="80"/>
              <w:right w:type="dxa" w:w="120"/>
            </w:tcMar>
          </w:tcPr>
          <w:p>
            <w:pPr>
              <w:spacing w:after="0"/>
            </w:pPr>
            <w:r>
              <w:rPr>
                <w:b/>
                <w:bCs/>
              </w:rPr>
              <w:t xml:space="preserve">#</w:t>
            </w:r>
          </w:p>
        </w:tc>
        <w:tc>
          <w:tcPr>
            <w:tcW w:type="dxa" w:w="2400"/>
            <w:shd w:fill="EDEBFA" w:val="clear"/>
            <w:tcMar>
              <w:top w:type="dxa" w:w="80"/>
              <w:left w:type="dxa" w:w="120"/>
              <w:bottom w:type="dxa" w:w="80"/>
              <w:right w:type="dxa" w:w="120"/>
            </w:tcMar>
          </w:tcPr>
          <w:p>
            <w:pPr>
              <w:spacing w:after="0"/>
            </w:pPr>
            <w:r>
              <w:rPr>
                <w:b/>
                <w:bCs/>
              </w:rPr>
              <w:t xml:space="preserve">Page</w:t>
            </w:r>
          </w:p>
        </w:tc>
        <w:tc>
          <w:tcPr>
            <w:tcW w:type="dxa" w:w="5926"/>
            <w:shd w:fill="EDEBFA" w:val="clear"/>
            <w:tcMar>
              <w:top w:type="dxa" w:w="80"/>
              <w:left w:type="dxa" w:w="120"/>
              <w:bottom w:type="dxa" w:w="80"/>
              <w:right w:type="dxa" w:w="120"/>
            </w:tcMar>
          </w:tcPr>
          <w:p>
            <w:pPr>
              <w:spacing w:after="0"/>
            </w:pPr>
            <w:r>
              <w:rPr>
                <w:b/>
                <w:bCs/>
              </w:rPr>
              <w:t xml:space="preserve">What you see</w:t>
            </w:r>
          </w:p>
        </w:tc>
      </w:tr>
      <w:tr>
        <w:trPr>
          <w:tblHeader w:val="false"/>
        </w:trPr>
        <w:tc>
          <w:tcPr>
            <w:tcW w:type="dxa" w:w="700"/>
            <w:tcMar>
              <w:top w:type="dxa" w:w="80"/>
              <w:left w:type="dxa" w:w="120"/>
              <w:bottom w:type="dxa" w:w="80"/>
              <w:right w:type="dxa" w:w="120"/>
            </w:tcMar>
          </w:tcPr>
          <w:p>
            <w:pPr>
              <w:spacing w:after="0"/>
            </w:pPr>
            <w:r>
              <w:rPr>
                <w:b/>
                <w:bCs/>
              </w:rPr>
              <w:t xml:space="preserve">1</w:t>
            </w:r>
          </w:p>
        </w:tc>
        <w:tc>
          <w:tcPr>
            <w:tcW w:type="dxa" w:w="2400"/>
            <w:tcMar>
              <w:top w:type="dxa" w:w="80"/>
              <w:left w:type="dxa" w:w="120"/>
              <w:bottom w:type="dxa" w:w="80"/>
              <w:right w:type="dxa" w:w="120"/>
            </w:tcMar>
          </w:tcPr>
          <w:p>
            <w:pPr>
              <w:spacing w:after="0"/>
            </w:pPr>
            <w:r>
              <w:rPr>
                <w:b w:val="false"/>
                <w:bCs w:val="false"/>
              </w:rPr>
              <w:t xml:space="preserve">Home</w:t>
            </w:r>
          </w:p>
        </w:tc>
        <w:tc>
          <w:tcPr>
            <w:tcW w:type="dxa" w:w="5926"/>
            <w:tcMar>
              <w:top w:type="dxa" w:w="80"/>
              <w:left w:type="dxa" w:w="120"/>
              <w:bottom w:type="dxa" w:w="80"/>
              <w:right w:type="dxa" w:w="120"/>
            </w:tcMar>
          </w:tcPr>
          <w:p>
            <w:pPr>
              <w:spacing w:after="0"/>
            </w:pPr>
            <w:r>
              <w:rPr>
                <w:b w:val="false"/>
                <w:bCs w:val="false"/>
              </w:rPr>
              <w:t xml:space="preserve">Large AQI number and category, plus PM1.0, PM2.5 and PM10 cards and a gas readout along the bottom. The bar under Gas fills up as the level rises.</w:t>
            </w:r>
          </w:p>
        </w:tc>
      </w:tr>
      <w:tr>
        <w:trPr>
          <w:tblHeader w:val="false"/>
        </w:trPr>
        <w:tc>
          <w:tcPr>
            <w:tcW w:type="dxa" w:w="700"/>
            <w:tcMar>
              <w:top w:type="dxa" w:w="80"/>
              <w:left w:type="dxa" w:w="120"/>
              <w:bottom w:type="dxa" w:w="80"/>
              <w:right w:type="dxa" w:w="120"/>
            </w:tcMar>
          </w:tcPr>
          <w:p>
            <w:pPr>
              <w:spacing w:after="0"/>
            </w:pPr>
            <w:r>
              <w:rPr>
                <w:b/>
                <w:bCs/>
              </w:rPr>
              <w:t xml:space="preserve">2</w:t>
            </w:r>
          </w:p>
        </w:tc>
        <w:tc>
          <w:tcPr>
            <w:tcW w:type="dxa" w:w="2400"/>
            <w:tcMar>
              <w:top w:type="dxa" w:w="80"/>
              <w:left w:type="dxa" w:w="120"/>
              <w:bottom w:type="dxa" w:w="80"/>
              <w:right w:type="dxa" w:w="120"/>
            </w:tcMar>
          </w:tcPr>
          <w:p>
            <w:pPr>
              <w:spacing w:after="0"/>
            </w:pPr>
            <w:r>
              <w:rPr>
                <w:b w:val="false"/>
                <w:bCs w:val="false"/>
              </w:rPr>
              <w:t xml:space="preserve">Air Quality</w:t>
            </w:r>
          </w:p>
        </w:tc>
        <w:tc>
          <w:tcPr>
            <w:tcW w:type="dxa" w:w="5926"/>
            <w:tcMar>
              <w:top w:type="dxa" w:w="80"/>
              <w:left w:type="dxa" w:w="120"/>
              <w:bottom w:type="dxa" w:w="80"/>
              <w:right w:type="dxa" w:w="120"/>
            </w:tcMar>
          </w:tcPr>
          <w:p>
            <w:pPr>
              <w:spacing w:after="0"/>
            </w:pPr>
            <w:r>
              <w:rPr>
                <w:b w:val="false"/>
                <w:bCs w:val="false"/>
              </w:rPr>
              <w:t xml:space="preserve">The three PM readings with bars, and a trend symbol: + rising (red), – falling (green), = steady.</w:t>
            </w:r>
          </w:p>
        </w:tc>
      </w:tr>
      <w:tr>
        <w:trPr>
          <w:tblHeader w:val="false"/>
        </w:trPr>
        <w:tc>
          <w:tcPr>
            <w:tcW w:type="dxa" w:w="700"/>
            <w:tcMar>
              <w:top w:type="dxa" w:w="80"/>
              <w:left w:type="dxa" w:w="120"/>
              <w:bottom w:type="dxa" w:w="80"/>
              <w:right w:type="dxa" w:w="120"/>
            </w:tcMar>
          </w:tcPr>
          <w:p>
            <w:pPr>
              <w:spacing w:after="0"/>
            </w:pPr>
            <w:r>
              <w:rPr>
                <w:b/>
                <w:bCs/>
              </w:rPr>
              <w:t xml:space="preserve">3</w:t>
            </w:r>
          </w:p>
        </w:tc>
        <w:tc>
          <w:tcPr>
            <w:tcW w:type="dxa" w:w="2400"/>
            <w:tcMar>
              <w:top w:type="dxa" w:w="80"/>
              <w:left w:type="dxa" w:w="120"/>
              <w:bottom w:type="dxa" w:w="80"/>
              <w:right w:type="dxa" w:w="120"/>
            </w:tcMar>
          </w:tcPr>
          <w:p>
            <w:pPr>
              <w:spacing w:after="0"/>
            </w:pPr>
            <w:r>
              <w:rPr>
                <w:b w:val="false"/>
                <w:bCs w:val="false"/>
              </w:rPr>
              <w:t xml:space="preserve">Gas Monitoring</w:t>
            </w:r>
          </w:p>
        </w:tc>
        <w:tc>
          <w:tcPr>
            <w:tcW w:type="dxa" w:w="5926"/>
            <w:tcMar>
              <w:top w:type="dxa" w:w="80"/>
              <w:left w:type="dxa" w:w="120"/>
              <w:bottom w:type="dxa" w:w="80"/>
              <w:right w:type="dxa" w:w="120"/>
            </w:tcMar>
          </w:tcPr>
          <w:p>
            <w:pPr>
              <w:spacing w:after="0"/>
            </w:pPr>
            <w:r>
              <w:rPr>
                <w:b w:val="false"/>
                <w:bCs w:val="false"/>
              </w:rPr>
              <w:t xml:space="preserve">MQ-2 with a colour gauge and a status word: LOW, MEDIUM, HIGH or DANGER. Below it, the highest reading seen this session.</w:t>
            </w:r>
          </w:p>
        </w:tc>
      </w:tr>
      <w:tr>
        <w:trPr>
          <w:tblHeader w:val="false"/>
        </w:trPr>
        <w:tc>
          <w:tcPr>
            <w:tcW w:type="dxa" w:w="700"/>
            <w:tcMar>
              <w:top w:type="dxa" w:w="80"/>
              <w:left w:type="dxa" w:w="120"/>
              <w:bottom w:type="dxa" w:w="80"/>
              <w:right w:type="dxa" w:w="120"/>
            </w:tcMar>
          </w:tcPr>
          <w:p>
            <w:pPr>
              <w:spacing w:after="0"/>
            </w:pPr>
            <w:r>
              <w:rPr>
                <w:b/>
                <w:bCs/>
              </w:rPr>
              <w:t xml:space="preserve">4</w:t>
            </w:r>
          </w:p>
        </w:tc>
        <w:tc>
          <w:tcPr>
            <w:tcW w:type="dxa" w:w="2400"/>
            <w:tcMar>
              <w:top w:type="dxa" w:w="80"/>
              <w:left w:type="dxa" w:w="120"/>
              <w:bottom w:type="dxa" w:w="80"/>
              <w:right w:type="dxa" w:w="120"/>
            </w:tcMar>
          </w:tcPr>
          <w:p>
            <w:pPr>
              <w:spacing w:after="0"/>
            </w:pPr>
            <w:r>
              <w:rPr>
                <w:b w:val="false"/>
                <w:bCs w:val="false"/>
              </w:rPr>
              <w:t xml:space="preserve">Sensor Dashboard</w:t>
            </w:r>
          </w:p>
        </w:tc>
        <w:tc>
          <w:tcPr>
            <w:tcW w:type="dxa" w:w="5926"/>
            <w:tcMar>
              <w:top w:type="dxa" w:w="80"/>
              <w:left w:type="dxa" w:w="120"/>
              <w:bottom w:type="dxa" w:w="80"/>
              <w:right w:type="dxa" w:w="120"/>
            </w:tcMar>
          </w:tcPr>
          <w:p>
            <w:pPr>
              <w:spacing w:after="0"/>
            </w:pPr>
            <w:r>
              <w:rPr>
                <w:b w:val="false"/>
                <w:bCs w:val="false"/>
              </w:rPr>
              <w:t xml:space="preserve">All four sensor values in a 2×2 grid. The pulsing teal dot means the device is actively reading.</w:t>
            </w:r>
          </w:p>
        </w:tc>
      </w:tr>
      <w:tr>
        <w:trPr>
          <w:tblHeader w:val="false"/>
        </w:trPr>
        <w:tc>
          <w:tcPr>
            <w:tcW w:type="dxa" w:w="700"/>
            <w:tcMar>
              <w:top w:type="dxa" w:w="80"/>
              <w:left w:type="dxa" w:w="120"/>
              <w:bottom w:type="dxa" w:w="80"/>
              <w:right w:type="dxa" w:w="120"/>
            </w:tcMar>
          </w:tcPr>
          <w:p>
            <w:pPr>
              <w:spacing w:after="0"/>
            </w:pPr>
            <w:r>
              <w:rPr>
                <w:b/>
                <w:bCs/>
              </w:rPr>
              <w:t xml:space="preserve">5</w:t>
            </w:r>
          </w:p>
        </w:tc>
        <w:tc>
          <w:tcPr>
            <w:tcW w:type="dxa" w:w="2400"/>
            <w:tcMar>
              <w:top w:type="dxa" w:w="80"/>
              <w:left w:type="dxa" w:w="120"/>
              <w:bottom w:type="dxa" w:w="80"/>
              <w:right w:type="dxa" w:w="120"/>
            </w:tcMar>
          </w:tcPr>
          <w:p>
            <w:pPr>
              <w:spacing w:after="0"/>
            </w:pPr>
            <w:r>
              <w:rPr>
                <w:b w:val="false"/>
                <w:bCs w:val="false"/>
              </w:rPr>
              <w:t xml:space="preserve">System Status</w:t>
            </w:r>
          </w:p>
        </w:tc>
        <w:tc>
          <w:tcPr>
            <w:tcW w:type="dxa" w:w="5926"/>
            <w:tcMar>
              <w:top w:type="dxa" w:w="80"/>
              <w:left w:type="dxa" w:w="120"/>
              <w:bottom w:type="dxa" w:w="80"/>
              <w:right w:type="dxa" w:w="120"/>
            </w:tcMar>
          </w:tcPr>
          <w:p>
            <w:pPr>
              <w:spacing w:after="0"/>
            </w:pPr>
            <w:r>
              <w:rPr>
                <w:b w:val="false"/>
                <w:bCs w:val="false"/>
              </w:rPr>
              <w:t xml:space="preserve">Sensor health, gas warm-up state, free memory and uptime.</w:t>
            </w:r>
          </w:p>
        </w:tc>
      </w:tr>
      <w:tr>
        <w:trPr>
          <w:tblHeader w:val="false"/>
        </w:trPr>
        <w:tc>
          <w:tcPr>
            <w:tcW w:type="dxa" w:w="700"/>
            <w:tcMar>
              <w:top w:type="dxa" w:w="80"/>
              <w:left w:type="dxa" w:w="120"/>
              <w:bottom w:type="dxa" w:w="80"/>
              <w:right w:type="dxa" w:w="120"/>
            </w:tcMar>
          </w:tcPr>
          <w:p>
            <w:pPr>
              <w:spacing w:after="0"/>
            </w:pPr>
            <w:r>
              <w:rPr>
                <w:b/>
                <w:bCs/>
              </w:rPr>
              <w:t xml:space="preserve">6</w:t>
            </w:r>
          </w:p>
        </w:tc>
        <w:tc>
          <w:tcPr>
            <w:tcW w:type="dxa" w:w="2400"/>
            <w:tcMar>
              <w:top w:type="dxa" w:w="80"/>
              <w:left w:type="dxa" w:w="120"/>
              <w:bottom w:type="dxa" w:w="80"/>
              <w:right w:type="dxa" w:w="120"/>
            </w:tcMar>
          </w:tcPr>
          <w:p>
            <w:pPr>
              <w:spacing w:after="0"/>
            </w:pPr>
            <w:r>
              <w:rPr>
                <w:b w:val="false"/>
                <w:bCs w:val="false"/>
              </w:rPr>
              <w:t xml:space="preserve">History Graphs</w:t>
            </w:r>
          </w:p>
        </w:tc>
        <w:tc>
          <w:tcPr>
            <w:tcW w:type="dxa" w:w="5926"/>
            <w:tcMar>
              <w:top w:type="dxa" w:w="80"/>
              <w:left w:type="dxa" w:w="120"/>
              <w:bottom w:type="dxa" w:w="80"/>
              <w:right w:type="dxa" w:w="120"/>
            </w:tcMar>
          </w:tcPr>
          <w:p>
            <w:pPr>
              <w:spacing w:after="0"/>
            </w:pPr>
            <w:r>
              <w:rPr>
                <w:b w:val="false"/>
                <w:bCs w:val="false"/>
              </w:rPr>
              <w:t xml:space="preserve">The last two minutes of PM1.0, PM2.5, PM10 and Gas as line graphs.</w:t>
            </w:r>
          </w:p>
        </w:tc>
      </w:tr>
      <w:tr>
        <w:trPr>
          <w:tblHeader w:val="false"/>
        </w:trPr>
        <w:tc>
          <w:tcPr>
            <w:tcW w:type="dxa" w:w="700"/>
            <w:tcMar>
              <w:top w:type="dxa" w:w="80"/>
              <w:left w:type="dxa" w:w="120"/>
              <w:bottom w:type="dxa" w:w="80"/>
              <w:right w:type="dxa" w:w="120"/>
            </w:tcMar>
          </w:tcPr>
          <w:p>
            <w:pPr>
              <w:spacing w:after="0"/>
            </w:pPr>
            <w:r>
              <w:rPr>
                <w:b/>
                <w:bCs/>
              </w:rPr>
              <w:t xml:space="preserve">7</w:t>
            </w:r>
          </w:p>
        </w:tc>
        <w:tc>
          <w:tcPr>
            <w:tcW w:type="dxa" w:w="2400"/>
            <w:tcMar>
              <w:top w:type="dxa" w:w="80"/>
              <w:left w:type="dxa" w:w="120"/>
              <w:bottom w:type="dxa" w:w="80"/>
              <w:right w:type="dxa" w:w="120"/>
            </w:tcMar>
          </w:tcPr>
          <w:p>
            <w:pPr>
              <w:spacing w:after="0"/>
            </w:pPr>
            <w:r>
              <w:rPr>
                <w:b w:val="false"/>
                <w:bCs w:val="false"/>
              </w:rPr>
              <w:t xml:space="preserve">Statistics</w:t>
            </w:r>
          </w:p>
        </w:tc>
        <w:tc>
          <w:tcPr>
            <w:tcW w:type="dxa" w:w="5926"/>
            <w:tcMar>
              <w:top w:type="dxa" w:w="80"/>
              <w:left w:type="dxa" w:w="120"/>
              <w:bottom w:type="dxa" w:w="80"/>
              <w:right w:type="dxa" w:w="120"/>
            </w:tcMar>
          </w:tcPr>
          <w:p>
            <w:pPr>
              <w:spacing w:after="0"/>
            </w:pPr>
            <w:r>
              <w:rPr>
                <w:b w:val="false"/>
                <w:bCs w:val="false"/>
              </w:rPr>
              <w:t xml:space="preserve">Min, average and max for PM2.5, PM10 and MQ2. Clear them with Reset Statistics.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1FB" w:val="clear"/>
            <w:tcMar>
              <w:top w:type="dxa" w:w="120"/>
              <w:left w:type="dxa" w:w="160"/>
              <w:bottom w:type="dxa" w:w="120"/>
              <w:right w:type="dxa" w:w="160"/>
            </w:tcMar>
          </w:tcPr>
          <w:p>
            <w:pPr>
              <w:spacing w:after="0"/>
            </w:pPr>
            <w:r>
              <w:rPr>
                <w:b/>
                <w:bCs/>
                <w:color w:val="5B4FD6"/>
              </w:rPr>
              <w:t xml:space="preserve">Note: </w:t>
            </w:r>
            <w:r>
              <w:t xml:space="preserve">Statistics start recording at power-on, so the MQ2 Max figure includes the high warm-up readings. Use Reset Statistics after warm-up for a meaningful gas number.</w:t>
            </w:r>
          </w:p>
        </w:tc>
      </w:tr>
    </w:tbl>
    <w:p>
      <w:pPr>
        <w:pStyle w:val="Heading1"/>
        <w:spacing w:after="160" w:before="320"/>
      </w:pPr>
      <w:r>
        <w:rPr>
          <w:b/>
          <w:bCs/>
          <w:color w:val="5B4FD6"/>
          <w:sz w:val="30"/>
          <w:szCs w:val="30"/>
        </w:rPr>
        <w:t xml:space="preserve">Understanding the AQI</w:t>
      </w:r>
    </w:p>
    <w:p>
      <w:pPr>
        <w:spacing w:after="120"/>
      </w:pPr>
      <w:r>
        <w:t xml:space="preserve">AQI turns the particle readings into one number from 0 to 500 — higher is always worse. AeroSense uses the standard US EPA scale, the same one used by weather apps, so the number is directly comparable.</w:t>
      </w:r>
    </w:p>
    <w:p>
      <w:pPr>
        <w:spacing w:after="120"/>
      </w:pPr>
      <w:r>
        <w:t xml:space="preserve">It calculates an index from PM2.5 and another from PM10, then shows </w:t>
      </w:r>
      <w:r>
        <w:rPr>
          <w:b/>
          <w:bCs/>
        </w:rPr>
        <w:t xml:space="preserve">the worse of the two</w:t>
      </w:r>
      <w:r>
        <w:t xml:space="preserve">. The gas sensor is not included, because its reading is relative rather than a measured concentration.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shd w:fill="EDEBFA" w:val="clear"/>
            <w:tcMar>
              <w:top w:type="dxa" w:w="80"/>
              <w:left w:type="dxa" w:w="120"/>
              <w:bottom w:type="dxa" w:w="80"/>
              <w:right w:type="dxa" w:w="120"/>
            </w:tcMar>
          </w:tcPr>
          <w:p>
            <w:pPr>
              <w:spacing w:after="0"/>
            </w:pPr>
            <w:r>
              <w:rPr>
                <w:b/>
                <w:bCs/>
              </w:rPr>
              <w:t xml:space="preserve">AQI</w:t>
            </w:r>
          </w:p>
        </w:tc>
        <w:tc>
          <w:tcPr>
            <w:tcW w:type="dxa" w:w="2200"/>
            <w:shd w:fill="EDEBFA" w:val="clear"/>
            <w:tcMar>
              <w:top w:type="dxa" w:w="80"/>
              <w:left w:type="dxa" w:w="120"/>
              <w:bottom w:type="dxa" w:w="80"/>
              <w:right w:type="dxa" w:w="120"/>
            </w:tcMar>
          </w:tcPr>
          <w:p>
            <w:pPr>
              <w:spacing w:after="0"/>
            </w:pPr>
            <w:r>
              <w:rPr>
                <w:b/>
                <w:bCs/>
              </w:rPr>
              <w:t xml:space="preserve">Shows</w:t>
            </w:r>
          </w:p>
        </w:tc>
        <w:tc>
          <w:tcPr>
            <w:tcW w:type="dxa" w:w="5026"/>
            <w:shd w:fill="EDEBFA" w:val="clear"/>
            <w:tcMar>
              <w:top w:type="dxa" w:w="80"/>
              <w:left w:type="dxa" w:w="120"/>
              <w:bottom w:type="dxa" w:w="80"/>
              <w:right w:type="dxa" w:w="120"/>
            </w:tcMar>
          </w:tcPr>
          <w:p>
            <w:pPr>
              <w:spacing w:after="0"/>
            </w:pPr>
            <w:r>
              <w:rPr>
                <w:b/>
                <w:bCs/>
              </w:rPr>
              <w:t xml:space="preserve">What it means and what to do</w:t>
            </w:r>
          </w:p>
        </w:tc>
      </w:tr>
      <w:tr>
        <w:trPr>
          <w:tblHeader w:val="false"/>
        </w:trPr>
        <w:tc>
          <w:tcPr>
            <w:tcW w:type="dxa" w:w="1800"/>
            <w:tcMar>
              <w:top w:type="dxa" w:w="80"/>
              <w:left w:type="dxa" w:w="120"/>
              <w:bottom w:type="dxa" w:w="80"/>
              <w:right w:type="dxa" w:w="120"/>
            </w:tcMar>
          </w:tcPr>
          <w:p>
            <w:pPr>
              <w:spacing w:after="0"/>
            </w:pPr>
            <w:r>
              <w:rPr>
                <w:b/>
                <w:bCs/>
              </w:rPr>
              <w:t xml:space="preserve">0–50</w:t>
            </w:r>
          </w:p>
        </w:tc>
        <w:tc>
          <w:tcPr>
            <w:tcW w:type="dxa" w:w="2200"/>
            <w:tcMar>
              <w:top w:type="dxa" w:w="80"/>
              <w:left w:type="dxa" w:w="120"/>
              <w:bottom w:type="dxa" w:w="80"/>
              <w:right w:type="dxa" w:w="120"/>
            </w:tcMar>
          </w:tcPr>
          <w:p>
            <w:pPr>
              <w:spacing w:after="0"/>
            </w:pPr>
            <w:r>
              <w:rPr>
                <w:b w:val="false"/>
                <w:bCs w:val="false"/>
              </w:rPr>
              <w:t xml:space="preserve">GOOD</w:t>
            </w:r>
          </w:p>
        </w:tc>
        <w:tc>
          <w:tcPr>
            <w:tcW w:type="dxa" w:w="5026"/>
            <w:tcMar>
              <w:top w:type="dxa" w:w="80"/>
              <w:left w:type="dxa" w:w="120"/>
              <w:bottom w:type="dxa" w:w="80"/>
              <w:right w:type="dxa" w:w="120"/>
            </w:tcMar>
          </w:tcPr>
          <w:p>
            <w:pPr>
              <w:spacing w:after="0"/>
            </w:pPr>
            <w:r>
              <w:rPr>
                <w:b w:val="false"/>
                <w:bCs w:val="false"/>
              </w:rPr>
              <w:t xml:space="preserve">Air is fine. No action.</w:t>
            </w:r>
          </w:p>
        </w:tc>
      </w:tr>
      <w:tr>
        <w:trPr>
          <w:tblHeader w:val="false"/>
        </w:trPr>
        <w:tc>
          <w:tcPr>
            <w:tcW w:type="dxa" w:w="1800"/>
            <w:tcMar>
              <w:top w:type="dxa" w:w="80"/>
              <w:left w:type="dxa" w:w="120"/>
              <w:bottom w:type="dxa" w:w="80"/>
              <w:right w:type="dxa" w:w="120"/>
            </w:tcMar>
          </w:tcPr>
          <w:p>
            <w:pPr>
              <w:spacing w:after="0"/>
            </w:pPr>
            <w:r>
              <w:rPr>
                <w:b/>
                <w:bCs/>
              </w:rPr>
              <w:t xml:space="preserve">51–100</w:t>
            </w:r>
          </w:p>
        </w:tc>
        <w:tc>
          <w:tcPr>
            <w:tcW w:type="dxa" w:w="2200"/>
            <w:tcMar>
              <w:top w:type="dxa" w:w="80"/>
              <w:left w:type="dxa" w:w="120"/>
              <w:bottom w:type="dxa" w:w="80"/>
              <w:right w:type="dxa" w:w="120"/>
            </w:tcMar>
          </w:tcPr>
          <w:p>
            <w:pPr>
              <w:spacing w:after="0"/>
            </w:pPr>
            <w:r>
              <w:rPr>
                <w:b w:val="false"/>
                <w:bCs w:val="false"/>
              </w:rPr>
              <w:t xml:space="preserve">MODERATE</w:t>
            </w:r>
          </w:p>
        </w:tc>
        <w:tc>
          <w:tcPr>
            <w:tcW w:type="dxa" w:w="5026"/>
            <w:tcMar>
              <w:top w:type="dxa" w:w="80"/>
              <w:left w:type="dxa" w:w="120"/>
              <w:bottom w:type="dxa" w:w="80"/>
              <w:right w:type="dxa" w:w="120"/>
            </w:tcMar>
          </w:tcPr>
          <w:p>
            <w:pPr>
              <w:spacing w:after="0"/>
            </w:pPr>
            <w:r>
              <w:rPr>
                <w:b w:val="false"/>
                <w:bCs w:val="false"/>
              </w:rPr>
              <w:t xml:space="preserve">Acceptable. Very sensitive people may notice.</w:t>
            </w:r>
          </w:p>
        </w:tc>
      </w:tr>
      <w:tr>
        <w:trPr>
          <w:tblHeader w:val="false"/>
        </w:trPr>
        <w:tc>
          <w:tcPr>
            <w:tcW w:type="dxa" w:w="1800"/>
            <w:tcMar>
              <w:top w:type="dxa" w:w="80"/>
              <w:left w:type="dxa" w:w="120"/>
              <w:bottom w:type="dxa" w:w="80"/>
              <w:right w:type="dxa" w:w="120"/>
            </w:tcMar>
          </w:tcPr>
          <w:p>
            <w:pPr>
              <w:spacing w:after="0"/>
            </w:pPr>
            <w:r>
              <w:rPr>
                <w:b/>
                <w:bCs/>
              </w:rPr>
              <w:t xml:space="preserve">101–150</w:t>
            </w:r>
          </w:p>
        </w:tc>
        <w:tc>
          <w:tcPr>
            <w:tcW w:type="dxa" w:w="2200"/>
            <w:tcMar>
              <w:top w:type="dxa" w:w="80"/>
              <w:left w:type="dxa" w:w="120"/>
              <w:bottom w:type="dxa" w:w="80"/>
              <w:right w:type="dxa" w:w="120"/>
            </w:tcMar>
          </w:tcPr>
          <w:p>
            <w:pPr>
              <w:spacing w:after="0"/>
            </w:pPr>
            <w:r>
              <w:rPr>
                <w:b w:val="false"/>
                <w:bCs w:val="false"/>
              </w:rPr>
              <w:t xml:space="preserve">SENSITIVE</w:t>
            </w:r>
          </w:p>
        </w:tc>
        <w:tc>
          <w:tcPr>
            <w:tcW w:type="dxa" w:w="5026"/>
            <w:tcMar>
              <w:top w:type="dxa" w:w="80"/>
              <w:left w:type="dxa" w:w="120"/>
              <w:bottom w:type="dxa" w:w="80"/>
              <w:right w:type="dxa" w:w="120"/>
            </w:tcMar>
          </w:tcPr>
          <w:p>
            <w:pPr>
              <w:spacing w:after="0"/>
            </w:pPr>
            <w:r>
              <w:rPr>
                <w:b w:val="false"/>
                <w:bCs w:val="false"/>
              </w:rPr>
              <w:t xml:space="preserve">Unhealthy for children, older adults, asthma and heart conditions. Ventilate or filter.</w:t>
            </w:r>
          </w:p>
        </w:tc>
      </w:tr>
      <w:tr>
        <w:trPr>
          <w:tblHeader w:val="false"/>
        </w:trPr>
        <w:tc>
          <w:tcPr>
            <w:tcW w:type="dxa" w:w="1800"/>
            <w:tcMar>
              <w:top w:type="dxa" w:w="80"/>
              <w:left w:type="dxa" w:w="120"/>
              <w:bottom w:type="dxa" w:w="80"/>
              <w:right w:type="dxa" w:w="120"/>
            </w:tcMar>
          </w:tcPr>
          <w:p>
            <w:pPr>
              <w:spacing w:after="0"/>
            </w:pPr>
            <w:r>
              <w:rPr>
                <w:b/>
                <w:bCs/>
              </w:rPr>
              <w:t xml:space="preserve">151–200</w:t>
            </w:r>
          </w:p>
        </w:tc>
        <w:tc>
          <w:tcPr>
            <w:tcW w:type="dxa" w:w="2200"/>
            <w:tcMar>
              <w:top w:type="dxa" w:w="80"/>
              <w:left w:type="dxa" w:w="120"/>
              <w:bottom w:type="dxa" w:w="80"/>
              <w:right w:type="dxa" w:w="120"/>
            </w:tcMar>
          </w:tcPr>
          <w:p>
            <w:pPr>
              <w:spacing w:after="0"/>
            </w:pPr>
            <w:r>
              <w:rPr>
                <w:b w:val="false"/>
                <w:bCs w:val="false"/>
              </w:rPr>
              <w:t xml:space="preserve">UNHEALTHY</w:t>
            </w:r>
          </w:p>
        </w:tc>
        <w:tc>
          <w:tcPr>
            <w:tcW w:type="dxa" w:w="5026"/>
            <w:tcMar>
              <w:top w:type="dxa" w:w="80"/>
              <w:left w:type="dxa" w:w="120"/>
              <w:bottom w:type="dxa" w:w="80"/>
              <w:right w:type="dxa" w:w="120"/>
            </w:tcMar>
          </w:tcPr>
          <w:p>
            <w:pPr>
              <w:spacing w:after="0"/>
            </w:pPr>
            <w:r>
              <w:rPr>
                <w:b w:val="false"/>
                <w:bCs w:val="false"/>
              </w:rPr>
              <w:t xml:space="preserve">Everyone may feel effects. Reduce activity, ventilate or run a purifier.</w:t>
            </w:r>
          </w:p>
        </w:tc>
      </w:tr>
      <w:tr>
        <w:trPr>
          <w:tblHeader w:val="false"/>
        </w:trPr>
        <w:tc>
          <w:tcPr>
            <w:tcW w:type="dxa" w:w="1800"/>
            <w:tcMar>
              <w:top w:type="dxa" w:w="80"/>
              <w:left w:type="dxa" w:w="120"/>
              <w:bottom w:type="dxa" w:w="80"/>
              <w:right w:type="dxa" w:w="120"/>
            </w:tcMar>
          </w:tcPr>
          <w:p>
            <w:pPr>
              <w:spacing w:after="0"/>
            </w:pPr>
            <w:r>
              <w:rPr>
                <w:b/>
                <w:bCs/>
              </w:rPr>
              <w:t xml:space="preserve">201–300</w:t>
            </w:r>
          </w:p>
        </w:tc>
        <w:tc>
          <w:tcPr>
            <w:tcW w:type="dxa" w:w="2200"/>
            <w:tcMar>
              <w:top w:type="dxa" w:w="80"/>
              <w:left w:type="dxa" w:w="120"/>
              <w:bottom w:type="dxa" w:w="80"/>
              <w:right w:type="dxa" w:w="120"/>
            </w:tcMar>
          </w:tcPr>
          <w:p>
            <w:pPr>
              <w:spacing w:after="0"/>
            </w:pPr>
            <w:r>
              <w:rPr>
                <w:b w:val="false"/>
                <w:bCs w:val="false"/>
              </w:rPr>
              <w:t xml:space="preserve">V.UNHEALTHY</w:t>
            </w:r>
          </w:p>
        </w:tc>
        <w:tc>
          <w:tcPr>
            <w:tcW w:type="dxa" w:w="5026"/>
            <w:tcMar>
              <w:top w:type="dxa" w:w="80"/>
              <w:left w:type="dxa" w:w="120"/>
              <w:bottom w:type="dxa" w:w="80"/>
              <w:right w:type="dxa" w:w="120"/>
            </w:tcMar>
          </w:tcPr>
          <w:p>
            <w:pPr>
              <w:spacing w:after="0"/>
            </w:pPr>
            <w:r>
              <w:rPr>
                <w:b w:val="false"/>
                <w:bCs w:val="false"/>
              </w:rPr>
              <w:t xml:space="preserve">Health warnings for everyone. Avoid exertion, act on the source.</w:t>
            </w:r>
          </w:p>
        </w:tc>
      </w:tr>
      <w:tr>
        <w:trPr>
          <w:tblHeader w:val="false"/>
        </w:trPr>
        <w:tc>
          <w:tcPr>
            <w:tcW w:type="dxa" w:w="1800"/>
            <w:tcMar>
              <w:top w:type="dxa" w:w="80"/>
              <w:left w:type="dxa" w:w="120"/>
              <w:bottom w:type="dxa" w:w="80"/>
              <w:right w:type="dxa" w:w="120"/>
            </w:tcMar>
          </w:tcPr>
          <w:p>
            <w:pPr>
              <w:spacing w:after="0"/>
            </w:pPr>
            <w:r>
              <w:rPr>
                <w:b/>
                <w:bCs/>
              </w:rPr>
              <w:t xml:space="preserve">301–500</w:t>
            </w:r>
          </w:p>
        </w:tc>
        <w:tc>
          <w:tcPr>
            <w:tcW w:type="dxa" w:w="2200"/>
            <w:tcMar>
              <w:top w:type="dxa" w:w="80"/>
              <w:left w:type="dxa" w:w="120"/>
              <w:bottom w:type="dxa" w:w="80"/>
              <w:right w:type="dxa" w:w="120"/>
            </w:tcMar>
          </w:tcPr>
          <w:p>
            <w:pPr>
              <w:spacing w:after="0"/>
            </w:pPr>
            <w:r>
              <w:rPr>
                <w:b w:val="false"/>
                <w:bCs w:val="false"/>
              </w:rPr>
              <w:t xml:space="preserve">HAZARDOUS</w:t>
            </w:r>
          </w:p>
        </w:tc>
        <w:tc>
          <w:tcPr>
            <w:tcW w:type="dxa" w:w="5026"/>
            <w:tcMar>
              <w:top w:type="dxa" w:w="80"/>
              <w:left w:type="dxa" w:w="120"/>
              <w:bottom w:type="dxa" w:w="80"/>
              <w:right w:type="dxa" w:w="120"/>
            </w:tcMar>
          </w:tcPr>
          <w:p>
            <w:pPr>
              <w:spacing w:after="0"/>
            </w:pPr>
            <w:r>
              <w:rPr>
                <w:b w:val="false"/>
                <w:bCs w:val="false"/>
              </w:rPr>
              <w:t xml:space="preserve">Emergency conditions. Leave the area if you can.</w:t>
            </w:r>
          </w:p>
        </w:tc>
      </w:tr>
      <w:tr>
        <w:trPr>
          <w:tblHeader w:val="false"/>
        </w:trPr>
        <w:tc>
          <w:tcPr>
            <w:tcW w:type="dxa" w:w="1800"/>
            <w:tcMar>
              <w:top w:type="dxa" w:w="80"/>
              <w:left w:type="dxa" w:w="120"/>
              <w:bottom w:type="dxa" w:w="80"/>
              <w:right w:type="dxa" w:w="120"/>
            </w:tcMar>
          </w:tcPr>
          <w:p>
            <w:pPr>
              <w:spacing w:after="0"/>
            </w:pPr>
            <w:r>
              <w:rPr>
                <w:b/>
                <w:bCs/>
              </w:rPr>
              <w:t xml:space="preserve">—</w:t>
            </w:r>
          </w:p>
        </w:tc>
        <w:tc>
          <w:tcPr>
            <w:tcW w:type="dxa" w:w="2200"/>
            <w:tcMar>
              <w:top w:type="dxa" w:w="80"/>
              <w:left w:type="dxa" w:w="120"/>
              <w:bottom w:type="dxa" w:w="80"/>
              <w:right w:type="dxa" w:w="120"/>
            </w:tcMar>
          </w:tcPr>
          <w:p>
            <w:pPr>
              <w:spacing w:after="0"/>
            </w:pPr>
            <w:r>
              <w:rPr>
                <w:b w:val="false"/>
                <w:bCs w:val="false"/>
              </w:rPr>
              <w:t xml:space="preserve">- - - / NO DATA</w:t>
            </w:r>
          </w:p>
        </w:tc>
        <w:tc>
          <w:tcPr>
            <w:tcW w:type="dxa" w:w="5026"/>
            <w:tcMar>
              <w:top w:type="dxa" w:w="80"/>
              <w:left w:type="dxa" w:w="120"/>
              <w:bottom w:type="dxa" w:w="80"/>
              <w:right w:type="dxa" w:w="120"/>
            </w:tcMar>
          </w:tcPr>
          <w:p>
            <w:pPr>
              <w:spacing w:after="0"/>
            </w:pPr>
            <w:r>
              <w:rPr>
                <w:b w:val="false"/>
                <w:bCs w:val="false"/>
              </w:rPr>
              <w:t xml:space="preserve">The particle sensor is not reporting yet. Normal for the first few seconds.</w:t>
            </w:r>
          </w:p>
        </w:tc>
      </w:tr>
    </w:tbl>
    <w:p>
      <w:pPr>
        <w:pStyle w:val="Heading1"/>
        <w:spacing w:after="160" w:before="320"/>
      </w:pPr>
      <w:r>
        <w:rPr>
          <w:b/>
          <w:bCs/>
          <w:color w:val="5B4FD6"/>
          <w:sz w:val="30"/>
          <w:szCs w:val="30"/>
        </w:rPr>
        <w:t xml:space="preserve">Warnings</w:t>
      </w:r>
    </w:p>
    <w:p>
      <w:pPr>
        <w:spacing w:after="120"/>
      </w:pPr>
      <w:r>
        <w:t xml:space="preserve">A banner interrupts the screen for about 3 seconds, then clears itself. Nothing to dismiss. </w:t>
      </w:r>
      <w:r>
        <w:rPr>
          <w:b/>
          <w:bCs/>
        </w:rPr>
        <w:t xml:space="preserve">If a warning keeps coming back, the condition is still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DEBFA" w:val="clear"/>
            <w:tcMar>
              <w:top w:type="dxa" w:w="80"/>
              <w:left w:type="dxa" w:w="120"/>
              <w:bottom w:type="dxa" w:w="80"/>
              <w:right w:type="dxa" w:w="120"/>
            </w:tcMar>
          </w:tcPr>
          <w:p>
            <w:pPr>
              <w:spacing w:after="0"/>
            </w:pPr>
            <w:r>
              <w:rPr>
                <w:b/>
                <w:bCs/>
              </w:rPr>
              <w:t xml:space="preserve">Banner</w:t>
            </w:r>
          </w:p>
        </w:tc>
        <w:tc>
          <w:tcPr>
            <w:tcW w:type="dxa" w:w="6026"/>
            <w:shd w:fill="EDEBFA" w:val="clear"/>
            <w:tcMar>
              <w:top w:type="dxa" w:w="80"/>
              <w:left w:type="dxa" w:w="120"/>
              <w:bottom w:type="dxa" w:w="80"/>
              <w:right w:type="dxa" w:w="120"/>
            </w:tcMar>
          </w:tcPr>
          <w:p>
            <w:pPr>
              <w:spacing w:after="0"/>
            </w:pPr>
            <w:r>
              <w:rPr>
                <w:b/>
                <w:bCs/>
              </w:rPr>
              <w:t xml:space="preserve">What to do</w:t>
            </w:r>
          </w:p>
        </w:tc>
      </w:tr>
      <w:tr>
        <w:trPr>
          <w:tblHeader w:val="false"/>
        </w:trPr>
        <w:tc>
          <w:tcPr>
            <w:tcW w:type="dxa" w:w="3000"/>
            <w:tcMar>
              <w:top w:type="dxa" w:w="80"/>
              <w:left w:type="dxa" w:w="120"/>
              <w:bottom w:type="dxa" w:w="80"/>
              <w:right w:type="dxa" w:w="120"/>
            </w:tcMar>
          </w:tcPr>
          <w:p>
            <w:pPr>
              <w:spacing w:after="0"/>
            </w:pPr>
            <w:r>
              <w:rPr>
                <w:b/>
                <w:bCs/>
              </w:rPr>
              <w:t xml:space="preserve">Smoke Detected!</w:t>
            </w:r>
          </w:p>
        </w:tc>
        <w:tc>
          <w:tcPr>
            <w:tcW w:type="dxa" w:w="6026"/>
            <w:tcMar>
              <w:top w:type="dxa" w:w="80"/>
              <w:left w:type="dxa" w:w="120"/>
              <w:bottom w:type="dxa" w:w="80"/>
              <w:right w:type="dxa" w:w="120"/>
            </w:tcMar>
          </w:tcPr>
          <w:p>
            <w:pPr>
              <w:spacing w:after="0"/>
            </w:pPr>
            <w:r>
              <w:rPr>
                <w:b w:val="false"/>
                <w:bCs w:val="false"/>
              </w:rPr>
              <w:t xml:space="preserve">Ventilate. Check for a gas leak, unattended cooking or burning. Leave the room if the cause is not obvious.</w:t>
            </w:r>
          </w:p>
        </w:tc>
      </w:tr>
      <w:tr>
        <w:trPr>
          <w:tblHeader w:val="false"/>
        </w:trPr>
        <w:tc>
          <w:tcPr>
            <w:tcW w:type="dxa" w:w="3000"/>
            <w:tcMar>
              <w:top w:type="dxa" w:w="80"/>
              <w:left w:type="dxa" w:w="120"/>
              <w:bottom w:type="dxa" w:w="80"/>
              <w:right w:type="dxa" w:w="120"/>
            </w:tcMar>
          </w:tcPr>
          <w:p>
            <w:pPr>
              <w:spacing w:after="0"/>
            </w:pPr>
            <w:r>
              <w:rPr>
                <w:b/>
                <w:bCs/>
              </w:rPr>
              <w:t xml:space="preserve">Poor Air Quality</w:t>
            </w:r>
          </w:p>
        </w:tc>
        <w:tc>
          <w:tcPr>
            <w:tcW w:type="dxa" w:w="6026"/>
            <w:tcMar>
              <w:top w:type="dxa" w:w="80"/>
              <w:left w:type="dxa" w:w="120"/>
              <w:bottom w:type="dxa" w:w="80"/>
              <w:right w:type="dxa" w:w="120"/>
            </w:tcMar>
          </w:tcPr>
          <w:p>
            <w:pPr>
              <w:spacing w:after="0"/>
            </w:pPr>
            <w:r>
              <w:rPr>
                <w:b w:val="false"/>
                <w:bCs w:val="false"/>
              </w:rPr>
              <w:t xml:space="preserve">Ventilate or filter the air. Look for a source such as cooking, smoke or dust.</w:t>
            </w:r>
          </w:p>
        </w:tc>
      </w:tr>
    </w:tbl>
    <w:p>
      <w:pPr>
        <w:spacing w:after="120"/>
      </w:pPr>
      <w:r>
        <w:t xml:space="preserve">Gas warnings are off during the first 60 seconds after power-on.</w:t>
      </w:r>
    </w:p>
    <w:p>
      <w:pPr>
        <w:pStyle w:val="Heading1"/>
        <w:spacing w:after="160" w:before="320"/>
      </w:pPr>
      <w:r>
        <w:rPr>
          <w:b/>
          <w:bCs/>
          <w:color w:val="5B4FD6"/>
          <w:sz w:val="30"/>
          <w:szCs w:val="30"/>
        </w:rPr>
        <w:t xml:space="preserve">Wi-Fi and Cloud Sync</w:t>
      </w:r>
    </w:p>
    <w:p>
      <w:pPr>
        <w:spacing w:after="120"/>
      </w:pPr>
      <w:r>
        <w:t xml:space="preserve">This is optional. A unit with no Wi-Fi details stored never switches its radio on and sends nothing — it is a standalone monitor, and it shows no connection indicator.</w:t>
      </w:r>
    </w:p>
    <w:p>
      <w:pPr>
        <w:spacing w:after="120"/>
      </w:pPr>
      <w:r>
        <w:t xml:space="preserve">When Wi-Fi is set up, AeroSense uploads its current readings every 5 seconds to a private Google Firebase database, and adds a history record once a minute. It sends the particulate and gas readings, the AQI and its category, its uptime and signal strength, and a timestamp — nothing else. Only the single account the device signs in with can read or write that data.</w:t>
      </w:r>
    </w:p>
    <w:p>
      <w:pPr>
        <w:spacing w:after="120"/>
      </w:pPr>
      <w:r>
        <w:t xml:space="preserve">The small four-bar meter at the top right shows how it is getting on. The bars are the Wi-Fi signal strength. The colour is the sync state: green means readings are reaching the database, amber means it is still connecting or signing in, red means uploads are failing, and grey means there is no network.</w:t>
      </w:r>
    </w:p>
    <w:p>
      <w:pPr>
        <w:spacing w:after="120"/>
      </w:pPr>
      <w:r>
        <w:t xml:space="preserve">To put AeroSense on a network, hold Button 2 to open the Quick Menu and choose Wi-Fi Setup. The monitor raises its own network, AeroSense-Setup, with the password shown on the screen. Join it from a phone and a page opens listing the networks in range: tap one, type its password, and the monitor connects and remembers it. Sync trouble never affects the readings on screen.</w:t>
      </w:r>
    </w:p>
    <w:p>
      <w:pPr>
        <w:pStyle w:val="Heading1"/>
        <w:spacing w:after="160" w:before="320"/>
      </w:pPr>
      <w:r>
        <w:rPr>
          <w:b/>
          <w:bCs/>
          <w:color w:val="5B4FD6"/>
          <w:sz w:val="30"/>
          <w:szCs w:val="30"/>
        </w:rPr>
        <w:t xml:space="preserve">If Something Looks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DEBFA" w:val="clear"/>
            <w:tcMar>
              <w:top w:type="dxa" w:w="80"/>
              <w:left w:type="dxa" w:w="120"/>
              <w:bottom w:type="dxa" w:w="80"/>
              <w:right w:type="dxa" w:w="120"/>
            </w:tcMar>
          </w:tcPr>
          <w:p>
            <w:pPr>
              <w:spacing w:after="0"/>
            </w:pPr>
            <w:r>
              <w:rPr>
                <w:b/>
                <w:bCs/>
              </w:rPr>
              <w:t xml:space="preserve">Symptom</w:t>
            </w:r>
          </w:p>
        </w:tc>
        <w:tc>
          <w:tcPr>
            <w:tcW w:type="dxa" w:w="5626"/>
            <w:shd w:fill="EDEBFA" w:val="clear"/>
            <w:tcMar>
              <w:top w:type="dxa" w:w="80"/>
              <w:left w:type="dxa" w:w="120"/>
              <w:bottom w:type="dxa" w:w="80"/>
              <w:right w:type="dxa" w:w="120"/>
            </w:tcMar>
          </w:tcPr>
          <w:p>
            <w:pPr>
              <w:spacing w:after="0"/>
            </w:pPr>
            <w:r>
              <w:rPr>
                <w:b/>
                <w:bCs/>
              </w:rPr>
              <w:t xml:space="preserve">What to do</w:t>
            </w:r>
          </w:p>
        </w:tc>
      </w:tr>
      <w:tr>
        <w:trPr>
          <w:tblHeader w:val="false"/>
        </w:trPr>
        <w:tc>
          <w:tcPr>
            <w:tcW w:type="dxa" w:w="3400"/>
            <w:tcMar>
              <w:top w:type="dxa" w:w="80"/>
              <w:left w:type="dxa" w:w="120"/>
              <w:bottom w:type="dxa" w:w="80"/>
              <w:right w:type="dxa" w:w="120"/>
            </w:tcMar>
          </w:tcPr>
          <w:p>
            <w:pPr>
              <w:spacing w:after="0"/>
            </w:pPr>
            <w:r>
              <w:rPr>
                <w:b/>
                <w:bCs/>
              </w:rPr>
              <w:t xml:space="preserve">Blank screen</w:t>
            </w:r>
          </w:p>
        </w:tc>
        <w:tc>
          <w:tcPr>
            <w:tcW w:type="dxa" w:w="5626"/>
            <w:tcMar>
              <w:top w:type="dxa" w:w="80"/>
              <w:left w:type="dxa" w:w="120"/>
              <w:bottom w:type="dxa" w:w="80"/>
              <w:right w:type="dxa" w:w="120"/>
            </w:tcMar>
          </w:tcPr>
          <w:p>
            <w:pPr>
              <w:spacing w:after="0"/>
            </w:pPr>
            <w:r>
              <w:rPr>
                <w:b w:val="false"/>
                <w:bCs w:val="false"/>
              </w:rPr>
              <w:t xml:space="preserve">Check the USB cable and power supply. Charge-only cables are a common culprit.</w:t>
            </w:r>
          </w:p>
        </w:tc>
      </w:tr>
      <w:tr>
        <w:trPr>
          <w:tblHeader w:val="false"/>
        </w:trPr>
        <w:tc>
          <w:tcPr>
            <w:tcW w:type="dxa" w:w="3400"/>
            <w:tcMar>
              <w:top w:type="dxa" w:w="80"/>
              <w:left w:type="dxa" w:w="120"/>
              <w:bottom w:type="dxa" w:w="80"/>
              <w:right w:type="dxa" w:w="120"/>
            </w:tcMar>
          </w:tcPr>
          <w:p>
            <w:pPr>
              <w:spacing w:after="0"/>
            </w:pPr>
            <w:r>
              <w:rPr>
                <w:b/>
                <w:bCs/>
              </w:rPr>
              <w:t xml:space="preserve">Gas reading very high just after switch-on</w:t>
            </w:r>
          </w:p>
        </w:tc>
        <w:tc>
          <w:tcPr>
            <w:tcW w:type="dxa" w:w="5626"/>
            <w:tcMar>
              <w:top w:type="dxa" w:w="80"/>
              <w:left w:type="dxa" w:w="120"/>
              <w:bottom w:type="dxa" w:w="80"/>
              <w:right w:type="dxa" w:w="120"/>
            </w:tcMar>
          </w:tcPr>
          <w:p>
            <w:pPr>
              <w:spacing w:after="0"/>
            </w:pPr>
            <w:r>
              <w:rPr>
                <w:b w:val="false"/>
                <w:bCs w:val="false"/>
              </w:rPr>
              <w:t xml:space="preserve">Normal warm-up. Wait for the countdown.</w:t>
            </w:r>
          </w:p>
        </w:tc>
      </w:tr>
      <w:tr>
        <w:trPr>
          <w:tblHeader w:val="false"/>
        </w:trPr>
        <w:tc>
          <w:tcPr>
            <w:tcW w:type="dxa" w:w="3400"/>
            <w:tcMar>
              <w:top w:type="dxa" w:w="80"/>
              <w:left w:type="dxa" w:w="120"/>
              <w:bottom w:type="dxa" w:w="80"/>
              <w:right w:type="dxa" w:w="120"/>
            </w:tcMar>
          </w:tcPr>
          <w:p>
            <w:pPr>
              <w:spacing w:after="0"/>
            </w:pPr>
            <w:r>
              <w:rPr>
                <w:b/>
                <w:bCs/>
              </w:rPr>
              <w:t xml:space="preserve">Gas still high long after warm-up</w:t>
            </w:r>
          </w:p>
        </w:tc>
        <w:tc>
          <w:tcPr>
            <w:tcW w:type="dxa" w:w="5626"/>
            <w:tcMar>
              <w:top w:type="dxa" w:w="80"/>
              <w:left w:type="dxa" w:w="120"/>
              <w:bottom w:type="dxa" w:w="80"/>
              <w:right w:type="dxa" w:w="120"/>
            </w:tcMar>
          </w:tcPr>
          <w:p>
            <w:pPr>
              <w:spacing w:after="0"/>
            </w:pPr>
            <w:r>
              <w:rPr>
                <w:b w:val="false"/>
                <w:bCs w:val="false"/>
              </w:rPr>
              <w:t xml:space="preserve">Ventilate and watch it. If it stays high, leave the device powered on for a few hours — these sensors settle further with use.</w:t>
            </w:r>
          </w:p>
        </w:tc>
      </w:tr>
      <w:tr>
        <w:trPr>
          <w:tblHeader w:val="false"/>
        </w:trPr>
        <w:tc>
          <w:tcPr>
            <w:tcW w:type="dxa" w:w="3400"/>
            <w:tcMar>
              <w:top w:type="dxa" w:w="80"/>
              <w:left w:type="dxa" w:w="120"/>
              <w:bottom w:type="dxa" w:w="80"/>
              <w:right w:type="dxa" w:w="120"/>
            </w:tcMar>
          </w:tcPr>
          <w:p>
            <w:pPr>
              <w:spacing w:after="0"/>
            </w:pPr>
            <w:r>
              <w:rPr>
                <w:b/>
                <w:bCs/>
              </w:rPr>
              <w:t xml:space="preserve">AQI stuck on - - -</w:t>
            </w:r>
          </w:p>
        </w:tc>
        <w:tc>
          <w:tcPr>
            <w:tcW w:type="dxa" w:w="5626"/>
            <w:tcMar>
              <w:top w:type="dxa" w:w="80"/>
              <w:left w:type="dxa" w:w="120"/>
              <w:bottom w:type="dxa" w:w="80"/>
              <w:right w:type="dxa" w:w="120"/>
            </w:tcMar>
          </w:tcPr>
          <w:p>
            <w:pPr>
              <w:spacing w:after="0"/>
            </w:pPr>
            <w:r>
              <w:rPr>
                <w:b w:val="false"/>
                <w:bCs w:val="false"/>
              </w:rPr>
              <w:t xml:space="preserve">Check System Status. If PMS5003 shows NO SIGNAL, check the sensor connection and that its fan is running, then power off and on.</w:t>
            </w:r>
          </w:p>
        </w:tc>
      </w:tr>
      <w:tr>
        <w:trPr>
          <w:tblHeader w:val="false"/>
        </w:trPr>
        <w:tc>
          <w:tcPr>
            <w:tcW w:type="dxa" w:w="3400"/>
            <w:tcMar>
              <w:top w:type="dxa" w:w="80"/>
              <w:left w:type="dxa" w:w="120"/>
              <w:bottom w:type="dxa" w:w="80"/>
              <w:right w:type="dxa" w:w="120"/>
            </w:tcMar>
          </w:tcPr>
          <w:p>
            <w:pPr>
              <w:spacing w:after="0"/>
            </w:pPr>
            <w:r>
              <w:rPr>
                <w:b/>
                <w:bCs/>
              </w:rPr>
              <w:t xml:space="preserve">Screen frozen, teal dot not pulsing</w:t>
            </w:r>
          </w:p>
        </w:tc>
        <w:tc>
          <w:tcPr>
            <w:tcW w:type="dxa" w:w="5626"/>
            <w:tcMar>
              <w:top w:type="dxa" w:w="80"/>
              <w:left w:type="dxa" w:w="120"/>
              <w:bottom w:type="dxa" w:w="80"/>
              <w:right w:type="dxa" w:w="120"/>
            </w:tcMar>
          </w:tcPr>
          <w:p>
            <w:pPr>
              <w:spacing w:after="0"/>
            </w:pPr>
            <w:r>
              <w:rPr>
                <w:b w:val="false"/>
                <w:bCs w:val="false"/>
              </w:rPr>
              <w:t xml:space="preserve">Unplug power, wait five seconds, plug back in.</w:t>
            </w:r>
          </w:p>
        </w:tc>
      </w:tr>
      <w:tr>
        <w:trPr>
          <w:tblHeader w:val="false"/>
        </w:trPr>
        <w:tc>
          <w:tcPr>
            <w:tcW w:type="dxa" w:w="3400"/>
            <w:tcMar>
              <w:top w:type="dxa" w:w="80"/>
              <w:left w:type="dxa" w:w="120"/>
              <w:bottom w:type="dxa" w:w="80"/>
              <w:right w:type="dxa" w:w="120"/>
            </w:tcMar>
          </w:tcPr>
          <w:p>
            <w:pPr>
              <w:spacing w:after="0"/>
            </w:pPr>
            <w:r>
              <w:rPr>
                <w:b/>
                <w:bCs/>
              </w:rPr>
              <w:t xml:space="preserve">Buttons seem unresponsive</w:t>
            </w:r>
          </w:p>
        </w:tc>
        <w:tc>
          <w:tcPr>
            <w:tcW w:type="dxa" w:w="5626"/>
            <w:tcMar>
              <w:top w:type="dxa" w:w="80"/>
              <w:left w:type="dxa" w:w="120"/>
              <w:bottom w:type="dxa" w:w="80"/>
              <w:right w:type="dxa" w:w="120"/>
            </w:tcMar>
          </w:tcPr>
          <w:p>
            <w:pPr>
              <w:spacing w:after="0"/>
            </w:pPr>
            <w:r>
              <w:rPr>
                <w:b w:val="false"/>
                <w:bCs w:val="false"/>
              </w:rPr>
              <w:t xml:space="preserve">A warning banner holds the page for about 3 seconds. Wait for it to clear.</w:t>
            </w:r>
          </w:p>
        </w:tc>
      </w:tr>
    </w:tbl>
    <w:p>
      <w:pPr>
        <w:pStyle w:val="Heading1"/>
        <w:spacing w:after="160" w:before="320"/>
      </w:pPr>
      <w:r>
        <w:rPr>
          <w:b/>
          <w:bCs/>
          <w:color w:val="5B4FD6"/>
          <w:sz w:val="30"/>
          <w:szCs w:val="30"/>
        </w:rPr>
        <w:t xml:space="preserve">Safety and Care</w:t>
      </w:r>
    </w:p>
    <w:p>
      <w:pPr>
        <w:pStyle w:val="ListParagraph"/>
        <w:numPr>
          <w:ilvl w:val="0"/>
          <w:numId w:val="1"/>
        </w:numPr>
        <w:spacing w:after="100"/>
      </w:pPr>
      <w:r>
        <w:t xml:space="preserve">Indoors only. Keep dry and away from steam, direct sunlight and heat.</w:t>
      </w:r>
    </w:p>
    <w:p>
      <w:pPr>
        <w:pStyle w:val="ListParagraph"/>
        <w:numPr>
          <w:ilvl w:val="0"/>
          <w:numId w:val="1"/>
        </w:numPr>
        <w:spacing w:after="100"/>
      </w:pPr>
      <w:r>
        <w:t xml:space="preserve">Do not cover the device or block its air intake.</w:t>
      </w:r>
    </w:p>
    <w:p>
      <w:pPr>
        <w:pStyle w:val="ListParagraph"/>
        <w:numPr>
          <w:ilvl w:val="0"/>
          <w:numId w:val="1"/>
        </w:numPr>
        <w:spacing w:after="100"/>
      </w:pPr>
      <w:r>
        <w:t xml:space="preserve">Clean with a dry cloth only. Do not open the enclosure.</w:t>
      </w:r>
    </w:p>
    <w:p>
      <w:pPr>
        <w:pStyle w:val="ListParagraph"/>
        <w:numPr>
          <w:ilvl w:val="0"/>
          <w:numId w:val="1"/>
        </w:numPr>
        <w:spacing w:after="100"/>
      </w:pPr>
      <w:r>
        <w:t xml:space="preserve">For steadier gas readings, leave it powered on continuously.</w:t>
      </w:r>
    </w:p>
    <w:p>
      <w:pPr>
        <w:spacing w:after="120"/>
      </w:pPr>
      <w:r>
        <w:rPr>
          <w:b/>
          <w:bCs/>
        </w:rPr>
        <w:t xml:space="preserve">Please read the following before relying on this device.</w:t>
      </w:r>
    </w:p>
    <w:p>
      <w:pPr>
        <w:pStyle w:val="ListParagraph"/>
        <w:numPr>
          <w:ilvl w:val="0"/>
          <w:numId w:val="1"/>
        </w:numPr>
        <w:spacing w:after="100"/>
      </w:pPr>
      <w:r>
        <w:rPr>
          <w:b/>
          <w:bCs/>
        </w:rPr>
        <w:t xml:space="preserve">AeroSense is an indicative instrument, not a certified safety device.</w:t>
      </w:r>
      <w:r>
        <w:t xml:space="preserve"> It is not a substitute for an approved smoke alarm, CO alarm or gas detector, and must not be used as one. Fit approved alarms as your local regulations require.</w:t>
      </w:r>
    </w:p>
    <w:p>
      <w:pPr>
        <w:pStyle w:val="ListParagraph"/>
        <w:numPr>
          <w:ilvl w:val="0"/>
          <w:numId w:val="1"/>
        </w:numPr>
        <w:spacing w:after="100"/>
      </w:pPr>
      <w:r>
        <w:rPr>
          <w:b/>
          <w:bCs/>
        </w:rPr>
        <w:t xml:space="preserve">The gas sensor is uncalibrated.</w:t>
      </w:r>
      <w:r>
        <w:t xml:space="preserve"> It shows change, not measured concentrations, and responds to more than one gas.</w:t>
      </w:r>
    </w:p>
    <w:p>
      <w:pPr>
        <w:pStyle w:val="ListParagraph"/>
        <w:numPr>
          <w:ilvl w:val="0"/>
          <w:numId w:val="1"/>
        </w:numPr>
        <w:spacing w:after="100"/>
      </w:pPr>
      <w:r>
        <w:rPr>
          <w:b/>
          <w:bCs/>
        </w:rPr>
        <w:t xml:space="preserve">It is not a medical device.</w:t>
      </w:r>
      <w:r>
        <w:t xml:space="preserve"> Do not use its readings to make medical decisions.</w:t>
      </w:r>
    </w:p>
    <w:p>
      <w:pPr>
        <w:pStyle w:val="ListParagraph"/>
        <w:numPr>
          <w:ilvl w:val="0"/>
          <w:numId w:val="1"/>
        </w:numPr>
        <w:spacing w:after="100"/>
      </w:pPr>
      <w:r>
        <w:rPr>
          <w:b/>
          <w:bCs/>
        </w:rPr>
        <w:t xml:space="preserve">If you suspect a gas leak or carbon monoxide, act on that suspicion, not on this device.</w:t>
      </w:r>
      <w:r>
        <w:t xml:space="preserve"> Leave the area, ventilate, and call your gas supplier or emergency services. Carbon monoxide is colourless, odourless and can be fatal — and this device does not detect it.</w:t>
      </w:r>
    </w:p>
    <w:p>
      <w:pPr>
        <w:pBdr>
          <w:bottom w:val="single" w:color="5B4FD6" w:sz="6"/>
        </w:pBdr>
        <w:spacing w:after="200" w:before="200"/>
      </w:pPr>
    </w:p>
    <w:p>
      <w:pPr>
        <w:spacing w:after="120"/>
        <w:jc w:val="center"/>
      </w:pPr>
      <w:r>
        <w:rPr>
          <w:i/>
          <w:iCs/>
        </w:rPr>
        <w:t xml:space="preserve">AeroSense — Quick Guide · Keep for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2026-09-16T18:34:57.638Z</dcterms:created>
  <dcterms:modified xsi:type="dcterms:W3CDTF">2026-09-16T18:34:57.649Z</dcterms:modified>
</cp:coreProperties>
</file>

<file path=docProps/custom.xml><?xml version="1.0" encoding="utf-8"?>
<Properties xmlns="http://schemas.openxmlformats.org/officeDocument/2006/custom-properties" xmlns:vt="http://schemas.openxmlformats.org/officeDocument/2006/docPropsVTypes"/>
</file>