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20"/>
        <w:jc w:val="center"/>
      </w:pPr>
      <w:r>
        <w:rPr>
          <w:rFonts w:ascii="Arial" w:cs="Arial" w:eastAsia="Arial" w:hAnsi="Arial"/>
          <w:b/>
          <w:bCs/>
          <w:color w:val="922B21"/>
          <w:sz w:val="20"/>
          <w:szCs w:val="20"/>
        </w:rPr>
        <w:t xml:space="preserve">GRUPO RECREATIVO E FOLCLÓRICO</w:t>
      </w:r>
    </w:p>
    <w:p>
      <w:pPr>
        <w:spacing w:after="20"/>
        <w:jc w:val="center"/>
      </w:pPr>
      <w:r>
        <w:rPr>
          <w:rFonts w:ascii="Arial" w:cs="Arial" w:eastAsia="Arial" w:hAnsi="Arial"/>
          <w:b/>
          <w:bCs/>
          <w:color w:val="922B21"/>
          <w:sz w:val="24"/>
          <w:szCs w:val="24"/>
        </w:rPr>
        <w:t xml:space="preserve">QUADRILHA EXPLOSÃO JUNINA DE BERURI</w:t>
      </w:r>
    </w:p>
    <w:p>
      <w:pPr>
        <w:spacing w:after="20"/>
        <w:jc w:val="center"/>
      </w:pPr>
      <w:r>
        <w:rPr>
          <w:rFonts w:ascii="Arial" w:cs="Arial" w:eastAsia="Arial" w:hAnsi="Arial"/>
          <w:i/>
          <w:iCs/>
          <w:color w:val="2C3E50"/>
          <w:sz w:val="18"/>
          <w:szCs w:val="18"/>
        </w:rPr>
        <w:t xml:space="preserve">Campeã do Festival Folclórico de Beruri 2025</w:t>
      </w:r>
    </w:p>
    <w:p>
      <w:pPr>
        <w:spacing w:after="20"/>
        <w:jc w:val="center"/>
      </w:pPr>
      <w:r>
        <w:rPr>
          <w:rFonts w:ascii="Arial" w:cs="Arial" w:eastAsia="Arial" w:hAnsi="Arial"/>
          <w:color w:val="2C3E50"/>
          <w:sz w:val="16"/>
          <w:szCs w:val="16"/>
        </w:rPr>
        <w:t xml:space="preserve">Filiada à Liga das Quadrilhas Juninas do Amazonas (LIQUAJUAM)</w:t>
      </w:r>
    </w:p>
    <w:p>
      <w:pPr>
        <w:spacing w:after="40"/>
        <w:jc w:val="center"/>
      </w:pPr>
      <w:r>
        <w:rPr>
          <w:rFonts w:ascii="Arial" w:cs="Arial" w:eastAsia="Arial" w:hAnsi="Arial"/>
          <w:color w:val="2C3E50"/>
          <w:sz w:val="16"/>
          <w:szCs w:val="16"/>
        </w:rPr>
        <w:t xml:space="preserve">Fundada em 2 de junho de 2017 | Beruri – Amazonas</w:t>
      </w:r>
    </w:p>
    <w:p>
      <w:pPr>
        <w:pBdr>
          <w:bottom w:val="single" w:color="F39C12" w:sz="4" w:space="4"/>
        </w:pBdr>
        <w:jc w:val="center"/>
      </w:pPr>
    </w:p>
    <w:p>
      <w:pPr>
        <w:spacing w:after="200"/>
      </w:pPr>
    </w:p>
    <w:p>
      <w:pPr>
        <w:spacing w:after="60"/>
        <w:jc w:val="center"/>
      </w:pPr>
      <w:r>
        <w:rPr>
          <w:rFonts w:ascii="Arial" w:cs="Arial" w:eastAsia="Arial" w:hAnsi="Arial"/>
          <w:b/>
          <w:bCs/>
          <w:color w:val="2C3E50"/>
          <w:sz w:val="28"/>
          <w:szCs w:val="28"/>
        </w:rPr>
        <w:t xml:space="preserve">TERMO DE COMPROMISSO DO BRINCANTE</w:t>
      </w:r>
    </w:p>
    <w:p>
      <w:pPr>
        <w:spacing w:after="60"/>
        <w:jc w:val="center"/>
      </w:pPr>
      <w:r>
        <w:rPr>
          <w:rFonts w:ascii="Arial" w:cs="Arial" w:eastAsia="Arial" w:hAnsi="Arial"/>
          <w:color w:val="2C3E50"/>
          <w:sz w:val="22"/>
          <w:szCs w:val="22"/>
        </w:rPr>
        <w:t xml:space="preserve">Temporada 2026</w:t>
      </w:r>
    </w:p>
    <w:p>
      <w:pPr>
        <w:spacing w:after="100"/>
      </w:pPr>
    </w:p>
    <w:p>
      <w:pPr>
        <w:spacing w:after="100" w:line="280"/>
        <w:jc w:val="both"/>
      </w:pPr>
      <w:r>
        <w:rPr>
          <w:rFonts w:ascii="Arial" w:cs="Arial" w:eastAsia="Arial" w:hAnsi="Arial"/>
          <w:b/>
          <w:bCs/>
          <w:i w:val="false"/>
          <w:iCs w:val="false"/>
          <w:color w:val="2C3E50"/>
          <w:sz w:val="21"/>
          <w:szCs w:val="21"/>
        </w:rPr>
        <w:t xml:space="preserve">DADOS DO BRINCANTE: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Nome completo: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Apelido/nome artístico: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nascimento: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RG / CPF: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Endereço: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Telefone / WhatsApp:</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Fila designada: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Posição na fila: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assinatura: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after="80"/>
            </w:pPr>
            <w:r>
              <w:rPr>
                <w:rFonts w:ascii="Arial" w:cs="Arial" w:eastAsia="Arial" w:hAnsi="Arial"/>
                <w:b/>
                <w:bCs/>
                <w:color w:val="922B21"/>
                <w:sz w:val="21"/>
                <w:szCs w:val="21"/>
              </w:rPr>
              <w:t xml:space="preserve">PROGRAMA DE BONIFICAÇÃO POR DESEMPENHO (opcional)</w:t>
            </w:r>
          </w:p>
          <w:p>
            <w:pPr>
              <w:spacing w:after="80" w:line="280"/>
            </w:pPr>
            <w:r>
              <w:rPr>
                <w:rFonts w:ascii="Arial" w:cs="Arial" w:eastAsia="Arial" w:hAnsi="Arial"/>
                <w:color w:val="2C3E50"/>
                <w:sz w:val="20"/>
                <w:szCs w:val="20"/>
              </w:rPr>
              <w:t xml:space="preserve">O Programa de Bonificação é um incentivo simbólico e voluntário. A participação na quadrilha NÃO depende de aderir ao programa. Ao optar por participar, o brincante aceita cumprir os critérios de ativação e desempenho descritos na Cláusula Sexta.</w:t>
            </w:r>
          </w:p>
          <w:p>
            <w:pPr>
              <w:spacing w:after="40"/>
            </w:pPr>
            <w:r>
              <w:rPr>
                <w:rFonts w:ascii="Arial" w:cs="Arial" w:eastAsia="Arial" w:hAnsi="Arial"/>
                <w:b/>
                <w:bCs/>
                <w:color w:val="2C3E50"/>
                <w:sz w:val="21"/>
                <w:szCs w:val="21"/>
              </w:rPr>
              <w:t xml:space="preserve">[    ] SIM, desejo participar do Programa de Bonificação</w:t>
            </w:r>
          </w:p>
          <w:p>
            <w:pPr>
              <w:spacing w:after="40"/>
            </w:pPr>
            <w:r>
              <w:rPr>
                <w:rFonts w:ascii="Arial" w:cs="Arial" w:eastAsia="Arial" w:hAnsi="Arial"/>
                <w:b/>
                <w:bCs/>
                <w:color w:val="2C3E50"/>
                <w:sz w:val="21"/>
                <w:szCs w:val="21"/>
              </w:rPr>
              <w:t xml:space="preserve">[    ] NÃO desejo participar neste momento</w:t>
            </w:r>
          </w:p>
          <w:p>
            <w:pPr>
              <w:spacing w:after="0" w:line="260"/>
            </w:pPr>
            <w:r>
              <w:rPr>
                <w:rFonts w:ascii="Arial" w:cs="Arial" w:eastAsia="Arial" w:hAnsi="Arial"/>
                <w:i/>
                <w:iCs/>
                <w:color w:val="2C3E50"/>
                <w:sz w:val="18"/>
                <w:szCs w:val="18"/>
              </w:rPr>
              <w:t xml:space="preserve">(Quem marcar NÃO pode optar por participar até o final de abril. Veja Cláusula Sexta, seção II.)</w:t>
            </w:r>
          </w:p>
        </w:tc>
      </w:tr>
    </w:tbl>
    <w:p>
      <w:pPr>
        <w:spacing w:after="60"/>
      </w:pPr>
    </w:p>
    <w:p>
      <w:pPr>
        <w:spacing w:after="100" w:line="280"/>
        <w:jc w:val="both"/>
      </w:pPr>
      <w:r>
        <w:rPr>
          <w:rFonts w:ascii="Arial" w:cs="Arial" w:eastAsia="Arial" w:hAnsi="Arial"/>
          <w:b w:val="false"/>
          <w:bCs w:val="false"/>
          <w:i/>
          <w:iCs/>
          <w:color w:val="2C3E50"/>
          <w:sz w:val="21"/>
          <w:szCs w:val="21"/>
        </w:rPr>
        <w:t xml:space="preserve">(Se menor de 18 anos, preencher o Anexo I – Autorização do Responsável Legal)</w:t>
      </w:r>
    </w:p>
    <w:p>
      <w:pPr>
        <w:spacing w:after="100"/>
      </w:pPr>
    </w:p>
    <w:p>
      <w:pPr>
        <w:spacing w:after="140" w:line="280"/>
        <w:jc w:val="both"/>
      </w:pPr>
      <w:r>
        <w:rPr>
          <w:rFonts w:ascii="Arial" w:cs="Arial" w:eastAsia="Arial" w:hAnsi="Arial"/>
          <w:b w:val="false"/>
          <w:bCs w:val="false"/>
          <w:i w:val="false"/>
          <w:iCs w:val="false"/>
          <w:color w:val="2C3E50"/>
          <w:sz w:val="21"/>
          <w:szCs w:val="21"/>
        </w:rPr>
        <w:t xml:space="preserve">Pelo presente Termo de Compromisso, de um lado a QUADRILHA JUNINA EXPLOSÃO JUNINA DE BERURI, representada por sua coordenação, doravante denominada QUADRILHA, e de outro lado o(a) brincante acima identificado(a), doravante denominado(a) BRINCANTE, firmam o presente instrumento:</w:t>
      </w:r>
    </w:p>
    <w:p>
      <w:pPr>
        <w:spacing w:after="120" w:before="280"/>
      </w:pPr>
      <w:r>
        <w:rPr>
          <w:rFonts w:ascii="Arial" w:cs="Arial" w:eastAsia="Arial" w:hAnsi="Arial"/>
          <w:b/>
          <w:bCs/>
          <w:color w:val="922B21"/>
          <w:sz w:val="22"/>
          <w:szCs w:val="22"/>
        </w:rPr>
        <w:t xml:space="preserve">CLÁUSULA PRIMEIRA – DO OBJETO</w:t>
      </w:r>
    </w:p>
    <w:p>
      <w:pPr>
        <w:spacing w:after="140" w:line="280"/>
        <w:jc w:val="both"/>
      </w:pPr>
      <w:r>
        <w:rPr>
          <w:rFonts w:ascii="Arial" w:cs="Arial" w:eastAsia="Arial" w:hAnsi="Arial"/>
          <w:b w:val="false"/>
          <w:bCs w:val="false"/>
          <w:i w:val="false"/>
          <w:iCs w:val="false"/>
          <w:color w:val="2C3E50"/>
          <w:sz w:val="21"/>
          <w:szCs w:val="21"/>
        </w:rPr>
        <w:t xml:space="preserve">Estabelecer os direitos e deveres recíprocos entre QUADRILHA e BRINCANTE durante a temporada 2026, compreendendo o período de ensaios oficiais (fevereiro a julho), apresentações e atividades relacionadas, estendendo-se até o encerramento de todas as atividades pós-festival.</w:t>
      </w:r>
    </w:p>
    <w:p>
      <w:pPr>
        <w:spacing w:after="120" w:before="280"/>
      </w:pPr>
      <w:r>
        <w:rPr>
          <w:rFonts w:ascii="Arial" w:cs="Arial" w:eastAsia="Arial" w:hAnsi="Arial"/>
          <w:b/>
          <w:bCs/>
          <w:color w:val="922B21"/>
          <w:sz w:val="22"/>
          <w:szCs w:val="22"/>
        </w:rPr>
        <w:t xml:space="preserve">CLÁUSULA SEGUNDA – DOS COMPROMISSOS DO BRINCANTE</w:t>
      </w:r>
    </w:p>
    <w:p>
      <w:pPr>
        <w:spacing w:after="140" w:line="280"/>
        <w:jc w:val="both"/>
      </w:pPr>
      <w:r>
        <w:rPr>
          <w:rFonts w:ascii="Arial" w:cs="Arial" w:eastAsia="Arial" w:hAnsi="Arial"/>
          <w:b w:val="false"/>
          <w:bCs w:val="false"/>
          <w:i w:val="false"/>
          <w:iCs w:val="false"/>
          <w:color w:val="2C3E50"/>
          <w:sz w:val="21"/>
          <w:szCs w:val="21"/>
        </w:rPr>
        <w:t xml:space="preserve">O BRINCANTE se compromete 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Comparecer aos ensaios regulares com frequência mínima de 75% do total da temporada;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Manter média de avaliação de desempenho igual ou superior a 4 (quatro) em pelo menos 75% dos ensaios avaliados;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Comunicar ausências com 24 horas de antecedência ao responsável pela fila;</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Apresentar-se pontualmente nos horários definidos;</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Não comparecer sob efeito de álcool ou substâncias que comprometam o desempenho;</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 xml:space="preserve">Respeitar a coordenação, coreógrafos e demais brincantes;</w:t>
      </w:r>
    </w:p>
    <w:p>
      <w:pPr>
        <w:spacing w:after="100" w:line="280"/>
        <w:ind w:left="360"/>
      </w:pPr>
      <w:r>
        <w:rPr>
          <w:rFonts w:ascii="Arial" w:cs="Arial" w:eastAsia="Arial" w:hAnsi="Arial"/>
          <w:b/>
          <w:bCs/>
          <w:color w:val="2C3E50"/>
          <w:sz w:val="21"/>
          <w:szCs w:val="21"/>
        </w:rPr>
        <w:t xml:space="preserve">g) </w:t>
      </w:r>
      <w:r>
        <w:rPr>
          <w:rFonts w:ascii="Arial" w:cs="Arial" w:eastAsia="Arial" w:hAnsi="Arial"/>
          <w:color w:val="2C3E50"/>
          <w:sz w:val="21"/>
          <w:szCs w:val="21"/>
        </w:rPr>
        <w:t xml:space="preserve">Seguir as orientações coreográficas da coordenação;</w:t>
      </w:r>
    </w:p>
    <w:p>
      <w:pPr>
        <w:spacing w:after="100" w:line="280"/>
        <w:ind w:left="360"/>
      </w:pPr>
      <w:r>
        <w:rPr>
          <w:rFonts w:ascii="Arial" w:cs="Arial" w:eastAsia="Arial" w:hAnsi="Arial"/>
          <w:b/>
          <w:bCs/>
          <w:color w:val="2C3E50"/>
          <w:sz w:val="21"/>
          <w:szCs w:val="21"/>
        </w:rPr>
        <w:t xml:space="preserve">h) </w:t>
      </w:r>
      <w:r>
        <w:rPr>
          <w:rFonts w:ascii="Arial" w:cs="Arial" w:eastAsia="Arial" w:hAnsi="Arial"/>
          <w:color w:val="2C3E50"/>
          <w:sz w:val="21"/>
          <w:szCs w:val="21"/>
        </w:rPr>
        <w:t xml:space="preserve">Zelar pelo figurino e materiais fornecidos, devolvendo-os ao final da temporada;</w:t>
      </w:r>
    </w:p>
    <w:p>
      <w:pPr>
        <w:spacing w:after="100" w:line="280"/>
        <w:ind w:left="360"/>
      </w:pPr>
      <w:r>
        <w:rPr>
          <w:rFonts w:ascii="Arial" w:cs="Arial" w:eastAsia="Arial" w:hAnsi="Arial"/>
          <w:b/>
          <w:bCs/>
          <w:color w:val="2C3E50"/>
          <w:sz w:val="21"/>
          <w:szCs w:val="21"/>
        </w:rPr>
        <w:t xml:space="preserve">i) </w:t>
      </w:r>
      <w:r>
        <w:rPr>
          <w:rFonts w:ascii="Arial" w:cs="Arial" w:eastAsia="Arial" w:hAnsi="Arial"/>
          <w:color w:val="2C3E50"/>
          <w:sz w:val="21"/>
          <w:szCs w:val="21"/>
        </w:rPr>
        <w:t xml:space="preserve">Não participar de quadrilha concorrente ou grupo folclórico rival na mesma temporada;</w:t>
      </w:r>
    </w:p>
    <w:p>
      <w:pPr>
        <w:spacing w:after="100" w:line="280"/>
        <w:ind w:left="360"/>
      </w:pPr>
      <w:r>
        <w:rPr>
          <w:rFonts w:ascii="Arial" w:cs="Arial" w:eastAsia="Arial" w:hAnsi="Arial"/>
          <w:b/>
          <w:bCs/>
          <w:color w:val="2C3E50"/>
          <w:sz w:val="21"/>
          <w:szCs w:val="21"/>
        </w:rPr>
        <w:t xml:space="preserve">j) </w:t>
      </w:r>
      <w:r>
        <w:rPr>
          <w:rFonts w:ascii="Arial" w:cs="Arial" w:eastAsia="Arial" w:hAnsi="Arial"/>
          <w:color w:val="2C3E50"/>
          <w:sz w:val="21"/>
          <w:szCs w:val="21"/>
        </w:rPr>
        <w:t xml:space="preserve">Não divulgar informações sobre tema, coreografia ou estratégia antes da apresentação oficial;</w:t>
      </w:r>
    </w:p>
    <w:p>
      <w:pPr>
        <w:spacing w:after="100" w:line="280"/>
        <w:ind w:left="360"/>
      </w:pPr>
      <w:r>
        <w:rPr>
          <w:rFonts w:ascii="Arial" w:cs="Arial" w:eastAsia="Arial" w:hAnsi="Arial"/>
          <w:b/>
          <w:bCs/>
          <w:color w:val="2C3E50"/>
          <w:sz w:val="21"/>
          <w:szCs w:val="21"/>
        </w:rPr>
        <w:t xml:space="preserve">k) </w:t>
      </w:r>
      <w:r>
        <w:rPr>
          <w:rFonts w:ascii="Arial" w:cs="Arial" w:eastAsia="Arial" w:hAnsi="Arial"/>
          <w:color w:val="2C3E50"/>
          <w:sz w:val="21"/>
          <w:szCs w:val="21"/>
        </w:rPr>
        <w:t xml:space="preserve">Representar a quadrilha com respeito em espaços públicos e redes sociais;</w:t>
      </w:r>
    </w:p>
    <w:p>
      <w:pPr>
        <w:spacing w:after="100" w:line="280"/>
        <w:ind w:left="360"/>
      </w:pPr>
      <w:r>
        <w:rPr>
          <w:rFonts w:ascii="Arial" w:cs="Arial" w:eastAsia="Arial" w:hAnsi="Arial"/>
          <w:b/>
          <w:bCs/>
          <w:color w:val="2C3E50"/>
          <w:sz w:val="21"/>
          <w:szCs w:val="21"/>
        </w:rPr>
        <w:t xml:space="preserve">l) </w:t>
      </w:r>
      <w:r>
        <w:rPr>
          <w:rFonts w:ascii="Arial" w:cs="Arial" w:eastAsia="Arial" w:hAnsi="Arial"/>
          <w:color w:val="2C3E50"/>
          <w:sz w:val="21"/>
          <w:szCs w:val="21"/>
        </w:rPr>
        <w:t xml:space="preserve">Participar de TODAS as atividades da quadrilha, incluindo: ensaios, apresentações, eventos de arrecadação de recursos (rifas, bingos, cinema, venda de camisas e similares), atividades de trabalho braçal (montagem e desmontagem de estruturas, limpeza, transporte de materiais), trabalhos comunitários realizados em parceria com a Igreja Católica ou outras instituições, e quaisquer outras atividades convocadas pela coordenação que beneficiem a quadrilha;</w:t>
      </w:r>
    </w:p>
    <w:p>
      <w:pPr>
        <w:spacing w:after="100" w:line="280"/>
        <w:ind w:left="360"/>
      </w:pPr>
      <w:r>
        <w:rPr>
          <w:rFonts w:ascii="Arial" w:cs="Arial" w:eastAsia="Arial" w:hAnsi="Arial"/>
          <w:b/>
          <w:bCs/>
          <w:color w:val="2C3E50"/>
          <w:sz w:val="21"/>
          <w:szCs w:val="21"/>
        </w:rPr>
        <w:t xml:space="preserve">l.1) </w:t>
      </w:r>
      <w:r>
        <w:rPr>
          <w:rFonts w:ascii="Arial" w:cs="Arial" w:eastAsia="Arial" w:hAnsi="Arial"/>
          <w:color w:val="2C3E50"/>
          <w:sz w:val="21"/>
          <w:szCs w:val="21"/>
        </w:rPr>
        <w:t xml:space="preserve">A quadrilha não se resume ao palco. O comprometimento do brincante abrange todas as ações necessárias para manter o grupo funcionando: quem dança também ajuda a montar, a vender, a carregar e a construir. Ausências reiteradas e injustificadas em atividades externas serão consideradas no sistema de avaliação de desempenho.</w:t>
      </w:r>
    </w:p>
    <w:p>
      <w:pPr>
        <w:spacing w:after="120" w:before="280"/>
      </w:pPr>
      <w:r>
        <w:rPr>
          <w:rFonts w:ascii="Arial" w:cs="Arial" w:eastAsia="Arial" w:hAnsi="Arial"/>
          <w:b/>
          <w:bCs/>
          <w:color w:val="922B21"/>
          <w:sz w:val="22"/>
          <w:szCs w:val="22"/>
        </w:rPr>
        <w:t xml:space="preserve">CLÁUSULA TERCEIRA – DOS COMPROMISSOS DA QUADRILHA</w:t>
      </w:r>
    </w:p>
    <w:p>
      <w:pPr>
        <w:spacing w:after="140" w:line="280"/>
        <w:jc w:val="both"/>
      </w:pPr>
      <w:r>
        <w:rPr>
          <w:rFonts w:ascii="Arial" w:cs="Arial" w:eastAsia="Arial" w:hAnsi="Arial"/>
          <w:b w:val="false"/>
          <w:bCs w:val="false"/>
          <w:i w:val="false"/>
          <w:iCs w:val="false"/>
          <w:color w:val="2C3E50"/>
          <w:sz w:val="21"/>
          <w:szCs w:val="21"/>
        </w:rPr>
        <w:t xml:space="preserve">A QUADRILHA se compromete 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Fornecer figurino completo para apresentações oficiais, sem custo;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Providenciar alimentação durante ensaios, conforme disponibilidade;</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Organizar transporte para eventos externos, quando aplicável;</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Manter ambiente respeitoso e seguro;</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Comunicar com antecedência datas, horários e locais;</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 xml:space="preserve">Publicar prestação de contas periódica;</w:t>
      </w:r>
    </w:p>
    <w:p>
      <w:pPr>
        <w:spacing w:after="100" w:line="280"/>
        <w:ind w:left="360"/>
      </w:pPr>
      <w:r>
        <w:rPr>
          <w:rFonts w:ascii="Arial" w:cs="Arial" w:eastAsia="Arial" w:hAnsi="Arial"/>
          <w:b/>
          <w:bCs/>
          <w:color w:val="2C3E50"/>
          <w:sz w:val="21"/>
          <w:szCs w:val="21"/>
        </w:rPr>
        <w:t xml:space="preserve">g) </w:t>
      </w:r>
      <w:r>
        <w:rPr>
          <w:rFonts w:ascii="Arial" w:cs="Arial" w:eastAsia="Arial" w:hAnsi="Arial"/>
          <w:color w:val="2C3E50"/>
          <w:sz w:val="21"/>
          <w:szCs w:val="21"/>
        </w:rPr>
        <w:t xml:space="preserve">Tratar todos os brincantes com igualdade;</w:t>
      </w:r>
    </w:p>
    <w:p>
      <w:pPr>
        <w:spacing w:after="100" w:line="280"/>
        <w:ind w:left="360"/>
      </w:pPr>
      <w:r>
        <w:rPr>
          <w:rFonts w:ascii="Arial" w:cs="Arial" w:eastAsia="Arial" w:hAnsi="Arial"/>
          <w:b/>
          <w:bCs/>
          <w:color w:val="2C3E50"/>
          <w:sz w:val="21"/>
          <w:szCs w:val="21"/>
        </w:rPr>
        <w:t xml:space="preserve">h) </w:t>
      </w:r>
      <w:r>
        <w:rPr>
          <w:rFonts w:ascii="Arial" w:cs="Arial" w:eastAsia="Arial" w:hAnsi="Arial"/>
          <w:color w:val="2C3E50"/>
          <w:sz w:val="21"/>
          <w:szCs w:val="21"/>
        </w:rPr>
        <w:t xml:space="preserve">Realizar avaliação de desempenho justa e transparente (Cláusula Quinta).</w:t>
      </w:r>
    </w:p>
    <w:p>
      <w:pPr>
        <w:spacing w:after="120" w:before="280"/>
      </w:pPr>
      <w:r>
        <w:rPr>
          <w:rFonts w:ascii="Arial" w:cs="Arial" w:eastAsia="Arial" w:hAnsi="Arial"/>
          <w:b/>
          <w:bCs/>
          <w:color w:val="922B21"/>
          <w:sz w:val="22"/>
          <w:szCs w:val="22"/>
        </w:rPr>
        <w:t xml:space="preserve">CLÁUSULA QUARTA – DA CESSÃO DE USO DE IMAGEM</w:t>
      </w:r>
    </w:p>
    <w:p>
      <w:pPr>
        <w:spacing w:after="140" w:line="280"/>
        <w:jc w:val="both"/>
      </w:pPr>
      <w:r>
        <w:rPr>
          <w:rFonts w:ascii="Arial" w:cs="Arial" w:eastAsia="Arial" w:hAnsi="Arial"/>
          <w:b w:val="false"/>
          <w:bCs w:val="false"/>
          <w:i w:val="false"/>
          <w:iCs w:val="false"/>
          <w:color w:val="2C3E50"/>
          <w:sz w:val="21"/>
          <w:szCs w:val="21"/>
        </w:rPr>
        <w:t xml:space="preserve">O BRINCANTE autoriza a QUADRILHA a utilizar sua imagem (fotos e vídeos) captada em atividades oficiais para fins de divulgação.</w:t>
      </w:r>
    </w:p>
    <w:p>
      <w:pPr>
        <w:spacing w:after="100" w:line="280"/>
        <w:ind w:left="360"/>
      </w:pPr>
      <w:r>
        <w:rPr>
          <w:rFonts w:ascii="Arial" w:cs="Arial" w:eastAsia="Arial" w:hAnsi="Arial"/>
          <w:b/>
          <w:bCs/>
          <w:color w:val="2C3E50"/>
          <w:sz w:val="21"/>
          <w:szCs w:val="21"/>
        </w:rPr>
        <w:t xml:space="preserve">4.1 </w:t>
      </w:r>
      <w:r>
        <w:rPr>
          <w:rFonts w:ascii="Arial" w:cs="Arial" w:eastAsia="Arial" w:hAnsi="Arial"/>
          <w:color w:val="2C3E50"/>
          <w:sz w:val="21"/>
          <w:szCs w:val="21"/>
        </w:rPr>
        <w:t xml:space="preserve">Cessão gratuita, válida para a temporada 2026 e acervo histórico.</w:t>
      </w:r>
    </w:p>
    <w:p>
      <w:pPr>
        <w:spacing w:after="100" w:line="280"/>
        <w:ind w:left="360"/>
      </w:pPr>
      <w:r>
        <w:rPr>
          <w:rFonts w:ascii="Arial" w:cs="Arial" w:eastAsia="Arial" w:hAnsi="Arial"/>
          <w:b/>
          <w:bCs/>
          <w:color w:val="2C3E50"/>
          <w:sz w:val="21"/>
          <w:szCs w:val="21"/>
        </w:rPr>
        <w:t xml:space="preserve">4.2 </w:t>
      </w:r>
      <w:r>
        <w:rPr>
          <w:rFonts w:ascii="Arial" w:cs="Arial" w:eastAsia="Arial" w:hAnsi="Arial"/>
          <w:color w:val="2C3E50"/>
          <w:sz w:val="21"/>
          <w:szCs w:val="21"/>
        </w:rPr>
        <w:t xml:space="preserve">Imagem não será usada comercialmente por terceiros sem consentimento.</w:t>
      </w:r>
    </w:p>
    <w:p>
      <w:pPr>
        <w:spacing w:after="100" w:line="280"/>
        <w:ind w:left="360"/>
      </w:pPr>
      <w:r>
        <w:rPr>
          <w:rFonts w:ascii="Arial" w:cs="Arial" w:eastAsia="Arial" w:hAnsi="Arial"/>
          <w:b/>
          <w:bCs/>
          <w:color w:val="2C3E50"/>
          <w:sz w:val="21"/>
          <w:szCs w:val="21"/>
        </w:rPr>
        <w:t xml:space="preserve">4.3 </w:t>
      </w:r>
      <w:r>
        <w:rPr>
          <w:rFonts w:ascii="Arial" w:cs="Arial" w:eastAsia="Arial" w:hAnsi="Arial"/>
          <w:color w:val="2C3E50"/>
          <w:sz w:val="21"/>
          <w:szCs w:val="21"/>
        </w:rPr>
        <w:t xml:space="preserve">Para menores de 18 anos, exige-se autorização do responsável (Anexo I).</w:t>
      </w:r>
    </w:p>
    <w:p>
      <w:pPr>
        <w:spacing w:after="120" w:before="280"/>
      </w:pPr>
      <w:r>
        <w:rPr>
          <w:rFonts w:ascii="Arial" w:cs="Arial" w:eastAsia="Arial" w:hAnsi="Arial"/>
          <w:b/>
          <w:bCs/>
          <w:color w:val="922B21"/>
          <w:sz w:val="22"/>
          <w:szCs w:val="22"/>
        </w:rPr>
        <w:t xml:space="preserve">CLÁUSULA QUINTA – DO SISTEMA DE AVALIAÇÃO DE DESEMPENHO</w:t>
      </w:r>
    </w:p>
    <w:p>
      <w:pPr>
        <w:spacing w:after="140" w:line="280"/>
        <w:jc w:val="both"/>
      </w:pPr>
      <w:r>
        <w:rPr>
          <w:rFonts w:ascii="Arial" w:cs="Arial" w:eastAsia="Arial" w:hAnsi="Arial"/>
          <w:b w:val="false"/>
          <w:bCs w:val="false"/>
          <w:i w:val="false"/>
          <w:iCs w:val="false"/>
          <w:color w:val="2C3E50"/>
          <w:sz w:val="21"/>
          <w:szCs w:val="21"/>
        </w:rPr>
        <w:t xml:space="preserve">A QUADRILHA manterá sistema de avaliação contínua:</w:t>
      </w:r>
    </w:p>
    <w:p>
      <w:pPr>
        <w:spacing w:after="40"/>
      </w:pPr>
    </w:p>
    <w:p>
      <w:pPr>
        <w:spacing w:after="60" w:line="280"/>
        <w:jc w:val="both"/>
      </w:pPr>
      <w:r>
        <w:rPr>
          <w:rFonts w:ascii="Arial" w:cs="Arial" w:eastAsia="Arial" w:hAnsi="Arial"/>
          <w:b/>
          <w:bCs/>
          <w:i w:val="false"/>
          <w:iCs w:val="false"/>
          <w:color w:val="2C3E50"/>
          <w:sz w:val="21"/>
          <w:szCs w:val="21"/>
        </w:rPr>
        <w:t xml:space="preserve">I – Controle de presença: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Presença registrada a cada ensaio por sistema digital ou lista física;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O brincante poderá consultar seu histórico a qualquer momento;</w:t>
      </w:r>
    </w:p>
    <w:p>
      <w:pPr>
        <w:spacing w:after="40"/>
      </w:pPr>
    </w:p>
    <w:p>
      <w:pPr>
        <w:spacing w:after="60" w:line="280"/>
        <w:jc w:val="both"/>
      </w:pPr>
      <w:r>
        <w:rPr>
          <w:rFonts w:ascii="Arial" w:cs="Arial" w:eastAsia="Arial" w:hAnsi="Arial"/>
          <w:b/>
          <w:bCs/>
          <w:i w:val="false"/>
          <w:iCs w:val="false"/>
          <w:color w:val="2C3E50"/>
          <w:sz w:val="21"/>
          <w:szCs w:val="21"/>
        </w:rPr>
        <w:t xml:space="preserve">II – Avaliação por ensaio: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coordenador atribuirá nota de 1 a 5 ao brincante a cada ensaio, considerando: empenho, evolução coreográfica, sincronia, expressão e atitude;</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Campo opcional de observações complementares;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Avaliação feita de forma respeitosa e construtiva;</w:t>
      </w:r>
    </w:p>
    <w:p>
      <w:pPr>
        <w:spacing w:after="40"/>
      </w:pPr>
    </w:p>
    <w:p>
      <w:pPr>
        <w:spacing w:after="60" w:line="280"/>
        <w:jc w:val="both"/>
      </w:pPr>
      <w:r>
        <w:rPr>
          <w:rFonts w:ascii="Arial" w:cs="Arial" w:eastAsia="Arial" w:hAnsi="Arial"/>
          <w:b/>
          <w:bCs/>
          <w:i w:val="false"/>
          <w:iCs w:val="false"/>
          <w:color w:val="2C3E50"/>
          <w:sz w:val="21"/>
          <w:szCs w:val="21"/>
        </w:rPr>
        <w:t xml:space="preserve">III – Escala de avaliação: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Nota</w:t>
            </w:r>
          </w:p>
        </w:tc>
        <w:tc>
          <w:tcPr>
            <w:tcW w:type="dxa" w:w="376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Significado</w:t>
            </w:r>
          </w:p>
        </w:tc>
        <w:tc>
          <w:tcPr>
            <w:tcW w:type="dxa" w:w="376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Perfil</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1</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Muito abaixo do esperado</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Desatento, sem empenho, não acompanha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2</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Abaixo do esperado</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Pouco empenho, dificuldades frequentes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Regular</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Acompanha o grupo, cumpre o básico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4</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Bom / Acima do esperado</w:t>
            </w:r>
          </w:p>
        </w:tc>
        <w:tc>
          <w:tcPr>
            <w:tcW w:type="dxa" w:w="37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Boa evolução, sincronia, atitude positiva</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5</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Excelente / Destaque</w:t>
            </w:r>
          </w:p>
        </w:tc>
        <w:tc>
          <w:tcPr>
            <w:tcW w:type="dxa" w:w="376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Referência, candidato a promoção ou item</w:t>
            </w:r>
          </w:p>
        </w:tc>
      </w:tr>
    </w:tbl>
    <w:p>
      <w:pPr>
        <w:spacing w:after="60"/>
      </w:pPr>
    </w:p>
    <w:p>
      <w:pPr>
        <w:spacing w:after="60" w:line="280"/>
        <w:jc w:val="both"/>
      </w:pPr>
      <w:r>
        <w:rPr>
          <w:rFonts w:ascii="Arial" w:cs="Arial" w:eastAsia="Arial" w:hAnsi="Arial"/>
          <w:b/>
          <w:bCs/>
          <w:i w:val="false"/>
          <w:iCs w:val="false"/>
          <w:color w:val="2C3E50"/>
          <w:sz w:val="21"/>
          <w:szCs w:val="21"/>
        </w:rPr>
        <w:t xml:space="preserve">IV – Meta de desempenho: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brincante deve manter média de avaliação igual ou superior a 4 em pelo menos 75% dos ensaios avaliados. Este é um dos requisitos para o resgate integral da bonificação (Cláusula Sexta);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Brincantes com média consistentemente superior poderão ser promovidos para posições mais à frente nas filas;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Brincantes com desempenho excepcional poderão ser convidados para funções de ITEM;</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Brincantes com média abaixo de 2 por três ensaios consecutivos poderão ser remanejados de posição.</w:t>
      </w:r>
    </w:p>
    <w:p>
      <w:pPr>
        <w:spacing w:after="120" w:before="280"/>
      </w:pPr>
      <w:r>
        <w:rPr>
          <w:rFonts w:ascii="Arial" w:cs="Arial" w:eastAsia="Arial" w:hAnsi="Arial"/>
          <w:b/>
          <w:bCs/>
          <w:color w:val="922B21"/>
          <w:sz w:val="22"/>
          <w:szCs w:val="22"/>
        </w:rPr>
        <w:t xml:space="preserve">CLÁUSULA SEXTA – DO PROGRAMA DE BONIFICAÇÃO POR DESEMPENHO</w:t>
      </w:r>
    </w:p>
    <w:p>
      <w:pPr>
        <w:spacing w:after="140" w:line="280"/>
        <w:jc w:val="both"/>
      </w:pPr>
      <w:r>
        <w:rPr>
          <w:rFonts w:ascii="Arial" w:cs="Arial" w:eastAsia="Arial" w:hAnsi="Arial"/>
          <w:b w:val="false"/>
          <w:bCs w:val="false"/>
          <w:i w:val="false"/>
          <w:iCs w:val="false"/>
          <w:color w:val="2C3E50"/>
          <w:sz w:val="21"/>
          <w:szCs w:val="21"/>
        </w:rPr>
        <w:t xml:space="preserve">A QUADRILHA oferece um Programa de Bonificação simbólica, de adesão voluntária, para reconhecer o comprometimento dos brincantes. A participação na quadrilha não depende da adesão ao programa. A coordenação (aproximadamente 4 pessoas) não participa do programa.</w:t>
      </w:r>
    </w:p>
    <w:p>
      <w:pPr>
        <w:spacing w:after="40"/>
      </w:pPr>
    </w:p>
    <w:p>
      <w:pPr>
        <w:spacing w:after="60" w:line="280"/>
        <w:jc w:val="both"/>
      </w:pPr>
      <w:r>
        <w:rPr>
          <w:rFonts w:ascii="Arial" w:cs="Arial" w:eastAsia="Arial" w:hAnsi="Arial"/>
          <w:b/>
          <w:bCs/>
          <w:i w:val="false"/>
          <w:iCs w:val="false"/>
          <w:color w:val="2C3E50"/>
          <w:sz w:val="21"/>
          <w:szCs w:val="21"/>
        </w:rPr>
        <w:t xml:space="preserve">I – Adesão: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brincante opta por participar do Programa no ato da assinatura do Termo, marcando a opção correspondente;</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Quem optar por NÃO participar no ato da assinatura poderá aderir posteriormente, até o último dia de abril, mediante comunicação escrita à coordenação;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Após o dia 30 de abril, não será mais possível aderir ao Programa na temporada corrente. A adesão ficará disponível para a próxima temporada;</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A adesão ao Programa implica aceitação integral das regras de ativação, desempenho e perda descritas nesta Cláusula.</w:t>
      </w:r>
    </w:p>
    <w:p>
      <w:pPr>
        <w:spacing w:after="40"/>
      </w:pPr>
    </w:p>
    <w:p>
      <w:pPr>
        <w:spacing w:after="60" w:line="280"/>
        <w:jc w:val="both"/>
      </w:pPr>
      <w:r>
        <w:rPr>
          <w:rFonts w:ascii="Arial" w:cs="Arial" w:eastAsia="Arial" w:hAnsi="Arial"/>
          <w:b/>
          <w:bCs/>
          <w:i w:val="false"/>
          <w:iCs w:val="false"/>
          <w:color w:val="2C3E50"/>
          <w:sz w:val="21"/>
          <w:szCs w:val="21"/>
        </w:rPr>
        <w:t xml:space="preserve">II – Período de ativação (3 meses, proporcional à data de adesão):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Todo brincante que aderir ao Programa deverá cumprir 3 (três) meses contínuos de ativação antes de começar a acumular bonificação;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O período de ativação inicia na data da adesão. Exemplos práticos:</w:t>
      </w:r>
    </w:p>
    <w:p>
      <w:pPr>
        <w:spacing w:after="20"/>
      </w:pP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2903"/>
        <w:gridCol w:w="2903"/>
      </w:tblGrid>
      <w:tr>
        <w:tc>
          <w:tcPr>
            <w:tcW w:type="dxa" w:w="25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Adesão em</w:t>
            </w:r>
          </w:p>
        </w:tc>
        <w:tc>
          <w:tcPr>
            <w:tcW w:type="dxa" w:w="290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Ativação encerra em</w:t>
            </w:r>
          </w:p>
        </w:tc>
        <w:tc>
          <w:tcPr>
            <w:tcW w:type="dxa" w:w="2903"/>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Remunera a partir de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Fevereiro</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Final de abril</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Maio (período completo)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Março</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Final de maio</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Junho (~2 meses)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Abril (limite)</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Final de junho</w:t>
            </w:r>
          </w:p>
        </w:tc>
        <w:tc>
          <w:tcPr>
            <w:tcW w:type="dxa" w:w="290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Julho (~1 mês, só festival)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Maio em diante</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w:t>
            </w:r>
          </w:p>
        </w:tc>
        <w:tc>
          <w:tcPr>
            <w:tcW w:type="dxa" w:w="290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Não elegível nesta temporada</w:t>
            </w:r>
          </w:p>
        </w:tc>
      </w:tr>
    </w:tbl>
    <w:p>
      <w:pPr>
        <w:spacing w:after="40"/>
      </w:pP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Durante o período de ativação, o brincante ensaia e é avaliado normalmente, mas NÃO acumula bonificação;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Para ativar, deve cumprir nos 3 meses: (i) frequência mínima de 75%; (ii) média de avaliação ≥ 4 em pelo menos 75% dos ensaios avaliados;</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Quem não cumprir os critérios de ativação permanece na quadrilha normalmente, sem direito à bonificação na temporada corrente;</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 xml:space="preserve">A coordenação comunicará individualmente o resultado da ativação ao brincante.</w:t>
      </w:r>
    </w:p>
    <w:p>
      <w:pPr>
        <w:spacing w:after="40"/>
      </w:pPr>
    </w:p>
    <w:p>
      <w:pPr>
        <w:spacing w:after="60" w:line="280"/>
        <w:jc w:val="both"/>
      </w:pPr>
      <w:r>
        <w:rPr>
          <w:rFonts w:ascii="Arial" w:cs="Arial" w:eastAsia="Arial" w:hAnsi="Arial"/>
          <w:b/>
          <w:bCs/>
          <w:i w:val="false"/>
          <w:iCs w:val="false"/>
          <w:color w:val="2C3E50"/>
          <w:sz w:val="21"/>
          <w:szCs w:val="21"/>
        </w:rPr>
        <w:t xml:space="preserve">III – Valores e acumulação (após ativação):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Após a ativação, o brincante acumulará R$ 0,50 (cinquenta centavos) por cada ensaio em que estiver presente e avaliado;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R$ 1,00 (um real) por cada apresentação oficial externa;</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R$ 5,00 (cinco reais) como bônus pela participação no Festival Folclórico de Beruri;</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Os valores serão registrados no sistema de avaliação e poderão ser consultados a qualquer momento.</w:t>
      </w:r>
    </w:p>
    <w:p>
      <w:pPr>
        <w:spacing w:after="40"/>
      </w:pPr>
    </w:p>
    <w:p>
      <w:pPr>
        <w:spacing w:after="60" w:line="280"/>
        <w:jc w:val="both"/>
      </w:pPr>
      <w:r>
        <w:rPr>
          <w:rFonts w:ascii="Arial" w:cs="Arial" w:eastAsia="Arial" w:hAnsi="Arial"/>
          <w:b/>
          <w:bCs/>
          <w:i w:val="false"/>
          <w:iCs w:val="false"/>
          <w:color w:val="2C3E50"/>
          <w:sz w:val="21"/>
          <w:szCs w:val="21"/>
        </w:rPr>
        <w:t xml:space="preserve">II – Definição de apresentação oficial:</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Considera-se apresentação oficial, para fins de bonificação, aquela realizada em: festivais folclóricos; arraiais externos de escolas ou agremiacões; espaços de escolas ou empresas; e apresentações em outros municípios.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O Festival Folclórico de Beruri possui bonificação diferenciada de R$ 5,00 por reconhecer a importância e a dedicação exigida para o evento principal da temporada.</w:t>
      </w:r>
    </w:p>
    <w:p>
      <w:pPr>
        <w:spacing w:after="40"/>
      </w:pPr>
    </w:p>
    <w:p>
      <w:pPr>
        <w:spacing w:after="60" w:line="280"/>
        <w:jc w:val="both"/>
      </w:pPr>
      <w:r>
        <w:rPr>
          <w:rFonts w:ascii="Arial" w:cs="Arial" w:eastAsia="Arial" w:hAnsi="Arial"/>
          <w:b/>
          <w:bCs/>
          <w:i w:val="false"/>
          <w:iCs w:val="false"/>
          <w:color w:val="2C3E50"/>
          <w:sz w:val="21"/>
          <w:szCs w:val="21"/>
        </w:rPr>
        <w:t xml:space="preserve">III – Apresentações não remuneradas (Igreja Católica):</w:t>
      </w:r>
    </w:p>
    <w:p>
      <w:pPr>
        <w:spacing w:after="140" w:line="280"/>
        <w:jc w:val="both"/>
      </w:pPr>
      <w:r>
        <w:rPr>
          <w:rFonts w:ascii="Arial" w:cs="Arial" w:eastAsia="Arial" w:hAnsi="Arial"/>
          <w:b w:val="false"/>
          <w:bCs w:val="false"/>
          <w:i w:val="false"/>
          <w:iCs w:val="false"/>
          <w:color w:val="2C3E50"/>
          <w:sz w:val="21"/>
          <w:szCs w:val="21"/>
        </w:rPr>
        <w:t xml:space="preserve">A Quadrilha Explosão Junina nasceu do Arraial de São Pedro, promovido pela Igreja Católica em Beruri, e mantém suas raízes nessa instituição. A Igreja cede espaços para ensaios, montagem de figurino e apoio logístico à quadrilha. Portanto: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Apresentações realizadas para a Igreja Católica, em qualquer formato (arraial paroquial, noite cultural, evento religioso ou qualquer outra atividade promovida pela Igreja), NÃO geram bonificação;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Entende-se que essas apresentações são retribuição à parceria histórica entre a quadrilha e a Igreja, e fazem parte da missão cultural e comunitária do grupo;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 brincante, ao assinar este Termo, declara ciência e concordância com esta condição.</w:t>
      </w:r>
    </w:p>
    <w:p>
      <w:pPr>
        <w:spacing w:after="40"/>
      </w:pPr>
    </w:p>
    <w:p>
      <w:pPr>
        <w:spacing w:after="60" w:line="280"/>
        <w:jc w:val="both"/>
      </w:pPr>
      <w:r>
        <w:rPr>
          <w:rFonts w:ascii="Arial" w:cs="Arial" w:eastAsia="Arial" w:hAnsi="Arial"/>
          <w:b/>
          <w:bCs/>
          <w:i w:val="false"/>
          <w:iCs w:val="false"/>
          <w:color w:val="2C3E50"/>
          <w:sz w:val="21"/>
          <w:szCs w:val="21"/>
        </w:rPr>
        <w:t xml:space="preserve">IV – Período de contagem da bonificação: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 acumulação de bonificação inicia em maio (após confirmação da ativação) e encerra na data do Festival Folclórico de Beruri (julho). Os meses de fevereiro, março e abril são exclusivamente período de ativação;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Ensaios e apresentações realizados após o Festival Folclórico não geram bonificação, embora o contrato permaneça vigente até o encerramento de todas as atividades;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Não há ensaio nos feriados nacionais, feriados municipais, ou no dia seguinte a apresentações oficiais;</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O brincante que ativar a bonificação deve continuar cumprindo os requisitos de frequência (75%) e desempenho (média ≥ 4 em 75% dos ensaios) durante o período remunerado. O descumprimento acarreta as penalidades da seção VII.</w:t>
      </w:r>
    </w:p>
    <w:p>
      <w:pPr>
        <w:spacing w:after="40"/>
      </w:pPr>
    </w:p>
    <w:p>
      <w:pPr>
        <w:spacing w:after="60" w:line="280"/>
        <w:jc w:val="both"/>
      </w:pPr>
      <w:r>
        <w:rPr>
          <w:rFonts w:ascii="Arial" w:cs="Arial" w:eastAsia="Arial" w:hAnsi="Arial"/>
          <w:b/>
          <w:bCs/>
          <w:i w:val="false"/>
          <w:iCs w:val="false"/>
          <w:color w:val="2C3E50"/>
          <w:sz w:val="21"/>
          <w:szCs w:val="21"/>
        </w:rPr>
        <w:t xml:space="preserve">V – Condições para resgate:</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valor acumulado será pago ao final do período de contagem (após o Festival Folclórico);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Requisitos cumulativos: (i) ter sido ativado (cumprido os requisitos dos 3 meses iniciais); (ii) frequência mínima de 75% nos ensaios do período remunerado; (iii) média de avaliação ≥ 4 em pelo menos 75% dos ensaios do período remunerado; (iv) nenhuma falta grave não revertida; (v) figurino devolvido em bom estado; (vi) permanência na quadrilha até o Festival;</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 resgate pode ser em dinheiro ou convertido em desconto na camisa oficial da próxima temporada, por opção do brincante.</w:t>
      </w:r>
    </w:p>
    <w:p>
      <w:pPr>
        <w:spacing w:after="40"/>
      </w:pPr>
    </w:p>
    <w:p>
      <w:pPr>
        <w:spacing w:after="60" w:line="280"/>
        <w:jc w:val="both"/>
      </w:pPr>
      <w:r>
        <w:rPr>
          <w:rFonts w:ascii="Arial" w:cs="Arial" w:eastAsia="Arial" w:hAnsi="Arial"/>
          <w:b/>
          <w:bCs/>
          <w:i w:val="false"/>
          <w:iCs w:val="false"/>
          <w:color w:val="2C3E50"/>
          <w:sz w:val="21"/>
          <w:szCs w:val="21"/>
        </w:rPr>
        <w:t xml:space="preserve">VI – Perda da bonificação: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Perda INTEGRAL: abandono sem aviso; ingresso em quadrilha concorrente; desligamento por falta grave; frequência ou desempenho abaixo do mínimo sem justificativa aceita;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Perda de 50%: segunda advertência formal (Cláusula Sétima, 7.2);</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Perda INTEGRAL: desligamento nos 15 dias anteriores ao Festival sem força maior.</w:t>
      </w:r>
    </w:p>
    <w:p>
      <w:pPr>
        <w:spacing w:after="40"/>
      </w:pPr>
    </w:p>
    <w:p>
      <w:pPr>
        <w:spacing w:after="60" w:line="280"/>
        <w:jc w:val="both"/>
      </w:pPr>
      <w:r>
        <w:rPr>
          <w:rFonts w:ascii="Arial" w:cs="Arial" w:eastAsia="Arial" w:hAnsi="Arial"/>
          <w:b/>
          <w:bCs/>
          <w:i w:val="false"/>
          <w:iCs w:val="false"/>
          <w:color w:val="2C3E50"/>
          <w:sz w:val="21"/>
          <w:szCs w:val="21"/>
        </w:rPr>
        <w:t xml:space="preserve">VII – Natureza: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 bonificação NÃO constitui vínculo empregatício, salário ou remuneração. É incentivo simbólico;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A coordenação da quadrilha não recebe bonificação;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Valores e regras poderão ser revisados a cada temporada;</w:t>
      </w:r>
    </w:p>
    <w:p>
      <w:pPr>
        <w:spacing w:after="40"/>
      </w:pPr>
    </w:p>
    <w:p>
      <w:pPr>
        <w:spacing w:after="60" w:line="280"/>
        <w:jc w:val="both"/>
      </w:pPr>
      <w:r>
        <w:rPr>
          <w:rFonts w:ascii="Arial" w:cs="Arial" w:eastAsia="Arial" w:hAnsi="Arial"/>
          <w:b/>
          <w:bCs/>
          <w:i w:val="false"/>
          <w:iCs w:val="false"/>
          <w:color w:val="2C3E50"/>
          <w:sz w:val="21"/>
          <w:szCs w:val="21"/>
        </w:rPr>
        <w:t xml:space="preserve">IX – Programa de Fidelidade (a partir da temporada 2027):</w:t>
      </w:r>
    </w:p>
    <w:p>
      <w:pPr>
        <w:spacing w:after="140" w:line="280"/>
        <w:jc w:val="both"/>
      </w:pPr>
      <w:r>
        <w:rPr>
          <w:rFonts w:ascii="Arial" w:cs="Arial" w:eastAsia="Arial" w:hAnsi="Arial"/>
          <w:b w:val="false"/>
          <w:bCs w:val="false"/>
          <w:i w:val="false"/>
          <w:iCs w:val="false"/>
          <w:color w:val="2C3E50"/>
          <w:sz w:val="21"/>
          <w:szCs w:val="21"/>
        </w:rPr>
        <w:t xml:space="preserve">A QUADRILHA reconhece e valoriza os brincantes que permanecem no grupo ao longo dos anos. A partir da segunda temporada consecutiva, o brincante acessa benefícios progressivos:</w:t>
      </w:r>
    </w:p>
    <w:p>
      <w:pPr>
        <w:spacing w:after="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55"/>
        <w:gridCol w:w="2786"/>
        <w:gridCol w:w="2785"/>
      </w:tblGrid>
      <w:tr>
        <w:tc>
          <w:tcPr>
            <w:tcW w:type="dxa" w:w="16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Nível</w:t>
            </w:r>
          </w:p>
        </w:tc>
        <w:tc>
          <w:tcPr>
            <w:tcW w:type="dxa" w:w="1855"/>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Tempo</w:t>
            </w:r>
          </w:p>
        </w:tc>
        <w:tc>
          <w:tcPr>
            <w:tcW w:type="dxa" w:w="2786"/>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Bonificação por ensaio</w:t>
            </w:r>
          </w:p>
        </w:tc>
        <w:tc>
          <w:tcPr>
            <w:tcW w:type="dxa" w:w="2785"/>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Benefícios adicionais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Nível 1</w:t>
            </w:r>
          </w:p>
        </w:tc>
        <w:tc>
          <w:tcPr>
            <w:tcW w:type="dxa" w:w="18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1ª temporada</w:t>
            </w:r>
          </w:p>
        </w:tc>
        <w:tc>
          <w:tcPr>
            <w:tcW w:type="dxa" w:w="278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R$ 0,50 (valor base)</w:t>
            </w:r>
          </w:p>
        </w:tc>
        <w:tc>
          <w:tcPr>
            <w:tcW w:type="dxa" w:w="278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Sistema base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Nível 2</w:t>
            </w:r>
          </w:p>
        </w:tc>
        <w:tc>
          <w:tcPr>
            <w:tcW w:type="dxa" w:w="18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2ª temporada consecutiva</w:t>
            </w:r>
          </w:p>
        </w:tc>
        <w:tc>
          <w:tcPr>
            <w:tcW w:type="dxa" w:w="278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R$ 0,75 (+50%)</w:t>
            </w:r>
          </w:p>
        </w:tc>
        <w:tc>
          <w:tcPr>
            <w:tcW w:type="dxa" w:w="278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Prioridade em remanejamento de filas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Nível 3</w:t>
            </w:r>
          </w:p>
        </w:tc>
        <w:tc>
          <w:tcPr>
            <w:tcW w:type="dxa" w:w="185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3ª+ temporada consecutiva</w:t>
            </w:r>
          </w:p>
        </w:tc>
        <w:tc>
          <w:tcPr>
            <w:tcW w:type="dxa" w:w="278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R$ 1,00 (dobro)</w:t>
            </w:r>
          </w:p>
        </w:tc>
        <w:tc>
          <w:tcPr>
            <w:tcW w:type="dxa" w:w="2785"/>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Camisa gratuita + prioridade na seleção de itens</w:t>
            </w:r>
          </w:p>
        </w:tc>
      </w:tr>
    </w:tbl>
    <w:p>
      <w:pPr>
        <w:spacing w:after="40"/>
      </w:pP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 contagem de temporadas é consecutiva. Se o brincante sair da quadrilha por uma temporada e retornar, reinicia no Nível 1;</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Transferência para quadrilha concorrente zera o nível e o histórico de fidelidade;</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 nível é reconhecido automaticamente pela coordenação com base no registro de temporadas anteriores;</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Os benefícios do Programa de Fidelidade se aplicam a partir da temporada 2027 (primeira temporada em que haverá brincantes de Nível 2). Na temporada 2026, todos iniciam no Nível 1;</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Os valores e benefícios por nível poderão ser ajustados a cada temporada conforme a capacidade financeira da quadrilha.</w:t>
      </w:r>
    </w:p>
    <w:p>
      <w:pPr>
        <w:spacing w:after="100"/>
      </w:pPr>
    </w:p>
    <w:p>
      <w:pPr>
        <w:spacing w:after="80" w:line="280"/>
        <w:jc w:val="both"/>
      </w:pPr>
      <w:r>
        <w:rPr>
          <w:rFonts w:ascii="Arial" w:cs="Arial" w:eastAsia="Arial" w:hAnsi="Arial"/>
          <w:b/>
          <w:bCs/>
          <w:i w:val="false"/>
          <w:iCs w:val="false"/>
          <w:color w:val="2C3E50"/>
          <w:sz w:val="21"/>
          <w:szCs w:val="21"/>
        </w:rPr>
        <w:t xml:space="preserve">Projeção financeira da bonificação – Temporada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1842"/>
        <w:gridCol w:w="1842"/>
      </w:tblGrid>
      <w:tr>
        <w:tc>
          <w:tcPr>
            <w:tcW w:type="dxa" w:w="35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Item</w:t>
            </w:r>
          </w:p>
        </w:tc>
        <w:tc>
          <w:tcPr>
            <w:tcW w:type="dxa" w:w="1842"/>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Unitário</w:t>
            </w:r>
          </w:p>
        </w:tc>
        <w:tc>
          <w:tcPr>
            <w:tcW w:type="dxa" w:w="1842"/>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Qtd. estimada</w:t>
            </w:r>
          </w:p>
        </w:tc>
        <w:tc>
          <w:tcPr>
            <w:tcW w:type="dxa" w:w="1842"/>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Total/brincante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Ensaios remunerados (mai–jul)</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R$ 0,50</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~68 ensaios</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R$ 34,00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Apresentações oficiais externas</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R$ 1,00</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~5 apresentações</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R$ 5,00</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Bônus Festival Folclórico de Beruri</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R$ 5,00</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1 festival</w:t>
            </w:r>
          </w:p>
        </w:tc>
        <w:tc>
          <w:tcPr>
            <w:tcW w:type="dxa" w:w="184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R$ 5,00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bCs/>
                <w:color w:val="2C3E50"/>
                <w:sz w:val="20"/>
                <w:szCs w:val="20"/>
              </w:rPr>
              <w:t xml:space="preserve">MÁXIMO POR BRINCANTE (100% presença)</w:t>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
            </w:r>
          </w:p>
        </w:tc>
        <w:tc>
          <w:tcPr>
            <w:tcW w:type="dxa" w:w="18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bCs/>
                <w:color w:val="2C3E50"/>
                <w:sz w:val="20"/>
                <w:szCs w:val="20"/>
              </w:rPr>
              <w:t xml:space="preserve">R$ 44,00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Projeção de custo total</w:t>
            </w:r>
          </w:p>
        </w:tc>
        <w:tc>
          <w:tcPr>
            <w:tcW w:type="dxa" w:w="3526"/>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Valor estimado</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Brincantes com ativação (estimativa: ~38 de 57 ativam)</w:t>
            </w:r>
          </w:p>
        </w:tc>
        <w:tc>
          <w:tcPr>
            <w:tcW w:type="dxa" w:w="3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~38 brincantes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Cenário máximo (todos ativados com 100% presença)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38 × R$ 44 = R$ 1.672,00</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Cenário realista (80% presença no período remunerado)</w:t>
            </w:r>
          </w:p>
        </w:tc>
        <w:tc>
          <w:tcPr>
            <w:tcW w:type="dxa" w:w="35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38 × R$ 36 ≈ R$ 1.368,00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Cenário conservador (75% + algumas perdas por sanção)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b w:val="false"/>
                <w:bCs w:val="false"/>
                <w:color w:val="2C3E50"/>
                <w:sz w:val="20"/>
                <w:szCs w:val="20"/>
              </w:rPr>
              <w:t xml:space="preserve">34 × R$ 32 ≈ R$ 1.088,00</w:t>
            </w:r>
          </w:p>
        </w:tc>
      </w:tr>
    </w:tbl>
    <w:p>
      <w:pPr>
        <w:spacing w:after="40"/>
      </w:pPr>
    </w:p>
    <w:p>
      <w:pPr>
        <w:spacing w:after="140" w:line="280"/>
        <w:jc w:val="both"/>
      </w:pPr>
      <w:r>
        <w:rPr>
          <w:rFonts w:ascii="Arial" w:cs="Arial" w:eastAsia="Arial" w:hAnsi="Arial"/>
          <w:b w:val="false"/>
          <w:bCs w:val="false"/>
          <w:i/>
          <w:iCs/>
          <w:color w:val="2C3E50"/>
          <w:sz w:val="21"/>
          <w:szCs w:val="21"/>
        </w:rPr>
        <w:t xml:space="preserve">Obs.: Os valores de apresentações externas são estimados. O número real depende dos convites recebidos ao longo da temporada.</w:t>
      </w:r>
    </w:p>
    <w:p>
      <w:pPr>
        <w:spacing w:after="120" w:before="280"/>
      </w:pPr>
      <w:r>
        <w:rPr>
          <w:rFonts w:ascii="Arial" w:cs="Arial" w:eastAsia="Arial" w:hAnsi="Arial"/>
          <w:b/>
          <w:bCs/>
          <w:color w:val="922B21"/>
          <w:sz w:val="22"/>
          <w:szCs w:val="22"/>
        </w:rPr>
        <w:t xml:space="preserve">CLÁUSULA SÉTIMA – DO CÓDIGO DE CONDUTA E SANÇÕES</w:t>
      </w:r>
    </w:p>
    <w:p>
      <w:pPr>
        <w:spacing w:after="140" w:line="280"/>
        <w:jc w:val="both"/>
      </w:pPr>
      <w:r>
        <w:rPr>
          <w:rFonts w:ascii="Arial" w:cs="Arial" w:eastAsia="Arial" w:hAnsi="Arial"/>
          <w:b w:val="false"/>
          <w:bCs w:val="false"/>
          <w:i w:val="false"/>
          <w:iCs w:val="false"/>
          <w:color w:val="2C3E50"/>
          <w:sz w:val="21"/>
          <w:szCs w:val="21"/>
        </w:rPr>
        <w:t xml:space="preserve">Constituem faltas graves:</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Agressão física ou verbal a qualquer membro;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Comparecer sob efeito de álcool ou substâncias ilícitas;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Desrespeito reiterado às orientações da coordenação;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Dano intencional ao figurino ou materiais;</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Divulgação não autorizada de informações estratégicas;</w:t>
      </w:r>
    </w:p>
    <w:p>
      <w:pPr>
        <w:spacing w:after="100" w:line="280"/>
        <w:ind w:left="360"/>
      </w:pPr>
      <w:r>
        <w:rPr>
          <w:rFonts w:ascii="Arial" w:cs="Arial" w:eastAsia="Arial" w:hAnsi="Arial"/>
          <w:b/>
          <w:bCs/>
          <w:color w:val="2C3E50"/>
          <w:sz w:val="21"/>
          <w:szCs w:val="21"/>
        </w:rPr>
        <w:t xml:space="preserve">f) </w:t>
      </w:r>
      <w:r>
        <w:rPr>
          <w:rFonts w:ascii="Arial" w:cs="Arial" w:eastAsia="Arial" w:hAnsi="Arial"/>
          <w:color w:val="2C3E50"/>
          <w:sz w:val="21"/>
          <w:szCs w:val="21"/>
        </w:rPr>
        <w:t xml:space="preserve">Conduta que prejudique a imagem ou harmonia do grupo.</w:t>
      </w:r>
    </w:p>
    <w:p>
      <w:pPr>
        <w:spacing w:after="40"/>
      </w:pPr>
    </w:p>
    <w:p>
      <w:pPr>
        <w:spacing w:after="60" w:line="280"/>
        <w:jc w:val="both"/>
      </w:pPr>
      <w:r>
        <w:rPr>
          <w:rFonts w:ascii="Arial" w:cs="Arial" w:eastAsia="Arial" w:hAnsi="Arial"/>
          <w:b/>
          <w:bCs/>
          <w:i w:val="false"/>
          <w:iCs w:val="false"/>
          <w:color w:val="2C3E50"/>
          <w:sz w:val="21"/>
          <w:szCs w:val="21"/>
        </w:rPr>
        <w:t xml:space="preserve">Sistema progressivo de sanções:</w:t>
      </w:r>
    </w:p>
    <w:p>
      <w:pPr>
        <w:spacing w:after="100" w:line="280"/>
        <w:ind w:left="360"/>
      </w:pPr>
      <w:r>
        <w:rPr>
          <w:rFonts w:ascii="Arial" w:cs="Arial" w:eastAsia="Arial" w:hAnsi="Arial"/>
          <w:b/>
          <w:bCs/>
          <w:color w:val="2C3E50"/>
          <w:sz w:val="21"/>
          <w:szCs w:val="21"/>
        </w:rPr>
        <w:t xml:space="preserve">7.1 </w:t>
      </w:r>
      <w:r>
        <w:rPr>
          <w:rFonts w:ascii="Arial" w:cs="Arial" w:eastAsia="Arial" w:hAnsi="Arial"/>
          <w:color w:val="2C3E50"/>
          <w:sz w:val="21"/>
          <w:szCs w:val="21"/>
        </w:rPr>
        <w:t xml:space="preserve">1ª ocorrência: advertência verbal com registro no sistema;</w:t>
      </w:r>
    </w:p>
    <w:p>
      <w:pPr>
        <w:spacing w:after="100" w:line="280"/>
        <w:ind w:left="360"/>
      </w:pPr>
      <w:r>
        <w:rPr>
          <w:rFonts w:ascii="Arial" w:cs="Arial" w:eastAsia="Arial" w:hAnsi="Arial"/>
          <w:b/>
          <w:bCs/>
          <w:color w:val="2C3E50"/>
          <w:sz w:val="21"/>
          <w:szCs w:val="21"/>
        </w:rPr>
        <w:t xml:space="preserve">7.2 </w:t>
      </w:r>
      <w:r>
        <w:rPr>
          <w:rFonts w:ascii="Arial" w:cs="Arial" w:eastAsia="Arial" w:hAnsi="Arial"/>
          <w:color w:val="2C3E50"/>
          <w:sz w:val="21"/>
          <w:szCs w:val="21"/>
        </w:rPr>
        <w:t xml:space="preserve">2ª ocorrência: advertência formal + perda de 50% da bonificação acumulada;</w:t>
      </w:r>
    </w:p>
    <w:p>
      <w:pPr>
        <w:spacing w:after="100" w:line="280"/>
        <w:ind w:left="360"/>
      </w:pPr>
      <w:r>
        <w:rPr>
          <w:rFonts w:ascii="Arial" w:cs="Arial" w:eastAsia="Arial" w:hAnsi="Arial"/>
          <w:b/>
          <w:bCs/>
          <w:color w:val="2C3E50"/>
          <w:sz w:val="21"/>
          <w:szCs w:val="21"/>
        </w:rPr>
        <w:t xml:space="preserve">7.3 </w:t>
      </w:r>
      <w:r>
        <w:rPr>
          <w:rFonts w:ascii="Arial" w:cs="Arial" w:eastAsia="Arial" w:hAnsi="Arial"/>
          <w:color w:val="2C3E50"/>
          <w:sz w:val="21"/>
          <w:szCs w:val="21"/>
        </w:rPr>
        <w:t xml:space="preserve">3ª ocorrência: desligamento + perda integral;</w:t>
      </w:r>
    </w:p>
    <w:p>
      <w:pPr>
        <w:spacing w:after="100" w:line="280"/>
        <w:ind w:left="360"/>
      </w:pPr>
      <w:r>
        <w:rPr>
          <w:rFonts w:ascii="Arial" w:cs="Arial" w:eastAsia="Arial" w:hAnsi="Arial"/>
          <w:b/>
          <w:bCs/>
          <w:color w:val="2C3E50"/>
          <w:sz w:val="21"/>
          <w:szCs w:val="21"/>
        </w:rPr>
        <w:t xml:space="preserve">7.4 </w:t>
      </w:r>
      <w:r>
        <w:rPr>
          <w:rFonts w:ascii="Arial" w:cs="Arial" w:eastAsia="Arial" w:hAnsi="Arial"/>
          <w:color w:val="2C3E50"/>
          <w:sz w:val="21"/>
          <w:szCs w:val="21"/>
        </w:rPr>
        <w:t xml:space="preserve">Gravidade extrema (agressão física): desligamento imediato + perda integral.</w:t>
      </w:r>
    </w:p>
    <w:p>
      <w:pPr>
        <w:spacing w:after="120" w:before="280"/>
      </w:pPr>
      <w:r>
        <w:rPr>
          <w:rFonts w:ascii="Arial" w:cs="Arial" w:eastAsia="Arial" w:hAnsi="Arial"/>
          <w:b/>
          <w:bCs/>
          <w:color w:val="922B21"/>
          <w:sz w:val="22"/>
          <w:szCs w:val="22"/>
        </w:rPr>
        <w:t xml:space="preserve">CLÁUSULA OITAVA – DO DESLIGAMENTO</w:t>
      </w:r>
    </w:p>
    <w:p>
      <w:pPr>
        <w:spacing w:after="60" w:line="280"/>
        <w:jc w:val="both"/>
      </w:pPr>
      <w:r>
        <w:rPr>
          <w:rFonts w:ascii="Arial" w:cs="Arial" w:eastAsia="Arial" w:hAnsi="Arial"/>
          <w:b/>
          <w:bCs/>
          <w:i w:val="false"/>
          <w:iCs w:val="false"/>
          <w:color w:val="2C3E50"/>
          <w:sz w:val="21"/>
          <w:szCs w:val="21"/>
        </w:rPr>
        <w:t xml:space="preserve">I – Desligamento voluntário: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Comunicar com 7 dias de antecedência; devolver figurino e materiais;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Se cumpriu requisitos até a data: bonificação proporcional, EXCETO se nos 15 dias anteriores ao Festival;</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Desligamento nos 15 dias pré-Festival sem força maior: perda integral.</w:t>
      </w:r>
    </w:p>
    <w:p>
      <w:pPr>
        <w:spacing w:after="40"/>
      </w:pPr>
    </w:p>
    <w:p>
      <w:pPr>
        <w:spacing w:after="60" w:line="280"/>
        <w:jc w:val="both"/>
      </w:pPr>
      <w:r>
        <w:rPr>
          <w:rFonts w:ascii="Arial" w:cs="Arial" w:eastAsia="Arial" w:hAnsi="Arial"/>
          <w:b/>
          <w:bCs/>
          <w:i w:val="false"/>
          <w:iCs w:val="false"/>
          <w:color w:val="2C3E50"/>
          <w:sz w:val="21"/>
          <w:szCs w:val="21"/>
        </w:rPr>
        <w:t xml:space="preserve">II – Transferência para concorrente:</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Perda integral e automática da bonificação;</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Registro para seleções futuras;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Devolução obrigatória de figurino e materiais antes da transferência.</w:t>
      </w:r>
    </w:p>
    <w:p>
      <w:pPr>
        <w:spacing w:after="40"/>
      </w:pPr>
    </w:p>
    <w:p>
      <w:pPr>
        <w:spacing w:after="60" w:line="280"/>
        <w:jc w:val="both"/>
      </w:pPr>
      <w:r>
        <w:rPr>
          <w:rFonts w:ascii="Arial" w:cs="Arial" w:eastAsia="Arial" w:hAnsi="Arial"/>
          <w:b/>
          <w:bCs/>
          <w:i w:val="false"/>
          <w:iCs w:val="false"/>
          <w:color w:val="2C3E50"/>
          <w:sz w:val="21"/>
          <w:szCs w:val="21"/>
        </w:rPr>
        <w:t xml:space="preserve">III – Desligamento pela quadrilha:</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Somente após esgotar sistema de sanções;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Brincante será comunicado e terá oportunidade de defesa.</w:t>
      </w:r>
    </w:p>
    <w:p>
      <w:pPr>
        <w:spacing w:after="120" w:before="280"/>
      </w:pPr>
      <w:r>
        <w:rPr>
          <w:rFonts w:ascii="Arial" w:cs="Arial" w:eastAsia="Arial" w:hAnsi="Arial"/>
          <w:b/>
          <w:bCs/>
          <w:color w:val="922B21"/>
          <w:sz w:val="22"/>
          <w:szCs w:val="22"/>
        </w:rPr>
        <w:t xml:space="preserve">CLÁUSULA NONA – DA VIGÊNCIA</w:t>
      </w:r>
    </w:p>
    <w:p>
      <w:pPr>
        <w:spacing w:after="140" w:line="280"/>
        <w:jc w:val="both"/>
      </w:pPr>
      <w:r>
        <w:rPr>
          <w:rFonts w:ascii="Arial" w:cs="Arial" w:eastAsia="Arial" w:hAnsi="Arial"/>
          <w:b w:val="false"/>
          <w:bCs w:val="false"/>
          <w:i w:val="false"/>
          <w:iCs w:val="false"/>
          <w:color w:val="2C3E50"/>
          <w:sz w:val="21"/>
          <w:szCs w:val="21"/>
        </w:rPr>
        <w:t xml:space="preserve">O contrato vigora da data de assinatura até o encerramento de todas as atividades oficiais da temporada 2026, incluindo apresentações e ensaios pós-Festival Folclórico. A contagem de bonificação, no entanto, encerra-se na data do Festival Folclórico de Beruri. Renovação depende de novo termo.</w:t>
      </w:r>
    </w:p>
    <w:p>
      <w:pPr>
        <w:spacing w:after="120" w:before="280"/>
      </w:pPr>
      <w:r>
        <w:rPr>
          <w:rFonts w:ascii="Arial" w:cs="Arial" w:eastAsia="Arial" w:hAnsi="Arial"/>
          <w:b/>
          <w:bCs/>
          <w:color w:val="922B21"/>
          <w:sz w:val="22"/>
          <w:szCs w:val="22"/>
        </w:rPr>
        <w:t xml:space="preserve">CLÁUSULA DÉCIMA – DAS DISPOSIÇÕES GERAIS</w:t>
      </w:r>
    </w:p>
    <w:p>
      <w:pPr>
        <w:spacing w:after="100" w:line="280"/>
        <w:ind w:left="360"/>
      </w:pPr>
      <w:r>
        <w:rPr>
          <w:rFonts w:ascii="Arial" w:cs="Arial" w:eastAsia="Arial" w:hAnsi="Arial"/>
          <w:b/>
          <w:bCs/>
          <w:color w:val="2C3E50"/>
          <w:sz w:val="21"/>
          <w:szCs w:val="21"/>
        </w:rPr>
        <w:t xml:space="preserve">10.1 </w:t>
      </w:r>
      <w:r>
        <w:rPr>
          <w:rFonts w:ascii="Arial" w:cs="Arial" w:eastAsia="Arial" w:hAnsi="Arial"/>
          <w:color w:val="2C3E50"/>
          <w:sz w:val="21"/>
          <w:szCs w:val="21"/>
        </w:rPr>
        <w:t xml:space="preserve">Este Termo não estabelece vínculo empregatício.</w:t>
      </w:r>
    </w:p>
    <w:p>
      <w:pPr>
        <w:spacing w:after="100" w:line="280"/>
        <w:ind w:left="360"/>
      </w:pPr>
      <w:r>
        <w:rPr>
          <w:rFonts w:ascii="Arial" w:cs="Arial" w:eastAsia="Arial" w:hAnsi="Arial"/>
          <w:b/>
          <w:bCs/>
          <w:color w:val="2C3E50"/>
          <w:sz w:val="21"/>
          <w:szCs w:val="21"/>
        </w:rPr>
        <w:t xml:space="preserve">10.2 </w:t>
      </w:r>
      <w:r>
        <w:rPr>
          <w:rFonts w:ascii="Arial" w:cs="Arial" w:eastAsia="Arial" w:hAnsi="Arial"/>
          <w:color w:val="2C3E50"/>
          <w:sz w:val="21"/>
          <w:szCs w:val="21"/>
        </w:rPr>
        <w:t xml:space="preserve">Casos omissos: coordenação decide, ouvido o brincante.</w:t>
      </w:r>
    </w:p>
    <w:p>
      <w:pPr>
        <w:spacing w:after="100" w:line="280"/>
        <w:ind w:left="360"/>
      </w:pPr>
      <w:r>
        <w:rPr>
          <w:rFonts w:ascii="Arial" w:cs="Arial" w:eastAsia="Arial" w:hAnsi="Arial"/>
          <w:b/>
          <w:bCs/>
          <w:color w:val="2C3E50"/>
          <w:sz w:val="21"/>
          <w:szCs w:val="21"/>
        </w:rPr>
        <w:t xml:space="preserve">10.3 </w:t>
      </w:r>
      <w:r>
        <w:rPr>
          <w:rFonts w:ascii="Arial" w:cs="Arial" w:eastAsia="Arial" w:hAnsi="Arial"/>
          <w:color w:val="2C3E50"/>
          <w:sz w:val="21"/>
          <w:szCs w:val="21"/>
        </w:rPr>
        <w:t xml:space="preserve">As partes elegem o foro da Comarca de Beruri/AM para dirimir quaisquer questões.</w:t>
      </w:r>
    </w:p>
    <w:p>
      <w:pPr>
        <w:spacing w:after="100" w:line="280"/>
        <w:ind w:left="360"/>
      </w:pPr>
      <w:r>
        <w:rPr>
          <w:rFonts w:ascii="Arial" w:cs="Arial" w:eastAsia="Arial" w:hAnsi="Arial"/>
          <w:b/>
          <w:bCs/>
          <w:color w:val="2C3E50"/>
          <w:sz w:val="21"/>
          <w:szCs w:val="21"/>
        </w:rPr>
        <w:t xml:space="preserve">10.4 </w:t>
      </w:r>
      <w:r>
        <w:rPr>
          <w:rFonts w:ascii="Arial" w:cs="Arial" w:eastAsia="Arial" w:hAnsi="Arial"/>
          <w:color w:val="2C3E50"/>
          <w:sz w:val="21"/>
          <w:szCs w:val="21"/>
        </w:rPr>
        <w:t xml:space="preserve">O reconhecimento de firma em cartório é opcional e poderá ser adotado em temporadas futuras conforme a evolução do grupo.</w:t>
      </w:r>
    </w:p>
    <w:p>
      <w:pPr>
        <w:spacing w:after="100"/>
      </w:pPr>
    </w:p>
    <w:p>
      <w:pPr>
        <w:spacing w:after="60" w:line="280"/>
        <w:jc w:val="both"/>
      </w:pPr>
      <w:r>
        <w:rPr>
          <w:rFonts w:ascii="Arial" w:cs="Arial" w:eastAsia="Arial" w:hAnsi="Arial"/>
          <w:b w:val="false"/>
          <w:bCs w:val="false"/>
          <w:i w:val="false"/>
          <w:iCs w:val="false"/>
          <w:color w:val="2C3E50"/>
          <w:sz w:val="21"/>
          <w:szCs w:val="21"/>
        </w:rPr>
        <w:t xml:space="preserve">E, por estarem assim justos e acordados, as partes assinam o presente instrumento em duas vias de igual teor e forma.</w:t>
      </w:r>
    </w:p>
    <w:p>
      <w:pPr>
        <w:spacing w:after="60"/>
      </w:pPr>
    </w:p>
    <w:p>
      <w:pPr>
        <w:spacing w:after="140" w:line="280"/>
        <w:jc w:val="left"/>
      </w:pPr>
      <w:r>
        <w:rPr>
          <w:rFonts w:ascii="Arial" w:cs="Arial" w:eastAsia="Arial" w:hAnsi="Arial"/>
          <w:b w:val="false"/>
          <w:bCs w:val="false"/>
          <w:i w:val="false"/>
          <w:iCs w:val="false"/>
          <w:color w:val="2C3E50"/>
          <w:sz w:val="21"/>
          <w:szCs w:val="21"/>
        </w:rPr>
        <w:t xml:space="preserve">Beruri – AM, _____ de _______________ de 2026.</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COORDENAÇÃO DA QUADRILHA EXPLOSÃO JUNINA</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BRINCANTE / ITEM</w:t>
      </w:r>
    </w:p>
    <w:p>
      <w:pPr>
        <w:spacing w:after="200"/>
      </w:pP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TESTEMUNHA 1 – Nome: _________________ CPF: _________________</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TESTEMUNHA 2 – Nome: _________________ CPF: _________________</w:t>
      </w:r>
    </w:p>
    <w:p>
      <w:r>
        <w:br w:type="page"/>
      </w:r>
    </w:p>
    <w:p>
      <w:pPr>
        <w:spacing w:after="100"/>
      </w:pPr>
    </w:p>
    <w:p>
      <w:pPr>
        <w:spacing w:after="60"/>
        <w:jc w:val="center"/>
      </w:pPr>
      <w:r>
        <w:rPr>
          <w:rFonts w:ascii="Arial" w:cs="Arial" w:eastAsia="Arial" w:hAnsi="Arial"/>
          <w:b/>
          <w:bCs/>
          <w:color w:val="922B21"/>
          <w:sz w:val="26"/>
          <w:szCs w:val="26"/>
        </w:rPr>
        <w:t xml:space="preserve">ANEXO I – AUTORIZAÇÃO DO RESPONSÁVEL LEGAL</w:t>
      </w:r>
    </w:p>
    <w:p>
      <w:pPr>
        <w:spacing w:after="200"/>
        <w:jc w:val="center"/>
      </w:pPr>
      <w:r>
        <w:rPr>
          <w:rFonts w:ascii="Arial" w:cs="Arial" w:eastAsia="Arial" w:hAnsi="Arial"/>
          <w:i/>
          <w:iCs/>
          <w:color w:val="2C3E50"/>
          <w:sz w:val="20"/>
          <w:szCs w:val="20"/>
        </w:rPr>
        <w:t xml:space="preserve">(Obrigatório para menores de 18 anos)</w:t>
      </w:r>
    </w:p>
    <w:p>
      <w:pPr>
        <w:spacing w:after="140" w:line="280"/>
        <w:jc w:val="both"/>
      </w:pPr>
      <w:r>
        <w:rPr>
          <w:rFonts w:ascii="Arial" w:cs="Arial" w:eastAsia="Arial" w:hAnsi="Arial"/>
          <w:b w:val="false"/>
          <w:bCs w:val="false"/>
          <w:i w:val="false"/>
          <w:iCs w:val="false"/>
          <w:color w:val="2C3E50"/>
          <w:sz w:val="21"/>
          <w:szCs w:val="21"/>
        </w:rPr>
        <w:t xml:space="preserve">Eu, ____________________________________________________________, portador(a) do RG nº ____________________ e CPF nº ____________________, responsável legal pelo(a) menor ____________________________________________________________, AUTORIZO sua participação no Grupo Recreativo e Folclórico Quadrilha Explosão Junina de Beruri na temporada 2026.</w:t>
      </w:r>
    </w:p>
    <w:p>
      <w:pPr>
        <w:spacing w:after="60"/>
      </w:pPr>
    </w:p>
    <w:p>
      <w:pPr>
        <w:spacing w:after="140" w:line="280"/>
        <w:jc w:val="both"/>
      </w:pPr>
      <w:r>
        <w:rPr>
          <w:rFonts w:ascii="Arial" w:cs="Arial" w:eastAsia="Arial" w:hAnsi="Arial"/>
          <w:b w:val="false"/>
          <w:bCs w:val="false"/>
          <w:i w:val="false"/>
          <w:iCs w:val="false"/>
          <w:color w:val="2C3E50"/>
          <w:sz w:val="21"/>
          <w:szCs w:val="21"/>
        </w:rPr>
        <w:t xml:space="preserve">Declaro ciência de todas as cláusulas do Termo de Compromisso, incluindo avaliação de desempenho, o caráter voluntário do Programa de Bonificação, apresentações não remuneradas para a Igreja Católica, cessão de uso de imagem e participação obrigatória em todas as atividades da quadrilha.</w:t>
      </w:r>
    </w:p>
    <w:p>
      <w:pPr>
        <w:spacing w:after="60"/>
      </w:pPr>
    </w:p>
    <w:p>
      <w:pPr>
        <w:spacing w:after="140" w:line="280"/>
        <w:jc w:val="both"/>
      </w:pPr>
      <w:r>
        <w:rPr>
          <w:rFonts w:ascii="Arial" w:cs="Arial" w:eastAsia="Arial" w:hAnsi="Arial"/>
          <w:b w:val="false"/>
          <w:bCs w:val="false"/>
          <w:i w:val="false"/>
          <w:iCs w:val="false"/>
          <w:color w:val="2C3E50"/>
          <w:sz w:val="21"/>
          <w:szCs w:val="21"/>
        </w:rPr>
        <w:t xml:space="preserve">Comprometo-me a acompanhar e apoiar a participação do(a) menor.</w:t>
      </w:r>
    </w:p>
    <w:p>
      <w:pPr>
        <w:spacing w:after="100"/>
      </w:pPr>
    </w:p>
    <w:p>
      <w:pPr>
        <w:spacing w:after="80" w:line="280"/>
        <w:jc w:val="both"/>
      </w:pPr>
      <w:r>
        <w:rPr>
          <w:rFonts w:ascii="Arial" w:cs="Arial" w:eastAsia="Arial" w:hAnsi="Arial"/>
          <w:b/>
          <w:bCs/>
          <w:i w:val="false"/>
          <w:iCs w:val="false"/>
          <w:color w:val="2C3E50"/>
          <w:sz w:val="21"/>
          <w:szCs w:val="21"/>
        </w:rPr>
        <w:t xml:space="preserve">SOBRE VIAGENS A OUTROS MUNICÍPIOS:</w:t>
      </w:r>
    </w:p>
    <w:p>
      <w:pPr>
        <w:spacing w:after="140" w:line="280"/>
        <w:jc w:val="both"/>
      </w:pPr>
      <w:r>
        <w:rPr>
          <w:rFonts w:ascii="Arial" w:cs="Arial" w:eastAsia="Arial" w:hAnsi="Arial"/>
          <w:b w:val="false"/>
          <w:bCs w:val="false"/>
          <w:i w:val="false"/>
          <w:iCs w:val="false"/>
          <w:color w:val="2C3E50"/>
          <w:sz w:val="21"/>
          <w:szCs w:val="21"/>
        </w:rPr>
        <w:t xml:space="preserve">Declaro estar ciente de que a quadrilha realiza viagens para apresentações em outros municípios ao longo da temporada. Compreendo que:</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Este Anexo NÃO constitui autorização automática para todas as viagens. Cada viagem será comunicada e consultada individualmente pela coordenação junto aos responsáveis legais;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A coordenação sempre informará com antecedência: destino, datas, horários de saída e retorno, meio de transporte e adultos responsáveis;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O(a) responsável legal é bem-vindo(a) para acompanhar o(a) menor em qualquer viagem. A quadrilha incluirá o(a) responsável no planejamento logístico (transporte, alimentação);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Caso o(a) responsável não possa acompanhar, será necessário assinar um Termo de Autorização de Viagem específico (Anexo II), no qual designará os coordenadores adultos da quadrilha como responsáveis pelo(a) menor durante o deslocamento e a apresentação;</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A quadrilha se compromete a zelar pela segurança e bem-estar do(a) menor durante toda a viagem.</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RESPONSÁVEL LEGAL</w:t>
      </w:r>
    </w:p>
    <w:p>
      <w:pPr>
        <w:spacing w:after="100"/>
      </w:pPr>
    </w:p>
    <w:p>
      <w:pPr>
        <w:spacing w:after="140" w:line="280"/>
        <w:jc w:val="left"/>
      </w:pPr>
      <w:r>
        <w:rPr>
          <w:rFonts w:ascii="Arial" w:cs="Arial" w:eastAsia="Arial" w:hAnsi="Arial"/>
          <w:b w:val="false"/>
          <w:bCs w:val="false"/>
          <w:i w:val="false"/>
          <w:iCs w:val="false"/>
          <w:color w:val="2C3E50"/>
          <w:sz w:val="21"/>
          <w:szCs w:val="21"/>
        </w:rPr>
        <w:t xml:space="preserve">Beruri – AM, _____ de _______________ de 2026.</w:t>
      </w:r>
    </w:p>
    <w:p>
      <w:r>
        <w:br w:type="page"/>
      </w:r>
    </w:p>
    <w:p>
      <w:pPr>
        <w:spacing w:after="100"/>
      </w:pPr>
    </w:p>
    <w:p>
      <w:pPr>
        <w:spacing w:after="60"/>
        <w:jc w:val="center"/>
      </w:pPr>
      <w:r>
        <w:rPr>
          <w:rFonts w:ascii="Arial" w:cs="Arial" w:eastAsia="Arial" w:hAnsi="Arial"/>
          <w:b/>
          <w:bCs/>
          <w:color w:val="922B21"/>
          <w:sz w:val="26"/>
          <w:szCs w:val="26"/>
        </w:rPr>
        <w:t xml:space="preserve">ANEXO II – TERMO DE AUTORIZAÇÃO DE VIAGEM</w:t>
      </w:r>
    </w:p>
    <w:p>
      <w:pPr>
        <w:spacing w:after="200"/>
        <w:jc w:val="center"/>
      </w:pPr>
      <w:r>
        <w:rPr>
          <w:rFonts w:ascii="Arial" w:cs="Arial" w:eastAsia="Arial" w:hAnsi="Arial"/>
          <w:i/>
          <w:iCs/>
          <w:color w:val="2C3E50"/>
          <w:sz w:val="18"/>
          <w:szCs w:val="18"/>
        </w:rPr>
        <w:t xml:space="preserve">(Para cada viagem específica, quando o responsável não puder acompanhar)</w:t>
      </w:r>
    </w:p>
    <w:p>
      <w:pPr>
        <w:spacing w:after="140" w:line="280"/>
        <w:jc w:val="both"/>
      </w:pPr>
      <w:r>
        <w:rPr>
          <w:rFonts w:ascii="Arial" w:cs="Arial" w:eastAsia="Arial" w:hAnsi="Arial"/>
          <w:b w:val="false"/>
          <w:bCs w:val="false"/>
          <w:i w:val="false"/>
          <w:iCs w:val="false"/>
          <w:color w:val="2C3E50"/>
          <w:sz w:val="21"/>
          <w:szCs w:val="21"/>
        </w:rPr>
        <w:t xml:space="preserve">Eu, ____________________________________________________________, responsável legal pelo(a) menor ____________________________________________________________, AUTORIZO sua participação na viagem abaixo descrita: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Destino: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saída: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retorno: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Meio de transporte: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Motivo da viagem: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60"/>
      </w:pPr>
    </w:p>
    <w:p>
      <w:pPr>
        <w:spacing w:after="140" w:line="280"/>
        <w:jc w:val="both"/>
      </w:pPr>
      <w:r>
        <w:rPr>
          <w:rFonts w:ascii="Arial" w:cs="Arial" w:eastAsia="Arial" w:hAnsi="Arial"/>
          <w:b w:val="false"/>
          <w:bCs w:val="false"/>
          <w:i w:val="false"/>
          <w:iCs w:val="false"/>
          <w:color w:val="2C3E50"/>
          <w:sz w:val="21"/>
          <w:szCs w:val="21"/>
        </w:rPr>
        <w:t xml:space="preserve">Designo como responsáveis pelo(a) menor durante esta viagem os seguintes coordenadores adultos da quadrilha: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Responsável 1 (nome e CPF):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Responsável 2 (nome e CPF):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60"/>
      </w:pPr>
    </w:p>
    <w:p>
      <w:pPr>
        <w:spacing w:after="140" w:line="280"/>
        <w:jc w:val="both"/>
      </w:pPr>
      <w:r>
        <w:rPr>
          <w:rFonts w:ascii="Arial" w:cs="Arial" w:eastAsia="Arial" w:hAnsi="Arial"/>
          <w:b w:val="false"/>
          <w:bCs w:val="false"/>
          <w:i w:val="false"/>
          <w:iCs w:val="false"/>
          <w:color w:val="2C3E50"/>
          <w:sz w:val="21"/>
          <w:szCs w:val="21"/>
        </w:rPr>
        <w:t xml:space="preserve">Declaro que os coordenadores acima ficam responsáveis pela segurança e bem-estar do(a) menor durante o deslocamento e a apresentação, devendo retorná-lo(a) em segurança ao município de Beruri.</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RESPONSÁVEL LEGAL</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COORDENADOR(A) RESPONSÁVEL 1</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COORDENADOR(A) RESPONSÁVEL 2</w:t>
      </w:r>
    </w:p>
    <w:p>
      <w:pPr>
        <w:spacing w:after="100"/>
      </w:pPr>
    </w:p>
    <w:p>
      <w:pPr>
        <w:spacing w:after="140" w:line="280"/>
        <w:jc w:val="left"/>
      </w:pPr>
      <w:r>
        <w:rPr>
          <w:rFonts w:ascii="Arial" w:cs="Arial" w:eastAsia="Arial" w:hAnsi="Arial"/>
          <w:b w:val="false"/>
          <w:bCs w:val="false"/>
          <w:i w:val="false"/>
          <w:iCs w:val="false"/>
          <w:color w:val="2C3E50"/>
          <w:sz w:val="21"/>
          <w:szCs w:val="21"/>
        </w:rPr>
        <w:t xml:space="preserve">Beruri – AM, _____ de _______________ de 2026.</w:t>
      </w:r>
    </w:p>
    <w:p>
      <w:r>
        <w:br w:type="page"/>
      </w:r>
    </w:p>
    <w:p>
      <w:pPr>
        <w:spacing w:after="100"/>
      </w:pPr>
    </w:p>
    <w:p>
      <w:pPr>
        <w:spacing w:after="20"/>
        <w:jc w:val="center"/>
      </w:pPr>
      <w:r>
        <w:rPr>
          <w:rFonts w:ascii="Arial" w:cs="Arial" w:eastAsia="Arial" w:hAnsi="Arial"/>
          <w:b/>
          <w:bCs/>
          <w:color w:val="922B21"/>
          <w:sz w:val="20"/>
          <w:szCs w:val="20"/>
        </w:rPr>
        <w:t xml:space="preserve">GRUPO RECREATIVO E FOLCLÓRICO</w:t>
      </w:r>
    </w:p>
    <w:p>
      <w:pPr>
        <w:spacing w:after="20"/>
        <w:jc w:val="center"/>
      </w:pPr>
      <w:r>
        <w:rPr>
          <w:rFonts w:ascii="Arial" w:cs="Arial" w:eastAsia="Arial" w:hAnsi="Arial"/>
          <w:b/>
          <w:bCs/>
          <w:color w:val="922B21"/>
          <w:sz w:val="24"/>
          <w:szCs w:val="24"/>
        </w:rPr>
        <w:t xml:space="preserve">QUADRILHA EXPLOSÃO JUNINA DE BERURI</w:t>
      </w:r>
    </w:p>
    <w:p>
      <w:pPr>
        <w:spacing w:after="20"/>
        <w:jc w:val="center"/>
      </w:pPr>
      <w:r>
        <w:rPr>
          <w:rFonts w:ascii="Arial" w:cs="Arial" w:eastAsia="Arial" w:hAnsi="Arial"/>
          <w:i/>
          <w:iCs/>
          <w:color w:val="2C3E50"/>
          <w:sz w:val="18"/>
          <w:szCs w:val="18"/>
        </w:rPr>
        <w:t xml:space="preserve">Campeã do Festival Folclórico de Beruri 2025</w:t>
      </w:r>
    </w:p>
    <w:p>
      <w:pPr>
        <w:spacing w:after="20"/>
        <w:jc w:val="center"/>
      </w:pPr>
      <w:r>
        <w:rPr>
          <w:rFonts w:ascii="Arial" w:cs="Arial" w:eastAsia="Arial" w:hAnsi="Arial"/>
          <w:color w:val="2C3E50"/>
          <w:sz w:val="16"/>
          <w:szCs w:val="16"/>
        </w:rPr>
        <w:t xml:space="preserve">Filiada à Liga das Quadrilhas Juninas do Amazonas (LIQUAJUAM)</w:t>
      </w:r>
    </w:p>
    <w:p>
      <w:pPr>
        <w:spacing w:after="40"/>
        <w:jc w:val="center"/>
      </w:pPr>
      <w:r>
        <w:rPr>
          <w:rFonts w:ascii="Arial" w:cs="Arial" w:eastAsia="Arial" w:hAnsi="Arial"/>
          <w:color w:val="2C3E50"/>
          <w:sz w:val="16"/>
          <w:szCs w:val="16"/>
        </w:rPr>
        <w:t xml:space="preserve">Fundada em 2 de junho de 2017 | Beruri – Amazonas</w:t>
      </w:r>
    </w:p>
    <w:p>
      <w:pPr>
        <w:pBdr>
          <w:bottom w:val="single" w:color="F39C12" w:sz="4" w:space="4"/>
        </w:pBdr>
        <w:jc w:val="center"/>
      </w:pPr>
    </w:p>
    <w:p>
      <w:pPr>
        <w:spacing w:after="200"/>
      </w:pPr>
    </w:p>
    <w:p>
      <w:pPr>
        <w:spacing w:after="60"/>
        <w:jc w:val="center"/>
      </w:pPr>
      <w:r>
        <w:rPr>
          <w:rFonts w:ascii="Arial" w:cs="Arial" w:eastAsia="Arial" w:hAnsi="Arial"/>
          <w:b/>
          <w:bCs/>
          <w:color w:val="2C3E50"/>
          <w:sz w:val="28"/>
          <w:szCs w:val="28"/>
        </w:rPr>
        <w:t xml:space="preserve">TERMO DE COMPROMISSO DO ITEM</w:t>
      </w:r>
    </w:p>
    <w:p>
      <w:pPr>
        <w:spacing w:after="60"/>
        <w:jc w:val="center"/>
      </w:pPr>
      <w:r>
        <w:rPr>
          <w:rFonts w:ascii="Arial" w:cs="Arial" w:eastAsia="Arial" w:hAnsi="Arial"/>
          <w:color w:val="2C3E50"/>
          <w:sz w:val="22"/>
          <w:szCs w:val="22"/>
        </w:rPr>
        <w:t xml:space="preserve">Temporada 2026 – Funções Especiais</w:t>
      </w:r>
    </w:p>
    <w:p>
      <w:pPr>
        <w:spacing w:after="100"/>
      </w:pPr>
    </w:p>
    <w:p>
      <w:pPr>
        <w:spacing w:after="100" w:line="280"/>
        <w:jc w:val="both"/>
      </w:pPr>
      <w:r>
        <w:rPr>
          <w:rFonts w:ascii="Arial" w:cs="Arial" w:eastAsia="Arial" w:hAnsi="Arial"/>
          <w:b/>
          <w:bCs/>
          <w:i w:val="false"/>
          <w:iCs w:val="false"/>
          <w:color w:val="2C3E50"/>
          <w:sz w:val="21"/>
          <w:szCs w:val="21"/>
        </w:rPr>
        <w:t xml:space="preserve">DADOS DO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Nome completo: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Apelido/nome artístico: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Data de nascimento: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RG / CPF:</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Endereço: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Telefone / WhatsApp:</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bCs/>
                <w:color w:val="2C3E50"/>
                <w:sz w:val="20"/>
                <w:szCs w:val="20"/>
              </w:rPr>
              <w:t xml:space="preserve">Função designada: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60"/>
      </w:pPr>
    </w:p>
    <w:p>
      <w:pPr>
        <w:spacing w:after="80" w:line="280"/>
        <w:jc w:val="both"/>
      </w:pPr>
      <w:r>
        <w:rPr>
          <w:rFonts w:ascii="Arial" w:cs="Arial" w:eastAsia="Arial" w:hAnsi="Arial"/>
          <w:b/>
          <w:bCs/>
          <w:i w:val="false"/>
          <w:iCs w:val="false"/>
          <w:color w:val="2C3E50"/>
          <w:sz w:val="21"/>
          <w:szCs w:val="21"/>
        </w:rPr>
        <w:t xml:space="preserve">Funções de ITEM da Explosão Junina: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Função</w:t>
            </w:r>
          </w:p>
        </w:tc>
        <w:tc>
          <w:tcPr>
            <w:tcW w:type="dxa" w:w="6018"/>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Descrição</w:t>
            </w:r>
          </w:p>
        </w:tc>
      </w:tr>
      <w:tr>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bCs/>
                <w:color w:val="2C3E50"/>
                <w:sz w:val="20"/>
                <w:szCs w:val="20"/>
              </w:rPr>
              <w:t xml:space="preserve">Marcador(a)</w:t>
            </w:r>
          </w:p>
        </w:tc>
        <w:tc>
          <w:tcPr>
            <w:tcW w:type="dxa" w:w="601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Conduz a quadrilha, puxa os passos e comanda a energia do espetáculo. A voz da quadrilha.</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bCs/>
                <w:color w:val="2C3E50"/>
                <w:sz w:val="20"/>
                <w:szCs w:val="20"/>
              </w:rPr>
              <w:t xml:space="preserve">Casal de Noivos</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Casal central da narração junina. Protagonistas do enredo romântico e coreográfico.</w:t>
            </w:r>
          </w:p>
        </w:tc>
      </w:tr>
      <w:tr>
        <w:tc>
          <w:tcPr>
            <w:tcW w:type="dxa" w:w="300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bCs/>
                <w:color w:val="2C3E50"/>
                <w:sz w:val="20"/>
                <w:szCs w:val="20"/>
              </w:rPr>
              <w:t xml:space="preserve">Casal Real (Rei e Rainha)</w:t>
            </w:r>
          </w:p>
        </w:tc>
        <w:tc>
          <w:tcPr>
            <w:tcW w:type="dxa" w:w="601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jc w:val="left"/>
            </w:pPr>
            <w:r>
              <w:rPr>
                <w:rFonts w:ascii="Arial" w:cs="Arial" w:eastAsia="Arial" w:hAnsi="Arial"/>
                <w:b w:val="false"/>
                <w:bCs w:val="false"/>
                <w:color w:val="2C3E50"/>
                <w:sz w:val="20"/>
                <w:szCs w:val="20"/>
              </w:rPr>
              <w:t xml:space="preserve">Realeza da quadrilha. Função de destaque visual e coreográfico.</w:t>
            </w:r>
          </w:p>
        </w:tc>
      </w:tr>
    </w:tbl>
    <w:p>
      <w:pPr>
        <w:spacing w:after="100"/>
      </w:pPr>
    </w:p>
    <w:p>
      <w:pPr>
        <w:spacing w:after="140" w:line="280"/>
        <w:jc w:val="both"/>
      </w:pPr>
      <w:r>
        <w:rPr>
          <w:rFonts w:ascii="Arial" w:cs="Arial" w:eastAsia="Arial" w:hAnsi="Arial"/>
          <w:b w:val="false"/>
          <w:bCs w:val="false"/>
          <w:i w:val="false"/>
          <w:iCs w:val="false"/>
          <w:color w:val="2C3E50"/>
          <w:sz w:val="21"/>
          <w:szCs w:val="21"/>
        </w:rPr>
        <w:t xml:space="preserve">A QUADRILHA e o(a) ITEM firmam condições específicas que complementam o Termo do Brincante (aplicado integralmente). Em caso de conflito, prevalecem estas disposições.</w:t>
      </w:r>
    </w:p>
    <w:p>
      <w:pPr>
        <w:spacing w:after="120" w:before="280"/>
      </w:pPr>
      <w:r>
        <w:rPr>
          <w:rFonts w:ascii="Arial" w:cs="Arial" w:eastAsia="Arial" w:hAnsi="Arial"/>
          <w:b/>
          <w:bCs/>
          <w:color w:val="922B21"/>
          <w:sz w:val="22"/>
          <w:szCs w:val="22"/>
        </w:rPr>
        <w:t xml:space="preserve">CLÁUSULA PRIMEIRA – DA EXCLUSIVIDADE</w:t>
      </w:r>
    </w:p>
    <w:p>
      <w:pPr>
        <w:spacing w:after="140" w:line="280"/>
        <w:jc w:val="both"/>
      </w:pPr>
      <w:r>
        <w:rPr>
          <w:rFonts w:ascii="Arial" w:cs="Arial" w:eastAsia="Arial" w:hAnsi="Arial"/>
          <w:b w:val="false"/>
          <w:bCs w:val="false"/>
          <w:i w:val="false"/>
          <w:iCs w:val="false"/>
          <w:color w:val="2C3E50"/>
          <w:sz w:val="21"/>
          <w:szCs w:val="21"/>
        </w:rPr>
        <w:t xml:space="preserve">O ITEM atuará exclusivamente na Explosão Junina durante toda a temporada 2026.</w:t>
      </w:r>
    </w:p>
    <w:p>
      <w:pPr>
        <w:spacing w:after="100" w:line="280"/>
        <w:ind w:left="360"/>
      </w:pPr>
      <w:r>
        <w:rPr>
          <w:rFonts w:ascii="Arial" w:cs="Arial" w:eastAsia="Arial" w:hAnsi="Arial"/>
          <w:b/>
          <w:bCs/>
          <w:color w:val="2C3E50"/>
          <w:sz w:val="21"/>
          <w:szCs w:val="21"/>
        </w:rPr>
        <w:t xml:space="preserve">1.1 </w:t>
      </w:r>
      <w:r>
        <w:rPr>
          <w:rFonts w:ascii="Arial" w:cs="Arial" w:eastAsia="Arial" w:hAnsi="Arial"/>
          <w:color w:val="2C3E50"/>
          <w:sz w:val="21"/>
          <w:szCs w:val="21"/>
        </w:rPr>
        <w:t xml:space="preserve">Violação: desligamento imediato + perda integral da bonificação.</w:t>
      </w:r>
    </w:p>
    <w:p>
      <w:pPr>
        <w:spacing w:after="120" w:before="280"/>
      </w:pPr>
      <w:r>
        <w:rPr>
          <w:rFonts w:ascii="Arial" w:cs="Arial" w:eastAsia="Arial" w:hAnsi="Arial"/>
          <w:b/>
          <w:bCs/>
          <w:color w:val="922B21"/>
          <w:sz w:val="22"/>
          <w:szCs w:val="22"/>
        </w:rPr>
        <w:t xml:space="preserve">CLÁUSULA SEGUNDA – DA FREQUÊNCIA E DISPONIBILIDADE</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Frequência mínima de 85% nos ensaios regulares;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Presença obrigatória em ensaiões gerais e ensaios técnicos de itens;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Disponibilidade para ensaios extras com aviso de 48 horas;</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Participação em eventos promocionais, fotos, vídeos e entrevistas.</w:t>
      </w:r>
    </w:p>
    <w:p>
      <w:pPr>
        <w:spacing w:after="120" w:before="280"/>
      </w:pPr>
      <w:r>
        <w:rPr>
          <w:rFonts w:ascii="Arial" w:cs="Arial" w:eastAsia="Arial" w:hAnsi="Arial"/>
          <w:b/>
          <w:bCs/>
          <w:color w:val="922B21"/>
          <w:sz w:val="22"/>
          <w:szCs w:val="22"/>
        </w:rPr>
        <w:t xml:space="preserve">CLÁUSULA TERCEIRA – DA REPRESENTAÇÃO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Representará a Explosão com zelo em espaços públicos, redes sociais e imprensa;</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Não publicará conteúdo que prejudique a imagem da quadrilha;</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Poderá ser convocado(a) para entrevistas, em alinhamento com a coordenação;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Participará de todas as atividades da quadrilha conforme Cláusula Segunda, alínea “l” do Termo do Brincante. O ITEM, por ser referência do grupo, deve dar o exemplo de participação integral em eventos de arrecadação, trabalhos comunitários e atividades braçais. A ausência do ITEM nessas atividades é especialmente notável e prejudicial à moral do grupo.</w:t>
      </w:r>
    </w:p>
    <w:p>
      <w:pPr>
        <w:spacing w:after="120" w:before="280"/>
      </w:pPr>
      <w:r>
        <w:rPr>
          <w:rFonts w:ascii="Arial" w:cs="Arial" w:eastAsia="Arial" w:hAnsi="Arial"/>
          <w:b/>
          <w:bCs/>
          <w:color w:val="922B21"/>
          <w:sz w:val="22"/>
          <w:szCs w:val="22"/>
        </w:rPr>
        <w:t xml:space="preserve">CLÁUSULA QUARTA – DO FIGURINO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Figurino completo fornecido (geralmente de custo superior);</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Responsável pela conservação e devolução;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Dano por negligência: responsabilização pelo custo de reparo;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Figurino é propriedade da quadrilha.</w:t>
      </w:r>
    </w:p>
    <w:p>
      <w:pPr>
        <w:spacing w:after="120" w:before="280"/>
      </w:pPr>
      <w:r>
        <w:rPr>
          <w:rFonts w:ascii="Arial" w:cs="Arial" w:eastAsia="Arial" w:hAnsi="Arial"/>
          <w:b/>
          <w:bCs/>
          <w:color w:val="922B21"/>
          <w:sz w:val="22"/>
          <w:szCs w:val="22"/>
        </w:rPr>
        <w:t xml:space="preserve">CLÁUSULA QUINTA – DA CONFIDENCIALIDADE</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Não divulgará tema, roteiro, coreografia ou surpresas;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Não compartilhará fotos/vídeos estratégicos sem autorização;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Violação: falta gravíssima.</w:t>
      </w:r>
    </w:p>
    <w:p>
      <w:pPr>
        <w:spacing w:after="120" w:before="280"/>
      </w:pPr>
      <w:r>
        <w:rPr>
          <w:rFonts w:ascii="Arial" w:cs="Arial" w:eastAsia="Arial" w:hAnsi="Arial"/>
          <w:b/>
          <w:bCs/>
          <w:color w:val="922B21"/>
          <w:sz w:val="22"/>
          <w:szCs w:val="22"/>
        </w:rPr>
        <w:t xml:space="preserve">CLÁUSULA SEXTA – DA BONIFICAÇÃO DO ITEM</w:t>
      </w:r>
    </w:p>
    <w:p>
      <w:pPr>
        <w:spacing w:after="140" w:line="280"/>
        <w:jc w:val="both"/>
      </w:pPr>
      <w:r>
        <w:rPr>
          <w:rFonts w:ascii="Arial" w:cs="Arial" w:eastAsia="Arial" w:hAnsi="Arial"/>
          <w:b w:val="false"/>
          <w:bCs w:val="false"/>
          <w:i w:val="false"/>
          <w:iCs w:val="false"/>
          <w:color w:val="2C3E50"/>
          <w:sz w:val="21"/>
          <w:szCs w:val="21"/>
        </w:rPr>
        <w:t xml:space="preserve">Aplicam-se as regras do Termo do Brincante (Cláusula Sexta), incluindo adesão voluntária, período de ativação proporcional, apresentações para a Igreja Católica e Programa de Fidelidade, com os acréscimos:</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O valor por ensaio e apresentação poderá ser diferenciado (superior) para Itens, a critério da coordenação em temporadas futuras;</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Prioridade na distribuição de contrapartidas adicionais;</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Bônus específicos para desempenho excepcional;</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Mesmas condições de perda e período de contagem do Termo do Brincante.</w:t>
      </w:r>
    </w:p>
    <w:p>
      <w:pPr>
        <w:spacing w:after="120" w:before="280"/>
      </w:pPr>
      <w:r>
        <w:rPr>
          <w:rFonts w:ascii="Arial" w:cs="Arial" w:eastAsia="Arial" w:hAnsi="Arial"/>
          <w:b/>
          <w:bCs/>
          <w:color w:val="922B21"/>
          <w:sz w:val="22"/>
          <w:szCs w:val="22"/>
        </w:rPr>
        <w:t xml:space="preserve">CLÁUSULA SÉTIMA – DA SUBSTITUIÇÃO E DESLIGAMENTO</w:t>
      </w:r>
    </w:p>
    <w:p>
      <w:pPr>
        <w:spacing w:after="100" w:line="280"/>
        <w:ind w:left="360"/>
      </w:pPr>
      <w:r>
        <w:rPr>
          <w:rFonts w:ascii="Arial" w:cs="Arial" w:eastAsia="Arial" w:hAnsi="Arial"/>
          <w:b/>
          <w:bCs/>
          <w:color w:val="2C3E50"/>
          <w:sz w:val="21"/>
          <w:szCs w:val="21"/>
        </w:rPr>
        <w:t xml:space="preserve">a) </w:t>
      </w:r>
      <w:r>
        <w:rPr>
          <w:rFonts w:ascii="Arial" w:cs="Arial" w:eastAsia="Arial" w:hAnsi="Arial"/>
          <w:color w:val="2C3E50"/>
          <w:sz w:val="21"/>
          <w:szCs w:val="21"/>
        </w:rPr>
        <w:t xml:space="preserve">Aviso mínimo de 15 dias para desligamento voluntário (dobro do brincante);</w:t>
      </w:r>
    </w:p>
    <w:p>
      <w:pPr>
        <w:spacing w:after="100" w:line="280"/>
        <w:ind w:left="360"/>
      </w:pPr>
      <w:r>
        <w:rPr>
          <w:rFonts w:ascii="Arial" w:cs="Arial" w:eastAsia="Arial" w:hAnsi="Arial"/>
          <w:b/>
          <w:bCs/>
          <w:color w:val="2C3E50"/>
          <w:sz w:val="21"/>
          <w:szCs w:val="21"/>
        </w:rPr>
        <w:t xml:space="preserve">b) </w:t>
      </w:r>
      <w:r>
        <w:rPr>
          <w:rFonts w:ascii="Arial" w:cs="Arial" w:eastAsia="Arial" w:hAnsi="Arial"/>
          <w:color w:val="2C3E50"/>
          <w:sz w:val="21"/>
          <w:szCs w:val="21"/>
        </w:rPr>
        <w:t xml:space="preserve">Menos de 15 dias pré-Festival sem força maior: perda integral + registro;</w:t>
      </w:r>
    </w:p>
    <w:p>
      <w:pPr>
        <w:spacing w:after="100" w:line="280"/>
        <w:ind w:left="360"/>
      </w:pPr>
      <w:r>
        <w:rPr>
          <w:rFonts w:ascii="Arial" w:cs="Arial" w:eastAsia="Arial" w:hAnsi="Arial"/>
          <w:b/>
          <w:bCs/>
          <w:color w:val="2C3E50"/>
          <w:sz w:val="21"/>
          <w:szCs w:val="21"/>
        </w:rPr>
        <w:t xml:space="preserve">c) </w:t>
      </w:r>
      <w:r>
        <w:rPr>
          <w:rFonts w:ascii="Arial" w:cs="Arial" w:eastAsia="Arial" w:hAnsi="Arial"/>
          <w:color w:val="2C3E50"/>
          <w:sz w:val="21"/>
          <w:szCs w:val="21"/>
        </w:rPr>
        <w:t xml:space="preserve">Transferência para concorrente: perda integral + registro agravado;</w:t>
      </w:r>
    </w:p>
    <w:p>
      <w:pPr>
        <w:spacing w:after="100" w:line="280"/>
        <w:ind w:left="360"/>
      </w:pPr>
      <w:r>
        <w:rPr>
          <w:rFonts w:ascii="Arial" w:cs="Arial" w:eastAsia="Arial" w:hAnsi="Arial"/>
          <w:b/>
          <w:bCs/>
          <w:color w:val="2C3E50"/>
          <w:sz w:val="21"/>
          <w:szCs w:val="21"/>
        </w:rPr>
        <w:t xml:space="preserve">d) </w:t>
      </w:r>
      <w:r>
        <w:rPr>
          <w:rFonts w:ascii="Arial" w:cs="Arial" w:eastAsia="Arial" w:hAnsi="Arial"/>
          <w:color w:val="2C3E50"/>
          <w:sz w:val="21"/>
          <w:szCs w:val="21"/>
        </w:rPr>
        <w:t xml:space="preserve">Quadrilha manterá suplente quando possível;</w:t>
      </w:r>
    </w:p>
    <w:p>
      <w:pPr>
        <w:spacing w:after="100" w:line="280"/>
        <w:ind w:left="360"/>
      </w:pPr>
      <w:r>
        <w:rPr>
          <w:rFonts w:ascii="Arial" w:cs="Arial" w:eastAsia="Arial" w:hAnsi="Arial"/>
          <w:b/>
          <w:bCs/>
          <w:color w:val="2C3E50"/>
          <w:sz w:val="21"/>
          <w:szCs w:val="21"/>
        </w:rPr>
        <w:t xml:space="preserve">e) </w:t>
      </w:r>
      <w:r>
        <w:rPr>
          <w:rFonts w:ascii="Arial" w:cs="Arial" w:eastAsia="Arial" w:hAnsi="Arial"/>
          <w:color w:val="2C3E50"/>
          <w:sz w:val="21"/>
          <w:szCs w:val="21"/>
        </w:rPr>
        <w:t xml:space="preserve">Substituição por desempenho insatisfatório: comunicado prévio + defesa.</w:t>
      </w:r>
    </w:p>
    <w:p>
      <w:pPr>
        <w:spacing w:after="120" w:before="280"/>
      </w:pPr>
      <w:r>
        <w:rPr>
          <w:rFonts w:ascii="Arial" w:cs="Arial" w:eastAsia="Arial" w:hAnsi="Arial"/>
          <w:b/>
          <w:bCs/>
          <w:color w:val="922B21"/>
          <w:sz w:val="22"/>
          <w:szCs w:val="22"/>
        </w:rPr>
        <w:t xml:space="preserve">CLÁUSULA OITAVA – DA VIGÊNCIA</w:t>
      </w:r>
    </w:p>
    <w:p>
      <w:pPr>
        <w:spacing w:after="140" w:line="280"/>
        <w:jc w:val="both"/>
      </w:pPr>
      <w:r>
        <w:rPr>
          <w:rFonts w:ascii="Arial" w:cs="Arial" w:eastAsia="Arial" w:hAnsi="Arial"/>
          <w:b w:val="false"/>
          <w:bCs w:val="false"/>
          <w:i w:val="false"/>
          <w:iCs w:val="false"/>
          <w:color w:val="2C3E50"/>
          <w:sz w:val="21"/>
          <w:szCs w:val="21"/>
        </w:rPr>
        <w:t xml:space="preserve">Mesma vigência e período de contagem do Termo do Brincante.</w:t>
      </w:r>
    </w:p>
    <w:p>
      <w:pPr>
        <w:spacing w:after="120" w:before="280"/>
      </w:pPr>
      <w:r>
        <w:rPr>
          <w:rFonts w:ascii="Arial" w:cs="Arial" w:eastAsia="Arial" w:hAnsi="Arial"/>
          <w:b/>
          <w:bCs/>
          <w:color w:val="922B21"/>
          <w:sz w:val="22"/>
          <w:szCs w:val="22"/>
        </w:rPr>
        <w:t xml:space="preserve">CLÁUSULA NONA – DAS DISPOSIÇÕES GERAIS</w:t>
      </w:r>
    </w:p>
    <w:p>
      <w:pPr>
        <w:spacing w:after="100" w:line="280"/>
        <w:ind w:left="360"/>
      </w:pPr>
      <w:r>
        <w:rPr>
          <w:rFonts w:ascii="Arial" w:cs="Arial" w:eastAsia="Arial" w:hAnsi="Arial"/>
          <w:b/>
          <w:bCs/>
          <w:color w:val="2C3E50"/>
          <w:sz w:val="21"/>
          <w:szCs w:val="21"/>
        </w:rPr>
        <w:t xml:space="preserve">9.1 </w:t>
      </w:r>
      <w:r>
        <w:rPr>
          <w:rFonts w:ascii="Arial" w:cs="Arial" w:eastAsia="Arial" w:hAnsi="Arial"/>
          <w:color w:val="2C3E50"/>
          <w:sz w:val="21"/>
          <w:szCs w:val="21"/>
        </w:rPr>
        <w:t xml:space="preserve">Cláusulas do Termo do Brincante se aplicam no que não conflitar.</w:t>
      </w:r>
    </w:p>
    <w:p>
      <w:pPr>
        <w:spacing w:after="100" w:line="280"/>
        <w:ind w:left="360"/>
      </w:pPr>
      <w:r>
        <w:rPr>
          <w:rFonts w:ascii="Arial" w:cs="Arial" w:eastAsia="Arial" w:hAnsi="Arial"/>
          <w:b/>
          <w:bCs/>
          <w:color w:val="2C3E50"/>
          <w:sz w:val="21"/>
          <w:szCs w:val="21"/>
        </w:rPr>
        <w:t xml:space="preserve">9.2 </w:t>
      </w:r>
      <w:r>
        <w:rPr>
          <w:rFonts w:ascii="Arial" w:cs="Arial" w:eastAsia="Arial" w:hAnsi="Arial"/>
          <w:color w:val="2C3E50"/>
          <w:sz w:val="21"/>
          <w:szCs w:val="21"/>
        </w:rPr>
        <w:t xml:space="preserve">Casos omissos: coordenação decide, ouvido o ITEM.</w:t>
      </w:r>
    </w:p>
    <w:p>
      <w:pPr>
        <w:spacing w:after="100" w:line="280"/>
        <w:ind w:left="360"/>
      </w:pPr>
      <w:r>
        <w:rPr>
          <w:rFonts w:ascii="Arial" w:cs="Arial" w:eastAsia="Arial" w:hAnsi="Arial"/>
          <w:b/>
          <w:bCs/>
          <w:color w:val="2C3E50"/>
          <w:sz w:val="21"/>
          <w:szCs w:val="21"/>
        </w:rPr>
        <w:t xml:space="preserve">9.3 </w:t>
      </w:r>
      <w:r>
        <w:rPr>
          <w:rFonts w:ascii="Arial" w:cs="Arial" w:eastAsia="Arial" w:hAnsi="Arial"/>
          <w:color w:val="2C3E50"/>
          <w:sz w:val="21"/>
          <w:szCs w:val="21"/>
        </w:rPr>
        <w:t xml:space="preserve">Foro da Comarca de Beruri/AM.</w:t>
      </w:r>
    </w:p>
    <w:p>
      <w:pPr>
        <w:spacing w:after="100"/>
      </w:pPr>
    </w:p>
    <w:p>
      <w:pPr>
        <w:spacing w:after="60" w:line="280"/>
        <w:jc w:val="both"/>
      </w:pPr>
      <w:r>
        <w:rPr>
          <w:rFonts w:ascii="Arial" w:cs="Arial" w:eastAsia="Arial" w:hAnsi="Arial"/>
          <w:b w:val="false"/>
          <w:bCs w:val="false"/>
          <w:i w:val="false"/>
          <w:iCs w:val="false"/>
          <w:color w:val="2C3E50"/>
          <w:sz w:val="21"/>
          <w:szCs w:val="21"/>
        </w:rPr>
        <w:t xml:space="preserve">E, por estarem assim justos e acordados, as partes assinam o presente instrumento em duas vias de igual teor e forma.</w:t>
      </w:r>
    </w:p>
    <w:p>
      <w:pPr>
        <w:spacing w:after="60"/>
      </w:pPr>
    </w:p>
    <w:p>
      <w:pPr>
        <w:spacing w:after="140" w:line="280"/>
        <w:jc w:val="left"/>
      </w:pPr>
      <w:r>
        <w:rPr>
          <w:rFonts w:ascii="Arial" w:cs="Arial" w:eastAsia="Arial" w:hAnsi="Arial"/>
          <w:b w:val="false"/>
          <w:bCs w:val="false"/>
          <w:i w:val="false"/>
          <w:iCs w:val="false"/>
          <w:color w:val="2C3E50"/>
          <w:sz w:val="21"/>
          <w:szCs w:val="21"/>
        </w:rPr>
        <w:t xml:space="preserve">Beruri – AM, _____ de _______________ de 2026.</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COORDENAÇÃO DA QUADRILHA EXPLOSÃO JUNINA</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BRINCANTE / ITEM</w:t>
      </w:r>
    </w:p>
    <w:p>
      <w:pPr>
        <w:spacing w:after="200"/>
      </w:pP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TESTEMUNHA 1 – Nome: _________________ CPF: _________________</w:t>
      </w:r>
    </w:p>
    <w:p>
      <w:pPr>
        <w:spacing w:after="400"/>
      </w:pPr>
    </w:p>
    <w:p>
      <w:pPr>
        <w:pBdr>
          <w:bottom w:val="single" w:color="2C3E50" w:sz="1" w:space="1"/>
        </w:pBdr>
        <w:ind w:left="1440" w:right="1440"/>
        <w:jc w:val="center"/>
      </w:pPr>
    </w:p>
    <w:p>
      <w:pPr>
        <w:spacing w:after="40"/>
        <w:jc w:val="center"/>
      </w:pPr>
      <w:r>
        <w:rPr>
          <w:rFonts w:ascii="Arial" w:cs="Arial" w:eastAsia="Arial" w:hAnsi="Arial"/>
          <w:color w:val="2C3E50"/>
          <w:sz w:val="20"/>
          <w:szCs w:val="20"/>
        </w:rPr>
        <w:t xml:space="preserve">TESTEMUNHA 2 – Nome: _________________ CPF: 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22B21" w:sz="4" w:space="4"/>
      </w:pBdr>
    </w:pPr>
    <w:r>
      <w:rPr>
        <w:rFonts w:ascii="Arial" w:cs="Arial" w:eastAsia="Arial" w:hAnsi="Arial"/>
        <w:i/>
        <w:iCs/>
        <w:color w:val="999999"/>
        <w:sz w:val="16"/>
        <w:szCs w:val="16"/>
      </w:rPr>
      <w:t xml:space="preserve">Explosão Junina Beruri – Termos de Compromisso – Temporada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922B21"/>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2026-05-04T17:12:05.472Z</dcterms:created>
  <dcterms:modified xsi:type="dcterms:W3CDTF">2026-05-04T17:12:05.472Z</dcterms:modified>
</cp:coreProperties>
</file>

<file path=docProps/custom.xml><?xml version="1.0" encoding="utf-8"?>
<Properties xmlns="http://schemas.openxmlformats.org/officeDocument/2006/custom-properties" xmlns:vt="http://schemas.openxmlformats.org/officeDocument/2006/docPropsVTypes"/>
</file>