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100"/>
        <w:jc w:val="center"/>
      </w:pPr>
      <w:r>
        <w:rPr>
          <w:rFonts w:ascii="Arial" w:cs="Arial" w:eastAsia="Arial" w:hAnsi="Arial"/>
          <w:b/>
          <w:bCs/>
          <w:color w:val="922B21"/>
          <w:sz w:val="44"/>
          <w:szCs w:val="44"/>
        </w:rPr>
        <w:t xml:space="preserve">PROJETO DE ESTRUTURAÇÃO</w:t>
      </w:r>
    </w:p>
    <w:p>
      <w:pPr>
        <w:spacing w:after="100"/>
        <w:jc w:val="center"/>
      </w:pPr>
      <w:r>
        <w:rPr>
          <w:rFonts w:ascii="Arial" w:cs="Arial" w:eastAsia="Arial" w:hAnsi="Arial"/>
          <w:b/>
          <w:bCs/>
          <w:color w:val="922B21"/>
          <w:sz w:val="44"/>
          <w:szCs w:val="44"/>
        </w:rPr>
        <w:t xml:space="preserve">ORGANIZACIONAL E DE MARKETING</w:t>
      </w:r>
    </w:p>
    <w:p>
      <w:pPr>
        <w:spacing w:after="200"/>
      </w:pPr>
    </w:p>
    <w:p>
      <w:pPr>
        <w:pBdr>
          <w:bottom w:val="single" w:color="F39C12" w:sz="6" w:space="1"/>
        </w:pBdr>
        <w:jc w:val="center"/>
      </w:pPr>
    </w:p>
    <w:p>
      <w:pPr>
        <w:spacing w:after="200"/>
      </w:pPr>
    </w:p>
    <w:p>
      <w:pPr>
        <w:spacing w:after="60"/>
        <w:jc w:val="center"/>
      </w:pPr>
      <w:r>
        <w:rPr>
          <w:rFonts w:ascii="Arial" w:cs="Arial" w:eastAsia="Arial" w:hAnsi="Arial"/>
          <w:b/>
          <w:bCs/>
          <w:color w:val="C0392B"/>
          <w:sz w:val="48"/>
          <w:szCs w:val="48"/>
        </w:rPr>
        <w:t xml:space="preserve">QUADRILHA JUNINA</w:t>
      </w:r>
    </w:p>
    <w:p>
      <w:pPr>
        <w:spacing w:after="100"/>
        <w:jc w:val="center"/>
      </w:pPr>
      <w:r>
        <w:rPr>
          <w:rFonts w:ascii="Arial" w:cs="Arial" w:eastAsia="Arial" w:hAnsi="Arial"/>
          <w:b/>
          <w:bCs/>
          <w:color w:val="C0392B"/>
          <w:sz w:val="48"/>
          <w:szCs w:val="48"/>
        </w:rPr>
        <w:t xml:space="preserve">EXPLOSÃO JUNINA DE BERURI</w:t>
      </w:r>
    </w:p>
    <w:p>
      <w:pPr>
        <w:spacing w:after="40"/>
        <w:jc w:val="center"/>
      </w:pPr>
      <w:r>
        <w:rPr>
          <w:rFonts w:ascii="Arial" w:cs="Arial" w:eastAsia="Arial" w:hAnsi="Arial"/>
          <w:i/>
          <w:iCs/>
          <w:color w:val="2C3E50"/>
          <w:sz w:val="22"/>
          <w:szCs w:val="22"/>
        </w:rPr>
        <w:t xml:space="preserve">Grupo Recreativo e Folclórico</w:t>
      </w:r>
    </w:p>
    <w:p>
      <w:pPr>
        <w:spacing w:after="40"/>
        <w:jc w:val="center"/>
      </w:pPr>
      <w:r>
        <w:rPr>
          <w:rFonts w:ascii="Arial" w:cs="Arial" w:eastAsia="Arial" w:hAnsi="Arial"/>
          <w:b/>
          <w:bCs/>
          <w:color w:val="2C3E50"/>
          <w:sz w:val="22"/>
          <w:szCs w:val="22"/>
        </w:rPr>
        <w:t xml:space="preserve">Campeã do Festival Folclórico de Beruri 2025</w:t>
      </w:r>
    </w:p>
    <w:p>
      <w:pPr>
        <w:spacing w:after="40"/>
        <w:jc w:val="center"/>
      </w:pPr>
      <w:r>
        <w:rPr>
          <w:rFonts w:ascii="Arial" w:cs="Arial" w:eastAsia="Arial" w:hAnsi="Arial"/>
          <w:color w:val="2C3E50"/>
          <w:sz w:val="20"/>
          <w:szCs w:val="20"/>
        </w:rPr>
        <w:t xml:space="preserve">Filiada à Liga das Quadrilhas Juninas do Amazonas (LIQUAJUAM)</w:t>
      </w:r>
    </w:p>
    <w:p>
      <w:pPr>
        <w:spacing w:after="60"/>
        <w:jc w:val="center"/>
      </w:pPr>
      <w:r>
        <w:rPr>
          <w:rFonts w:ascii="Arial" w:cs="Arial" w:eastAsia="Arial" w:hAnsi="Arial"/>
          <w:color w:val="2C3E50"/>
          <w:sz w:val="20"/>
          <w:szCs w:val="20"/>
        </w:rPr>
        <w:t xml:space="preserve">Fundada em 2 de junho de 2017 – Beruri, Amazonas</w:t>
      </w:r>
    </w:p>
    <w:p>
      <w:pPr>
        <w:spacing w:after="1600"/>
      </w:pPr>
    </w:p>
    <w:p>
      <w:pPr>
        <w:pBdr>
          <w:top w:val="single" w:color="F39C12" w:sz="6" w:space="1"/>
        </w:pBdr>
        <w:jc w:val="center"/>
      </w:pPr>
    </w:p>
    <w:p>
      <w:pPr>
        <w:spacing w:after="100"/>
      </w:pPr>
    </w:p>
    <w:p>
      <w:pPr>
        <w:spacing w:after="60"/>
        <w:jc w:val="center"/>
      </w:pPr>
      <w:r>
        <w:rPr>
          <w:rFonts w:ascii="Arial" w:cs="Arial" w:eastAsia="Arial" w:hAnsi="Arial"/>
          <w:i/>
          <w:iCs/>
          <w:color w:val="2C3E50"/>
          <w:sz w:val="24"/>
          <w:szCs w:val="24"/>
        </w:rPr>
        <w:t xml:space="preserve">Proposta de Parceria Estratégica</w:t>
      </w:r>
    </w:p>
    <w:p>
      <w:pPr>
        <w:spacing w:after="60"/>
        <w:jc w:val="center"/>
      </w:pPr>
      <w:r>
        <w:rPr>
          <w:rFonts w:ascii="Arial" w:cs="Arial" w:eastAsia="Arial" w:hAnsi="Arial"/>
          <w:b/>
          <w:bCs/>
          <w:color w:val="922B21"/>
          <w:sz w:val="24"/>
          <w:szCs w:val="24"/>
        </w:rPr>
        <w:t>Temporada 2027</w:t>
      </w:r>
    </w:p>
    <w:p>
      <w:pPr>
        <w:jc w:val="center"/>
      </w:pPr>
      <w:r>
        <w:rPr>
          <w:rFonts w:ascii="Arial" w:cs="Arial" w:eastAsia="Arial" w:hAnsi="Arial"/>
          <w:color w:val="2C3E50"/>
          <w:sz w:val="22"/>
          <w:szCs w:val="22"/>
        </w:rPr>
        <w:t>Maio de 2027</w:t>
      </w:r>
    </w:p>
    <w:p>
      <w:pPr>
        <w:sectPr>
          <w:headerReference w:type="default" r:id="rId10"/>
          <w:footerReference w:type="default" r:id="rId11"/>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922B21"/>
          <w:sz w:val="32"/>
          <w:szCs w:val="32"/>
        </w:rPr>
        <w:t xml:space="preserve">1. APRESENTAÇÃO</w:t>
      </w:r>
    </w:p>
    <w:p>
      <w:pPr>
        <w:spacing w:after="160" w:line="300"/>
        <w:jc w:val="both"/>
      </w:pPr>
      <w:r>
        <w:rPr>
          <w:rFonts w:ascii="Arial" w:cs="Arial" w:eastAsia="Arial" w:hAnsi="Arial"/>
          <w:color w:val="2C3E50"/>
          <w:sz w:val="22"/>
          <w:szCs w:val="22"/>
        </w:rPr>
        <w:t xml:space="preserve">A Quadrilha Junina Explosão Junina de Beruri é a atual campeã do I Festival Folclórico de Beruri na categoria quadrilha junina, título conquistado em 2025 com o tema “Uma Viagem no Tempo, O Passado e o Presente se Misturam”. Esse marco histórico consolidou a Explosão como referência cultural do município.</w:t>
      </w:r>
    </w:p>
    <w:p>
      <w:pPr>
        <w:spacing w:after="160" w:line="300"/>
        <w:jc w:val="both"/>
      </w:pPr>
      <w:r>
        <w:rPr>
          <w:rFonts w:ascii="Arial" w:cs="Arial" w:eastAsia="Arial" w:hAnsi="Arial"/>
          <w:color w:val="2C3E50"/>
          <w:sz w:val="22"/>
          <w:szCs w:val="22"/>
        </w:rPr>
        <w:t xml:space="preserve">No entanto, para manter a liderança e construir um legado duradouro, é necessário ir além do palco. A presente proposta visa estruturar a quadrilha em todas as suas dimensões: identidade visual, comunicação, gestão administrativa, transparência financeira, organização de ensaios e captação de recursos.</w:t>
      </w:r>
    </w:p>
    <w:p>
      <w:pPr>
        <w:spacing w:after="160" w:line="300"/>
        <w:jc w:val="both"/>
      </w:pPr>
      <w:r>
        <w:rPr>
          <w:rFonts w:ascii="Arial" w:cs="Arial" w:eastAsia="Arial" w:hAnsi="Arial"/>
          <w:color w:val="2C3E50"/>
          <w:sz w:val="22"/>
          <w:szCs w:val="22"/>
        </w:rPr>
        <w:t xml:space="preserve">Este projeto é apresentado por uma equipe multidisciplinar composta por profissionais de design, jornalismo e tecnologia, todos berurienses comprometidos com o fortalecimento da cultura local.</w:t>
      </w:r>
    </w:p>
    <w:p>
      <w:pPr>
        <w:pStyle w:val="Heading1"/>
        <w:spacing w:after="200" w:before="360"/>
      </w:pPr>
      <w:r>
        <w:rPr>
          <w:rFonts w:ascii="Arial" w:cs="Arial" w:eastAsia="Arial" w:hAnsi="Arial"/>
          <w:b/>
          <w:bCs/>
          <w:color w:val="922B21"/>
          <w:sz w:val="32"/>
          <w:szCs w:val="32"/>
        </w:rPr>
        <w:t xml:space="preserve">2. DIAGNÓSTICO ATUAL</w:t>
      </w:r>
    </w:p>
    <w:p>
      <w:pPr>
        <w:spacing w:after="160" w:line="300"/>
        <w:jc w:val="both"/>
      </w:pPr>
      <w:r>
        <w:rPr>
          <w:rFonts w:ascii="Arial" w:cs="Arial" w:eastAsia="Arial" w:hAnsi="Arial"/>
          <w:color w:val="2C3E50"/>
          <w:sz w:val="22"/>
          <w:szCs w:val="22"/>
        </w:rPr>
        <w:t>Com base na análise do material de divulgação da temporada 2027, identificamos os seguintes pontos que merecem atenção para a evolução da quadrilha:</w:t>
      </w:r>
    </w:p>
    <w:p>
      <w:pPr>
        <w:pStyle w:val="Heading2"/>
        <w:spacing w:after="200" w:before="240"/>
      </w:pPr>
      <w:r>
        <w:rPr>
          <w:rFonts w:ascii="Arial" w:cs="Arial" w:eastAsia="Arial" w:hAnsi="Arial"/>
          <w:b/>
          <w:bCs/>
          <w:color w:val="2C3E50"/>
          <w:sz w:val="26"/>
          <w:szCs w:val="26"/>
        </w:rPr>
        <w:t xml:space="preserve">2.1 Identidade Visual</w:t>
      </w:r>
    </w:p>
    <w:p>
      <w:pPr>
        <w:spacing w:after="160" w:line="300"/>
        <w:jc w:val="both"/>
      </w:pPr>
      <w:r>
        <w:rPr>
          <w:rFonts w:ascii="Arial" w:cs="Arial" w:eastAsia="Arial" w:hAnsi="Arial"/>
          <w:color w:val="2C3E50"/>
          <w:sz w:val="22"/>
          <w:szCs w:val="22"/>
        </w:rPr>
        <w:t>A arte do tema 2027 (“A Bolha do Amor”) utiliza elementos visuais genéricos (querubins, corações 3D, chamas) sem uma paleta de cores definida ou linguagem visual coesa. Não há unidade entre a logo do tema, a camisa e os demais materiais de divulgação. Em comparação, a quadrilha rival apresenta identidade visual unificada, com paleta consistente, designer dedicado e materiais coordenados.</w:t>
      </w:r>
    </w:p>
    <w:p>
      <w:pPr>
        <w:pStyle w:val="Heading2"/>
        <w:spacing w:after="200" w:before="240"/>
      </w:pPr>
      <w:r>
        <w:rPr>
          <w:rFonts w:ascii="Arial" w:cs="Arial" w:eastAsia="Arial" w:hAnsi="Arial"/>
          <w:b/>
          <w:bCs/>
          <w:color w:val="2C3E50"/>
          <w:sz w:val="26"/>
          <w:szCs w:val="26"/>
        </w:rPr>
        <w:t xml:space="preserve">2.2 Comunicação e Marketing</w:t>
      </w:r>
    </w:p>
    <w:p>
      <w:pPr>
        <w:spacing w:after="160" w:line="300"/>
        <w:jc w:val="both"/>
      </w:pPr>
      <w:r>
        <w:rPr>
          <w:rFonts w:ascii="Arial" w:cs="Arial" w:eastAsia="Arial" w:hAnsi="Arial"/>
          <w:color w:val="2C3E50"/>
          <w:sz w:val="22"/>
          <w:szCs w:val="22"/>
        </w:rPr>
        <w:t xml:space="preserve">As publicações nas redes sociais têm engajamento inferior ao da concorrência. O conteúdo não segue um calendário editorial estruturado, e a narrativa do tema ainda não foi apresentada de forma clara ao público. A ausência de um planejamento de comunicação resulta em perda de oportunidades de engajamento e de construção de expectativa.</w:t>
      </w:r>
    </w:p>
    <w:p>
      <w:pPr>
        <w:pStyle w:val="Heading2"/>
        <w:spacing w:after="200" w:before="240"/>
      </w:pPr>
      <w:r>
        <w:rPr>
          <w:rFonts w:ascii="Arial" w:cs="Arial" w:eastAsia="Arial" w:hAnsi="Arial"/>
          <w:b/>
          <w:bCs/>
          <w:color w:val="2C3E50"/>
          <w:sz w:val="26"/>
          <w:szCs w:val="26"/>
        </w:rPr>
        <w:t xml:space="preserve">2.3 Gestão e Organização</w:t>
      </w:r>
    </w:p>
    <w:p>
      <w:pPr>
        <w:spacing w:after="160" w:line="300"/>
        <w:jc w:val="both"/>
      </w:pPr>
      <w:r>
        <w:rPr>
          <w:rFonts w:ascii="Arial" w:cs="Arial" w:eastAsia="Arial" w:hAnsi="Arial"/>
          <w:color w:val="2C3E50"/>
          <w:sz w:val="22"/>
          <w:szCs w:val="22"/>
        </w:rPr>
        <w:t xml:space="preserve">Não há registro público de governança, prestação de contas ou planejamento estratégico. Os ensaios, até onde se observa, não seguem uma metodologia estruturada por filas ou fases de evolução coreográfica. Não existe formalização da relação entre a quadrilha e seus brincantes.</w:t>
      </w:r>
    </w:p>
    <w:p>
      <w:pPr>
        <w:pStyle w:val="Heading1"/>
        <w:spacing w:after="200" w:before="360"/>
      </w:pPr>
      <w:r>
        <w:rPr>
          <w:rFonts w:ascii="Arial" w:cs="Arial" w:eastAsia="Arial" w:hAnsi="Arial"/>
          <w:b/>
          <w:bCs/>
          <w:color w:val="922B21"/>
          <w:sz w:val="32"/>
          <w:szCs w:val="32"/>
        </w:rPr>
        <w:t xml:space="preserve">3. EQUIPE PROPOSTA</w:t>
      </w:r>
    </w:p>
    <w:p>
      <w:pPr>
        <w:spacing w:after="160" w:line="300"/>
        <w:jc w:val="both"/>
      </w:pPr>
      <w:r>
        <w:rPr>
          <w:rFonts w:ascii="Arial" w:cs="Arial" w:eastAsia="Arial" w:hAnsi="Arial"/>
          <w:color w:val="2C3E50"/>
          <w:sz w:val="22"/>
          <w:szCs w:val="22"/>
        </w:rPr>
        <w:t xml:space="preserve">A agência é composta por profissionais locais com competências complementares: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4514"/>
      </w:tblGrid>
      <w:tr>
        <w:tc>
          <w:tcPr>
            <w:tcW w:type="dxa" w:w="2256"/>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Função</w:t>
            </w:r>
          </w:p>
        </w:tc>
        <w:tc>
          <w:tcPr>
            <w:tcW w:type="dxa" w:w="2256"/>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Perfil</w:t>
            </w:r>
          </w:p>
        </w:tc>
        <w:tc>
          <w:tcPr>
            <w:tcW w:type="dxa" w:w="4514"/>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Responsabilidades</w:t>
            </w:r>
          </w:p>
        </w:tc>
      </w:tr>
      <w:tr>
        <w:tc>
          <w:tcPr>
            <w:tcW w:type="dxa" w:w="225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Designer 1</w:t>
            </w:r>
          </w:p>
        </w:tc>
        <w:tc>
          <w:tcPr>
            <w:tcW w:type="dxa" w:w="225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Design gráfico</w:t>
            </w:r>
          </w:p>
        </w:tc>
        <w:tc>
          <w:tcPr>
            <w:tcW w:type="dxa" w:w="4514"/>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Identidade visual, logo do tema, artes para redes sociais, camisa oficial</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Designer 2</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Design e vídeo</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Material audiovisual, vídeos promocionais, stories, reels, cobertura de ensaios</w:t>
            </w:r>
          </w:p>
        </w:tc>
      </w:tr>
      <w:tr>
        <w:tc>
          <w:tcPr>
            <w:tcW w:type="dxa" w:w="225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Jornalista</w:t>
            </w:r>
          </w:p>
        </w:tc>
        <w:tc>
          <w:tcPr>
            <w:tcW w:type="dxa" w:w="2256"/>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Comunicação</w:t>
            </w:r>
          </w:p>
        </w:tc>
        <w:tc>
          <w:tcPr>
            <w:tcW w:type="dxa" w:w="4514"/>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Calendário editorial, textos, assessoria de imprensa, cobertura jornalística</w:t>
            </w:r>
          </w:p>
        </w:tc>
      </w:tr>
      <w:tr>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Coordenador geral</w:t>
            </w:r>
          </w:p>
        </w:tc>
        <w:tc>
          <w:tcPr>
            <w:tcW w:type="dxa" w:w="225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Tecnologia e gestão</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Planejamento estratégico, gestão administrativa, transparência financeira, organização de ensaios, sistemas digitais</w:t>
            </w:r>
          </w:p>
        </w:tc>
      </w:tr>
    </w:tbl>
    <w:p>
      <w:pPr>
        <w:spacing w:after="100"/>
      </w:pPr>
    </w:p>
    <w:p>
      <w:pPr>
        <w:spacing w:after="160" w:line="300"/>
        <w:jc w:val="both"/>
      </w:pPr>
      <w:r>
        <w:rPr>
          <w:rFonts w:ascii="Arial" w:cs="Arial" w:eastAsia="Arial" w:hAnsi="Arial"/>
          <w:color w:val="2C3E50"/>
          <w:sz w:val="22"/>
          <w:szCs w:val="22"/>
        </w:rPr>
        <w:t xml:space="preserve">A proposta é de contratação da equipe como agência de serviços, com escopo definido e entregas mensuráveis, sem interferência nas decisões artísticas da coordenação atual da quadrilha.</w:t>
      </w:r>
    </w:p>
    <w:p>
      <w:pPr>
        <w:pStyle w:val="Heading1"/>
        <w:spacing w:after="200" w:before="360"/>
      </w:pPr>
      <w:r>
        <w:rPr>
          <w:rFonts w:ascii="Arial" w:cs="Arial" w:eastAsia="Arial" w:hAnsi="Arial"/>
          <w:b/>
          <w:bCs/>
          <w:color w:val="922B21"/>
          <w:sz w:val="32"/>
          <w:szCs w:val="32"/>
        </w:rPr>
        <w:t xml:space="preserve">4. EIXO 1 – IDENTIDADE VISUAL E MARKETING</w:t>
      </w:r>
    </w:p>
    <w:p>
      <w:pPr>
        <w:pStyle w:val="Heading2"/>
        <w:spacing w:after="200" w:before="240"/>
      </w:pPr>
      <w:r>
        <w:rPr>
          <w:rFonts w:ascii="Arial" w:cs="Arial" w:eastAsia="Arial" w:hAnsi="Arial"/>
          <w:b/>
          <w:bCs/>
          <w:color w:val="2C3E50"/>
          <w:sz w:val="26"/>
          <w:szCs w:val="26"/>
        </w:rPr>
        <w:t xml:space="preserve">4.1 Redesenho da Identidade Visual</w:t>
      </w:r>
    </w:p>
    <w:p>
      <w:pPr>
        <w:spacing w:after="160" w:line="300"/>
        <w:jc w:val="both"/>
      </w:pPr>
      <w:r>
        <w:rPr>
          <w:rFonts w:ascii="Arial" w:cs="Arial" w:eastAsia="Arial" w:hAnsi="Arial"/>
          <w:color w:val="2C3E50"/>
          <w:sz w:val="22"/>
          <w:szCs w:val="22"/>
        </w:rPr>
        <w:t xml:space="preserve">Desenvolvimento de um sistema visual completo e coeso para a temporada, incluindo:</w:t>
      </w:r>
    </w:p>
    <w:p>
      <w:pPr>
        <w:pStyle w:val="ListParagraph"/>
        <w:numPr>
          <w:ilvl w:val="0"/>
          <w:numId w:val="2"/>
        </w:numPr>
        <w:spacing w:after="80" w:line="300"/>
      </w:pPr>
      <w:r>
        <w:rPr>
          <w:rFonts w:ascii="Arial" w:cs="Arial" w:eastAsia="Arial" w:hAnsi="Arial"/>
          <w:sz w:val="22"/>
          <w:szCs w:val="22"/>
        </w:rPr>
        <w:t xml:space="preserve">Logo oficial da quadrilha (permanente, não muda a cada ano)</w:t>
      </w:r>
    </w:p>
    <w:p>
      <w:pPr>
        <w:pStyle w:val="ListParagraph"/>
        <w:numPr>
          <w:ilvl w:val="0"/>
          <w:numId w:val="2"/>
        </w:numPr>
        <w:spacing w:after="80" w:line="300"/>
      </w:pPr>
      <w:r>
        <w:rPr>
          <w:rFonts w:ascii="Arial" w:cs="Arial" w:eastAsia="Arial" w:hAnsi="Arial"/>
          <w:sz w:val="22"/>
          <w:szCs w:val="22"/>
        </w:rPr>
        <w:t xml:space="preserve">Logo do tema anual (derivada da identidade principal)</w:t>
      </w:r>
    </w:p>
    <w:p>
      <w:pPr>
        <w:pStyle w:val="ListParagraph"/>
        <w:numPr>
          <w:ilvl w:val="0"/>
          <w:numId w:val="2"/>
        </w:numPr>
        <w:spacing w:after="80" w:line="300"/>
      </w:pPr>
      <w:r>
        <w:rPr>
          <w:rFonts w:ascii="Arial" w:cs="Arial" w:eastAsia="Arial" w:hAnsi="Arial"/>
          <w:sz w:val="22"/>
          <w:szCs w:val="22"/>
        </w:rPr>
        <w:t xml:space="preserve">Paleta de cores oficial com variações para cada temporada</w:t>
      </w:r>
    </w:p>
    <w:p>
      <w:pPr>
        <w:pStyle w:val="ListParagraph"/>
        <w:numPr>
          <w:ilvl w:val="0"/>
          <w:numId w:val="2"/>
        </w:numPr>
        <w:spacing w:after="80" w:line="300"/>
      </w:pPr>
      <w:r>
        <w:rPr>
          <w:rFonts w:ascii="Arial" w:cs="Arial" w:eastAsia="Arial" w:hAnsi="Arial"/>
          <w:sz w:val="22"/>
          <w:szCs w:val="22"/>
        </w:rPr>
        <w:t xml:space="preserve">Tipografia padrão para todos os materiais</w:t>
      </w:r>
    </w:p>
    <w:p>
      <w:pPr>
        <w:pStyle w:val="ListParagraph"/>
        <w:numPr>
          <w:ilvl w:val="0"/>
          <w:numId w:val="2"/>
        </w:numPr>
        <w:spacing w:after="80" w:line="300"/>
      </w:pPr>
      <w:r>
        <w:rPr>
          <w:rFonts w:ascii="Arial" w:cs="Arial" w:eastAsia="Arial" w:hAnsi="Arial"/>
          <w:sz w:val="22"/>
          <w:szCs w:val="22"/>
        </w:rPr>
        <w:t xml:space="preserve">Templates para posts, stories e materiais impressos</w:t>
      </w:r>
    </w:p>
    <w:p>
      <w:pPr>
        <w:pStyle w:val="ListParagraph"/>
        <w:numPr>
          <w:ilvl w:val="0"/>
          <w:numId w:val="2"/>
        </w:numPr>
        <w:spacing w:after="160" w:line="300"/>
      </w:pPr>
      <w:r>
        <w:rPr>
          <w:rFonts w:ascii="Arial" w:cs="Arial" w:eastAsia="Arial" w:hAnsi="Arial"/>
          <w:sz w:val="22"/>
          <w:szCs w:val="22"/>
        </w:rPr>
        <w:t xml:space="preserve">Design da camisa oficial e uniformes de ensaio</w:t>
      </w:r>
    </w:p>
    <w:p>
      <w:pPr>
        <w:pStyle w:val="Heading2"/>
        <w:spacing w:after="200" w:before="240"/>
      </w:pPr>
      <w:r>
        <w:rPr>
          <w:rFonts w:ascii="Arial" w:cs="Arial" w:eastAsia="Arial" w:hAnsi="Arial"/>
          <w:b/>
          <w:bCs/>
          <w:color w:val="2C3E50"/>
          <w:sz w:val="26"/>
          <w:szCs w:val="26"/>
        </w:rPr>
        <w:t xml:space="preserve">4.2 Plano de Marketing Digital</w:t>
      </w:r>
    </w:p>
    <w:p>
      <w:pPr>
        <w:spacing w:after="160" w:line="300"/>
        <w:jc w:val="both"/>
      </w:pPr>
      <w:r>
        <w:rPr>
          <w:rFonts w:ascii="Arial" w:cs="Arial" w:eastAsia="Arial" w:hAnsi="Arial"/>
          <w:color w:val="2C3E50"/>
          <w:sz w:val="22"/>
          <w:szCs w:val="22"/>
        </w:rPr>
        <w:t xml:space="preserve">Criação e execução de um calendário editorial para as redes sociais da quadrilha, dividido em fases:</w:t>
      </w:r>
    </w:p>
    <w:p>
      <w:pPr>
        <w:spacing w:after="160" w:line="300"/>
        <w:jc w:val="both"/>
      </w:pPr>
      <w:r>
        <w:rPr>
          <w:rFonts w:ascii="Arial" w:cs="Arial" w:eastAsia="Arial" w:hAnsi="Arial"/>
          <w:b/>
          <w:bCs/>
          <w:color w:val="2C3E50"/>
          <w:sz w:val="22"/>
          <w:szCs w:val="22"/>
        </w:rPr>
        <w:t xml:space="preserve">Fase 1 – Pré-temporada (janeiro a março): </w:t>
      </w:r>
      <w:r>
        <w:rPr>
          <w:rFonts w:ascii="Arial" w:cs="Arial" w:eastAsia="Arial" w:hAnsi="Arial"/>
          <w:color w:val="2C3E50"/>
          <w:sz w:val="22"/>
          <w:szCs w:val="22"/>
        </w:rPr>
        <w:t xml:space="preserve">Teasers do tema, bastidores da criação, contagem regressiva, enquetes interativas. Objetivo: gerar expectativa.</w:t>
      </w:r>
    </w:p>
    <w:p>
      <w:pPr>
        <w:spacing w:after="160" w:line="300"/>
        <w:jc w:val="both"/>
      </w:pPr>
      <w:r>
        <w:rPr>
          <w:rFonts w:ascii="Arial" w:cs="Arial" w:eastAsia="Arial" w:hAnsi="Arial"/>
          <w:b/>
          <w:bCs/>
          <w:color w:val="2C3E50"/>
          <w:sz w:val="22"/>
          <w:szCs w:val="22"/>
        </w:rPr>
        <w:t xml:space="preserve">Fase 2 – Lançamento (abril a maio): </w:t>
      </w:r>
      <w:r>
        <w:rPr>
          <w:rFonts w:ascii="Arial" w:cs="Arial" w:eastAsia="Arial" w:hAnsi="Arial"/>
          <w:color w:val="2C3E50"/>
          <w:sz w:val="22"/>
          <w:szCs w:val="22"/>
        </w:rPr>
        <w:t xml:space="preserve">Revelação do tema com evento coordenado (tema + camisa + casal de noivos no mesmo evento). Cobertura jornalística. Objetivo: impacto máximo.</w:t>
      </w:r>
    </w:p>
    <w:p>
      <w:pPr>
        <w:spacing w:after="160" w:line="300"/>
        <w:jc w:val="both"/>
      </w:pPr>
      <w:r>
        <w:rPr>
          <w:rFonts w:ascii="Arial" w:cs="Arial" w:eastAsia="Arial" w:hAnsi="Arial"/>
          <w:b/>
          <w:bCs/>
          <w:color w:val="2C3E50"/>
          <w:sz w:val="22"/>
          <w:szCs w:val="22"/>
        </w:rPr>
        <w:t xml:space="preserve">Fase 3 – Preparação (maio a junho): </w:t>
      </w:r>
      <w:r>
        <w:rPr>
          <w:rFonts w:ascii="Arial" w:cs="Arial" w:eastAsia="Arial" w:hAnsi="Arial"/>
          <w:color w:val="2C3E50"/>
          <w:sz w:val="22"/>
          <w:szCs w:val="22"/>
        </w:rPr>
        <w:t xml:space="preserve">Cobertura de ensaios, perfis dos brincantes, histórias da quadrilha, vídeos de bastidores. Objetivo: engajamento e comunidade.</w:t>
      </w:r>
    </w:p>
    <w:p>
      <w:pPr>
        <w:spacing w:after="160" w:line="300"/>
        <w:jc w:val="both"/>
      </w:pPr>
      <w:r>
        <w:rPr>
          <w:rFonts w:ascii="Arial" w:cs="Arial" w:eastAsia="Arial" w:hAnsi="Arial"/>
          <w:b/>
          <w:bCs/>
          <w:color w:val="2C3E50"/>
          <w:sz w:val="22"/>
          <w:szCs w:val="22"/>
        </w:rPr>
        <w:t xml:space="preserve">Fase 4 – Festival (período do evento): </w:t>
      </w:r>
      <w:r>
        <w:rPr>
          <w:rFonts w:ascii="Arial" w:cs="Arial" w:eastAsia="Arial" w:hAnsi="Arial"/>
          <w:color w:val="2C3E50"/>
          <w:sz w:val="22"/>
          <w:szCs w:val="22"/>
        </w:rPr>
        <w:t xml:space="preserve">Cobertura ao vivo, stories em tempo real, interação com público. Objetivo: amplificação.</w:t>
      </w:r>
    </w:p>
    <w:p>
      <w:pPr>
        <w:spacing w:after="160" w:line="300"/>
        <w:jc w:val="both"/>
      </w:pPr>
      <w:r>
        <w:rPr>
          <w:rFonts w:ascii="Arial" w:cs="Arial" w:eastAsia="Arial" w:hAnsi="Arial"/>
          <w:b/>
          <w:bCs/>
          <w:color w:val="2C3E50"/>
          <w:sz w:val="22"/>
          <w:szCs w:val="22"/>
        </w:rPr>
        <w:t xml:space="preserve">Fase 5 – Pós-festival: </w:t>
      </w:r>
      <w:r>
        <w:rPr>
          <w:rFonts w:ascii="Arial" w:cs="Arial" w:eastAsia="Arial" w:hAnsi="Arial"/>
          <w:color w:val="2C3E50"/>
          <w:sz w:val="22"/>
          <w:szCs w:val="22"/>
        </w:rPr>
        <w:t xml:space="preserve">Agradecimentos, destaque de momentos, premiações internas, balanço da temporada. Objetivo: fidelização.</w:t>
      </w:r>
    </w:p>
    <w:p>
      <w:pPr>
        <w:pStyle w:val="Heading2"/>
        <w:spacing w:after="200" w:before="240"/>
      </w:pPr>
      <w:r>
        <w:rPr>
          <w:rFonts w:ascii="Arial" w:cs="Arial" w:eastAsia="Arial" w:hAnsi="Arial"/>
          <w:b/>
          <w:bCs/>
          <w:color w:val="2C3E50"/>
          <w:sz w:val="26"/>
          <w:szCs w:val="26"/>
        </w:rPr>
        <w:t xml:space="preserve">4.3 Assessoria de Imprensa</w:t>
      </w:r>
    </w:p>
    <w:p>
      <w:pPr>
        <w:spacing w:after="160" w:line="300"/>
        <w:jc w:val="both"/>
      </w:pPr>
      <w:r>
        <w:rPr>
          <w:rFonts w:ascii="Arial" w:cs="Arial" w:eastAsia="Arial" w:hAnsi="Arial"/>
          <w:color w:val="2C3E50"/>
          <w:sz w:val="22"/>
          <w:szCs w:val="22"/>
        </w:rPr>
        <w:t xml:space="preserve">Produção de releases para veículos de comunicação regionais (Portal Norte, blogs locais, rádios), buscando cobertura espontânea e posicionamento da Explosão Junina como referência cultural de Beruri.</w:t>
      </w:r>
    </w:p>
    <w:p>
      <w:pPr>
        <w:pStyle w:val="Heading1"/>
        <w:spacing w:after="200" w:before="360"/>
      </w:pPr>
      <w:r>
        <w:rPr>
          <w:rFonts w:ascii="Arial" w:cs="Arial" w:eastAsia="Arial" w:hAnsi="Arial"/>
          <w:b/>
          <w:bCs/>
          <w:color w:val="922B21"/>
          <w:sz w:val="32"/>
          <w:szCs w:val="32"/>
        </w:rPr>
        <w:t xml:space="preserve">5. EIXO 2 – GESTÃO E TRANSPARÊNCIA</w:t>
      </w:r>
    </w:p>
    <w:p>
      <w:pPr>
        <w:pStyle w:val="Heading2"/>
        <w:spacing w:after="200" w:before="240"/>
      </w:pPr>
      <w:r>
        <w:rPr>
          <w:rFonts w:ascii="Arial" w:cs="Arial" w:eastAsia="Arial" w:hAnsi="Arial"/>
          <w:b/>
          <w:bCs/>
          <w:color w:val="2C3E50"/>
          <w:sz w:val="26"/>
          <w:szCs w:val="26"/>
        </w:rPr>
        <w:t xml:space="preserve">5.1 Transparência Financeira</w:t>
      </w:r>
    </w:p>
    <w:p>
      <w:pPr>
        <w:spacing w:after="160" w:line="300"/>
        <w:jc w:val="both"/>
      </w:pPr>
      <w:r>
        <w:rPr>
          <w:rFonts w:ascii="Arial" w:cs="Arial" w:eastAsia="Arial" w:hAnsi="Arial"/>
          <w:color w:val="2C3E50"/>
          <w:sz w:val="22"/>
          <w:szCs w:val="22"/>
        </w:rPr>
        <w:t xml:space="preserve">Implementação de um modelo de prestação de contas em dois níveis:</w:t>
      </w:r>
    </w:p>
    <w:p>
      <w:pPr>
        <w:spacing w:after="160" w:line="300"/>
        <w:jc w:val="both"/>
      </w:pPr>
      <w:r>
        <w:rPr>
          <w:rFonts w:ascii="Arial" w:cs="Arial" w:eastAsia="Arial" w:hAnsi="Arial"/>
          <w:b/>
          <w:bCs/>
          <w:color w:val="2C3E50"/>
          <w:sz w:val="22"/>
          <w:szCs w:val="22"/>
        </w:rPr>
        <w:t xml:space="preserve">Recursos públicos (transparência total): </w:t>
      </w:r>
      <w:r>
        <w:rPr>
          <w:rFonts w:ascii="Arial" w:cs="Arial" w:eastAsia="Arial" w:hAnsi="Arial"/>
          <w:color w:val="2C3E50"/>
          <w:sz w:val="22"/>
          <w:szCs w:val="22"/>
        </w:rPr>
        <w:t xml:space="preserve">verbas recebidas via Lei Paulo Gustavo, editais municipais de fomento à cultura ou qualquer recurso público terão prestação de contas detalhada e pública: quanto recebeu, onde aplicou, o que entregou. Essa é uma obrigação legal e será apresentada no Arraial de Lançamento e publicada nas redes sociais.</w:t>
      </w:r>
    </w:p>
    <w:p>
      <w:pPr>
        <w:spacing w:after="160" w:line="300"/>
        <w:jc w:val="both"/>
      </w:pPr>
      <w:r>
        <w:rPr>
          <w:rFonts w:ascii="Arial" w:cs="Arial" w:eastAsia="Arial" w:hAnsi="Arial"/>
          <w:b/>
          <w:bCs/>
          <w:color w:val="2C3E50"/>
          <w:sz w:val="22"/>
          <w:szCs w:val="22"/>
        </w:rPr>
        <w:t xml:space="preserve">Arrecadação própria (apenas total público): </w:t>
      </w:r>
      <w:r>
        <w:rPr>
          <w:rFonts w:ascii="Arial" w:cs="Arial" w:eastAsia="Arial" w:hAnsi="Arial"/>
          <w:color w:val="2C3E50"/>
          <w:sz w:val="22"/>
          <w:szCs w:val="22"/>
        </w:rPr>
        <w:t xml:space="preserve">recursos de patrocínios, venda de camisas, rifas, bingos, eventos e doações serão divulgados publicamente apenas como valor total. O detalhamento por fonte, por patrocinador e por ação fica registrado internamente, disponível para reuniões internas da coordenação e brincantes. Essa separação protege informações estratégicas sem comprometer a credibilidade.</w:t>
      </w:r>
    </w:p>
    <w:p>
      <w:pPr>
        <w:spacing w:after="160" w:line="300"/>
        <w:jc w:val="both"/>
      </w:pPr>
      <w:r>
        <w:rPr>
          <w:rFonts w:ascii="Arial" w:cs="Arial" w:eastAsia="Arial" w:hAnsi="Arial"/>
          <w:color w:val="2C3E50"/>
          <w:sz w:val="22"/>
          <w:szCs w:val="22"/>
        </w:rPr>
        <w:t xml:space="preserve">Essa prática gera confiança entre brincantes, patrocinadores e a comunidade, além de ser um diferencial competitivo. Nenhuma quadrilha em Beruri faz isso, e poucas no Amazonas adotam essa prática.</w:t>
      </w:r>
    </w:p>
    <w:p>
      <w:pPr>
        <w:pStyle w:val="Heading2"/>
        <w:spacing w:after="200" w:before="240"/>
      </w:pPr>
      <w:r>
        <w:rPr>
          <w:rFonts w:ascii="Arial" w:cs="Arial" w:eastAsia="Arial" w:hAnsi="Arial"/>
          <w:b/>
          <w:bCs/>
          <w:color w:val="2C3E50"/>
          <w:sz w:val="26"/>
          <w:szCs w:val="26"/>
        </w:rPr>
        <w:t xml:space="preserve">5.2 Contrato Simbólico com Brincantes</w:t>
      </w:r>
    </w:p>
    <w:p>
      <w:pPr>
        <w:spacing w:after="160" w:line="300"/>
        <w:jc w:val="both"/>
      </w:pPr>
      <w:r>
        <w:rPr>
          <w:rFonts w:ascii="Arial" w:cs="Arial" w:eastAsia="Arial" w:hAnsi="Arial"/>
          <w:color w:val="2C3E50"/>
          <w:sz w:val="22"/>
          <w:szCs w:val="22"/>
        </w:rPr>
        <w:t xml:space="preserve">Proposta de formalização da relação entre a quadrilha e seus brincantes, por meio de um Termo de Compromisso Simbólico que estabeleça:</w:t>
      </w:r>
    </w:p>
    <w:p>
      <w:pPr>
        <w:pStyle w:val="ListParagraph"/>
        <w:numPr>
          <w:ilvl w:val="0"/>
          <w:numId w:val="2"/>
        </w:numPr>
        <w:spacing w:after="80" w:line="300"/>
      </w:pPr>
      <w:r>
        <w:rPr>
          <w:rFonts w:ascii="Arial" w:cs="Arial" w:eastAsia="Arial" w:hAnsi="Arial"/>
          <w:sz w:val="22"/>
          <w:szCs w:val="22"/>
        </w:rPr>
        <w:t xml:space="preserve">Compromisso de presença nos ensaios (frequência mínima)</w:t>
      </w:r>
    </w:p>
    <w:p>
      <w:pPr>
        <w:pStyle w:val="ListParagraph"/>
        <w:numPr>
          <w:ilvl w:val="0"/>
          <w:numId w:val="2"/>
        </w:numPr>
        <w:spacing w:after="80" w:line="300"/>
      </w:pPr>
      <w:r>
        <w:rPr>
          <w:rFonts w:ascii="Arial" w:cs="Arial" w:eastAsia="Arial" w:hAnsi="Arial"/>
          <w:sz w:val="22"/>
          <w:szCs w:val="22"/>
        </w:rPr>
        <w:t xml:space="preserve">Respeito ao código de conduta da quadrilha</w:t>
      </w:r>
    </w:p>
    <w:p>
      <w:pPr>
        <w:pStyle w:val="ListParagraph"/>
        <w:numPr>
          <w:ilvl w:val="0"/>
          <w:numId w:val="2"/>
        </w:numPr>
        <w:spacing w:after="80" w:line="300"/>
      </w:pPr>
      <w:r>
        <w:rPr>
          <w:rFonts w:ascii="Arial" w:cs="Arial" w:eastAsia="Arial" w:hAnsi="Arial"/>
          <w:sz w:val="22"/>
          <w:szCs w:val="22"/>
        </w:rPr>
        <w:t xml:space="preserve">Direitos do brincante: alimentação em ensaios, figurino, transporte (quando aplicável)</w:t>
      </w:r>
    </w:p>
    <w:p>
      <w:pPr>
        <w:pStyle w:val="ListParagraph"/>
        <w:numPr>
          <w:ilvl w:val="0"/>
          <w:numId w:val="2"/>
        </w:numPr>
        <w:spacing w:after="80" w:line="300"/>
      </w:pPr>
      <w:r>
        <w:rPr>
          <w:rFonts w:ascii="Arial" w:cs="Arial" w:eastAsia="Arial" w:hAnsi="Arial"/>
          <w:sz w:val="22"/>
          <w:szCs w:val="22"/>
        </w:rPr>
        <w:t xml:space="preserve">Uso de imagem autorizado para fins de divulgação</w:t>
      </w:r>
    </w:p>
    <w:p>
      <w:pPr>
        <w:pStyle w:val="ListParagraph"/>
        <w:numPr>
          <w:ilvl w:val="0"/>
          <w:numId w:val="2"/>
        </w:numPr>
        <w:spacing w:after="160" w:line="300"/>
      </w:pPr>
      <w:r>
        <w:rPr>
          <w:rFonts w:ascii="Arial" w:cs="Arial" w:eastAsia="Arial" w:hAnsi="Arial"/>
          <w:sz w:val="22"/>
          <w:szCs w:val="22"/>
        </w:rPr>
        <w:t xml:space="preserve">Perspectiva futura: evolução para contratos com contrapartidas financeiras simbólicas (ajuda de custo, premiação por desempenho)</w:t>
      </w:r>
    </w:p>
    <w:p>
      <w:pPr>
        <w:spacing w:after="160" w:line="300"/>
        <w:jc w:val="both"/>
      </w:pPr>
      <w:r>
        <w:rPr>
          <w:rFonts w:ascii="Arial" w:cs="Arial" w:eastAsia="Arial" w:hAnsi="Arial"/>
          <w:color w:val="2C3E50"/>
          <w:sz w:val="22"/>
          <w:szCs w:val="22"/>
        </w:rPr>
        <w:t xml:space="preserve">O objetivo inicial é criar cultura de profissionalismo. O contrato dá seriedade à relação e protege ambas as partes, mesmo que num primeiro momento não envolva valores financeiros.</w:t>
      </w:r>
    </w:p>
    <w:p>
      <w:pPr>
        <w:pStyle w:val="Heading1"/>
        <w:spacing w:after="200" w:before="360"/>
      </w:pPr>
      <w:r>
        <w:rPr>
          <w:rFonts w:ascii="Arial" w:cs="Arial" w:eastAsia="Arial" w:hAnsi="Arial"/>
          <w:b/>
          <w:bCs/>
          <w:color w:val="922B21"/>
          <w:sz w:val="32"/>
          <w:szCs w:val="32"/>
        </w:rPr>
        <w:t xml:space="preserve">6. EIXO 3 – ORGANIZAÇÃO DE ENSAIOS</w:t>
      </w:r>
    </w:p>
    <w:p>
      <w:pPr>
        <w:pStyle w:val="Heading2"/>
        <w:spacing w:after="200" w:before="240"/>
      </w:pPr>
      <w:r>
        <w:rPr>
          <w:rFonts w:ascii="Arial" w:cs="Arial" w:eastAsia="Arial" w:hAnsi="Arial"/>
          <w:b/>
          <w:bCs/>
          <w:color w:val="2C3E50"/>
          <w:sz w:val="26"/>
          <w:szCs w:val="26"/>
        </w:rPr>
        <w:t xml:space="preserve">6.1 Estrutura de Liderança por Filas</w:t>
      </w:r>
    </w:p>
    <w:p>
      <w:pPr>
        <w:spacing w:after="160" w:line="300"/>
        <w:jc w:val="both"/>
      </w:pPr>
      <w:r>
        <w:rPr>
          <w:rFonts w:ascii="Arial" w:cs="Arial" w:eastAsia="Arial" w:hAnsi="Arial"/>
          <w:color w:val="2C3E50"/>
          <w:sz w:val="22"/>
          <w:szCs w:val="22"/>
        </w:rPr>
        <w:t xml:space="preserve">Cada fila terá um(a) líder designado(a) pela coordenação. O líder de fila é responsável por manter o alinhamento, acompanhar a evolução dos brincantes da sua fila e garantir que os passos estejam em dia. Essa estrutura distribui a responsabilidade que hoje recai inteiramente sobre o coreógrafo, tornando a gestão de mais de 50 pessoas viável e eficiente.</w:t>
      </w:r>
    </w:p>
    <w:p>
      <w:pPr>
        <w:spacing w:after="160" w:line="300"/>
        <w:jc w:val="both"/>
      </w:pPr>
      <w:r>
        <w:rPr>
          <w:rFonts w:ascii="Arial" w:cs="Arial" w:eastAsia="Arial" w:hAnsi="Arial"/>
          <w:color w:val="2C3E50"/>
          <w:sz w:val="22"/>
          <w:szCs w:val="22"/>
        </w:rPr>
        <w:t xml:space="preserve">A liderança de fila é rotativa, permitindo que diferentes brincantes assumam o papel ao longo da temporada. Isso desenvolve capacidade de liderança dentro do grupo e evita centralização excessiva. O líder de fila reporta diretamente ao coreógrafo e à coordenação.</w:t>
      </w:r>
    </w:p>
    <w:p>
      <w:pPr>
        <w:pStyle w:val="Heading2"/>
        <w:spacing w:after="200" w:before="240"/>
      </w:pPr>
      <w:r>
        <w:rPr>
          <w:rFonts w:ascii="Arial" w:cs="Arial" w:eastAsia="Arial" w:hAnsi="Arial"/>
          <w:b/>
          <w:bCs/>
          <w:color w:val="2C3E50"/>
          <w:sz w:val="26"/>
          <w:szCs w:val="26"/>
        </w:rPr>
        <w:t xml:space="preserve">6.2 Metodologia de Ensaio</w:t>
      </w:r>
    </w:p>
    <w:p>
      <w:pPr>
        <w:spacing w:after="160" w:line="300"/>
        <w:jc w:val="both"/>
      </w:pPr>
      <w:r>
        <w:rPr>
          <w:rFonts w:ascii="Arial" w:cs="Arial" w:eastAsia="Arial" w:hAnsi="Arial"/>
          <w:color w:val="2C3E50"/>
          <w:sz w:val="22"/>
          <w:szCs w:val="22"/>
        </w:rPr>
        <w:t xml:space="preserve">Os ensaios seguirão um formato estruturado com variações dinâmicas para manter o engajamento: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13"/>
        <w:gridCol w:w="4513"/>
      </w:tblGrid>
      <w:tr>
        <w:tc>
          <w:tcPr>
            <w:tcW w:type="dxa" w:w="20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Momento</w:t>
            </w:r>
          </w:p>
        </w:tc>
        <w:tc>
          <w:tcPr>
            <w:tcW w:type="dxa" w:w="251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Duração</w:t>
            </w:r>
          </w:p>
        </w:tc>
        <w:tc>
          <w:tcPr>
            <w:tcW w:type="dxa" w:w="451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Atividade</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bCs/>
                <w:color w:val="2C3E50"/>
                <w:sz w:val="20"/>
                <w:szCs w:val="20"/>
              </w:rPr>
              <w:t xml:space="preserve">Aquecimento</w:t>
            </w:r>
          </w:p>
        </w:tc>
        <w:tc>
          <w:tcPr>
            <w:tcW w:type="dxa" w:w="25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15 minutos</w:t>
            </w:r>
          </w:p>
        </w:tc>
        <w:tc>
          <w:tcPr>
            <w:tcW w:type="dxa" w:w="45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Alongação e integração do grupo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C3E50"/>
                <w:sz w:val="20"/>
                <w:szCs w:val="20"/>
              </w:rPr>
              <w:t xml:space="preserve">Geral</w:t>
            </w:r>
          </w:p>
        </w:tc>
        <w:tc>
          <w:tcPr>
            <w:tcW w:type="dxa" w:w="2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30 minutos</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Passagem da coreografia completa com todos os brincantes</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bCs/>
                <w:color w:val="2C3E50"/>
                <w:sz w:val="20"/>
                <w:szCs w:val="20"/>
              </w:rPr>
              <w:t xml:space="preserve">Por filas</w:t>
            </w:r>
          </w:p>
        </w:tc>
        <w:tc>
          <w:tcPr>
            <w:tcW w:type="dxa" w:w="25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45 minutos</w:t>
            </w:r>
          </w:p>
        </w:tc>
        <w:tc>
          <w:tcPr>
            <w:tcW w:type="dxa" w:w="45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Trabalho específico por fila com líder: correção de passos, sincronia, expressão. Enquanto uma fila trabalha, as demais observam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C3E50"/>
                <w:sz w:val="20"/>
                <w:szCs w:val="20"/>
              </w:rPr>
              <w:t xml:space="preserve">Dinâmica</w:t>
            </w:r>
          </w:p>
        </w:tc>
        <w:tc>
          <w:tcPr>
            <w:tcW w:type="dxa" w:w="2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20 minutos</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Ensaios combinados (2 ou 3 filas juntas), duelos entre filas, ou troca de lados para treinamento cruzado</w:t>
            </w:r>
          </w:p>
        </w:tc>
      </w:tr>
      <w:tr>
        <w:tc>
          <w:tcPr>
            <w:tcW w:type="dxa" w:w="20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bCs/>
                <w:color w:val="2C3E50"/>
                <w:sz w:val="20"/>
                <w:szCs w:val="20"/>
              </w:rPr>
              <w:t xml:space="preserve">Passagem final</w:t>
            </w:r>
          </w:p>
        </w:tc>
        <w:tc>
          <w:tcPr>
            <w:tcW w:type="dxa" w:w="25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20 minutos</w:t>
            </w:r>
          </w:p>
        </w:tc>
        <w:tc>
          <w:tcPr>
            <w:tcW w:type="dxa" w:w="45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Ensaio geral completo com a coreografia corrigida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C3E50"/>
                <w:sz w:val="20"/>
                <w:szCs w:val="20"/>
              </w:rPr>
              <w:t xml:space="preserve">Encerramento</w:t>
            </w:r>
          </w:p>
        </w:tc>
        <w:tc>
          <w:tcPr>
            <w:tcW w:type="dxa" w:w="2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10 minutos</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Feedback coletivo, avaliação, avisos e motivação</w:t>
            </w:r>
          </w:p>
        </w:tc>
      </w:tr>
    </w:tbl>
    <w:p>
      <w:pPr>
        <w:pStyle w:val="Heading2"/>
        <w:spacing w:after="200" w:before="240"/>
      </w:pPr>
      <w:r>
        <w:rPr>
          <w:rFonts w:ascii="Arial" w:cs="Arial" w:eastAsia="Arial" w:hAnsi="Arial"/>
          <w:b/>
          <w:bCs/>
          <w:color w:val="2C3E50"/>
          <w:sz w:val="26"/>
          <w:szCs w:val="26"/>
        </w:rPr>
        <w:t xml:space="preserve">6.3 Dinâmicas de Treinamento</w:t>
      </w:r>
    </w:p>
    <w:p>
      <w:pPr>
        <w:spacing w:after="160" w:line="300"/>
        <w:jc w:val="both"/>
      </w:pPr>
      <w:r>
        <w:rPr>
          <w:rFonts w:ascii="Arial" w:cs="Arial" w:eastAsia="Arial" w:hAnsi="Arial"/>
          <w:color w:val="2C3E50"/>
          <w:sz w:val="22"/>
          <w:szCs w:val="22"/>
        </w:rPr>
        <w:t xml:space="preserve">Para manter o engajamento e acelerar a evolução do grupo, os ensaios incluirão dinâmicas variadas:</w:t>
      </w:r>
    </w:p>
    <w:p>
      <w:pPr>
        <w:pStyle w:val="ListParagraph"/>
        <w:numPr>
          <w:ilvl w:val="0"/>
          <w:numId w:val="2"/>
        </w:numPr>
        <w:spacing w:after="80" w:line="300"/>
      </w:pPr>
      <w:r>
        <w:rPr>
          <w:rFonts w:ascii="Arial" w:cs="Arial" w:eastAsia="Arial" w:hAnsi="Arial"/>
          <w:sz w:val="22"/>
          <w:szCs w:val="22"/>
        </w:rPr>
        <w:t xml:space="preserve">Ensaio combinado (2 filas): duas filas ensaiam juntas para treinar sincronia entre grupos adjacentes, simulando condições reais de apresentação</w:t>
      </w:r>
    </w:p>
    <w:p>
      <w:pPr>
        <w:pStyle w:val="ListParagraph"/>
        <w:numPr>
          <w:ilvl w:val="0"/>
          <w:numId w:val="2"/>
        </w:numPr>
        <w:spacing w:after="80" w:line="300"/>
      </w:pPr>
      <w:r>
        <w:rPr>
          <w:rFonts w:ascii="Arial" w:cs="Arial" w:eastAsia="Arial" w:hAnsi="Arial"/>
          <w:sz w:val="22"/>
          <w:szCs w:val="22"/>
        </w:rPr>
        <w:t xml:space="preserve">Ensaio combinado (3 filas): eleva a complexidade, exigindo atenção do grupo todo</w:t>
      </w:r>
    </w:p>
    <w:p>
      <w:pPr>
        <w:pStyle w:val="ListParagraph"/>
        <w:numPr>
          <w:ilvl w:val="0"/>
          <w:numId w:val="2"/>
        </w:numPr>
        <w:spacing w:after="80" w:line="300"/>
      </w:pPr>
      <w:r>
        <w:rPr>
          <w:rFonts w:ascii="Arial" w:cs="Arial" w:eastAsia="Arial" w:hAnsi="Arial"/>
          <w:sz w:val="22"/>
          <w:szCs w:val="22"/>
        </w:rPr>
        <w:t xml:space="preserve">Duelo entre filas: duas filas executam a mesma sequência e a coordenação avalia qual teve melhor desempenho. Cria rivalidade saudável e estimula o esforço coletivo</w:t>
      </w:r>
    </w:p>
    <w:p>
      <w:pPr>
        <w:pStyle w:val="ListParagraph"/>
        <w:numPr>
          <w:ilvl w:val="0"/>
          <w:numId w:val="2"/>
        </w:numPr>
        <w:spacing w:after="80" w:line="300"/>
      </w:pPr>
      <w:r>
        <w:rPr>
          <w:rFonts w:ascii="Arial" w:cs="Arial" w:eastAsia="Arial" w:hAnsi="Arial"/>
          <w:sz w:val="22"/>
          <w:szCs w:val="22"/>
        </w:rPr>
        <w:t xml:space="preserve">Troca de lados: brincantes trocam de fila temporariamente para aprenderem a coreografia do lado oposto. Isso é fundamental para que todo brincante saiba dançar em qualquer posição, fortalecendo o cordão de dança como um todo</w:t>
      </w:r>
    </w:p>
    <w:p>
      <w:pPr>
        <w:pStyle w:val="ListParagraph"/>
        <w:numPr>
          <w:ilvl w:val="0"/>
          <w:numId w:val="2"/>
        </w:numPr>
        <w:spacing w:after="160" w:line="300"/>
      </w:pPr>
      <w:r>
        <w:rPr>
          <w:rFonts w:ascii="Arial" w:cs="Arial" w:eastAsia="Arial" w:hAnsi="Arial"/>
          <w:sz w:val="22"/>
          <w:szCs w:val="22"/>
        </w:rPr>
        <w:t xml:space="preserve">Destaque individual: momentos em que brincantes individuais executam trechos sozinhos para a avaliação da coordenação, revelando talentos para funções de item</w:t>
      </w:r>
    </w:p>
    <w:p>
      <w:pPr>
        <w:pStyle w:val="Heading2"/>
        <w:spacing w:after="200" w:before="240"/>
      </w:pPr>
      <w:r>
        <w:rPr>
          <w:rFonts w:ascii="Arial" w:cs="Arial" w:eastAsia="Arial" w:hAnsi="Arial"/>
          <w:b/>
          <w:bCs/>
          <w:color w:val="2C3E50"/>
          <w:sz w:val="26"/>
          <w:szCs w:val="26"/>
        </w:rPr>
        <w:t xml:space="preserve">6.4 Dia da Disputa entre Filas</w:t>
      </w:r>
    </w:p>
    <w:p>
      <w:pPr>
        <w:spacing w:after="160" w:line="300"/>
        <w:jc w:val="both"/>
      </w:pPr>
      <w:r>
        <w:rPr>
          <w:rFonts w:ascii="Arial" w:cs="Arial" w:eastAsia="Arial" w:hAnsi="Arial"/>
          <w:color w:val="2C3E50"/>
          <w:sz w:val="22"/>
          <w:szCs w:val="22"/>
        </w:rPr>
        <w:t xml:space="preserve">Um dia fixo de cada mês será dedicado à Disputa entre Filas, um evento interno de competição saudável com as seguintes regras:</w:t>
      </w:r>
    </w:p>
    <w:p>
      <w:pPr>
        <w:pStyle w:val="ListParagraph"/>
        <w:numPr>
          <w:ilvl w:val="0"/>
          <w:numId w:val="2"/>
        </w:numPr>
        <w:spacing w:after="80" w:line="300"/>
      </w:pPr>
      <w:r>
        <w:rPr>
          <w:rFonts w:ascii="Arial" w:cs="Arial" w:eastAsia="Arial" w:hAnsi="Arial"/>
          <w:sz w:val="22"/>
          <w:szCs w:val="22"/>
        </w:rPr>
        <w:t xml:space="preserve">Cada fila apresenta a coreografia e recebe uma nota da coordenação (sincronia, expressão, energia, alinhamento)</w:t>
      </w:r>
    </w:p>
    <w:p>
      <w:pPr>
        <w:pStyle w:val="ListParagraph"/>
        <w:numPr>
          <w:ilvl w:val="0"/>
          <w:numId w:val="2"/>
        </w:numPr>
        <w:spacing w:after="80" w:line="300"/>
      </w:pPr>
      <w:r>
        <w:rPr>
          <w:rFonts w:ascii="Arial" w:cs="Arial" w:eastAsia="Arial" w:hAnsi="Arial"/>
          <w:sz w:val="22"/>
          <w:szCs w:val="22"/>
        </w:rPr>
        <w:t xml:space="preserve">A fila vencedora do mês recebe reconhecimento público (post nas redes sociais, destaque no ensaio seguinte)</w:t>
      </w:r>
    </w:p>
    <w:p>
      <w:pPr>
        <w:pStyle w:val="ListParagraph"/>
        <w:numPr>
          <w:ilvl w:val="0"/>
          <w:numId w:val="2"/>
        </w:numPr>
        <w:spacing w:after="80" w:line="300"/>
      </w:pPr>
      <w:r>
        <w:rPr>
          <w:rFonts w:ascii="Arial" w:cs="Arial" w:eastAsia="Arial" w:hAnsi="Arial"/>
          <w:sz w:val="22"/>
          <w:szCs w:val="22"/>
        </w:rPr>
        <w:t xml:space="preserve">Os resultados mensais acumulados ajudam a coordenação a definir a formação final para o Festival</w:t>
      </w:r>
    </w:p>
    <w:p>
      <w:pPr>
        <w:pStyle w:val="ListParagraph"/>
        <w:numPr>
          <w:ilvl w:val="0"/>
          <w:numId w:val="2"/>
        </w:numPr>
        <w:spacing w:after="160" w:line="300"/>
      </w:pPr>
      <w:r>
        <w:rPr>
          <w:rFonts w:ascii="Arial" w:cs="Arial" w:eastAsia="Arial" w:hAnsi="Arial"/>
          <w:sz w:val="22"/>
          <w:szCs w:val="22"/>
        </w:rPr>
        <w:t xml:space="preserve">A disputa também serve como momento de avaliação formal para o sistema de bonificação</w:t>
      </w:r>
    </w:p>
    <w:p>
      <w:pPr>
        <w:pStyle w:val="Heading2"/>
        <w:spacing w:after="200" w:before="240"/>
      </w:pPr>
      <w:r>
        <w:rPr>
          <w:rFonts w:ascii="Arial" w:cs="Arial" w:eastAsia="Arial" w:hAnsi="Arial"/>
          <w:b/>
          <w:bCs/>
          <w:color w:val="2C3E50"/>
          <w:sz w:val="26"/>
          <w:szCs w:val="26"/>
        </w:rPr>
        <w:t xml:space="preserve">6.5 Sistema de Mobilidade nas Filas</w:t>
      </w:r>
    </w:p>
    <w:p>
      <w:pPr>
        <w:spacing w:after="160" w:line="300"/>
        <w:jc w:val="both"/>
      </w:pPr>
      <w:r>
        <w:rPr>
          <w:rFonts w:ascii="Arial" w:cs="Arial" w:eastAsia="Arial" w:hAnsi="Arial"/>
          <w:color w:val="2C3E50"/>
          <w:sz w:val="22"/>
          <w:szCs w:val="22"/>
        </w:rPr>
        <w:t xml:space="preserve">A posição dos brincantes nas filas não é fixa. Com base nas avaliações contínuas e nos resultados das disputas mensais, a coordenação poderá:</w:t>
      </w:r>
    </w:p>
    <w:p>
      <w:pPr>
        <w:pStyle w:val="ListParagraph"/>
        <w:numPr>
          <w:ilvl w:val="0"/>
          <w:numId w:val="2"/>
        </w:numPr>
        <w:spacing w:after="80" w:line="300"/>
      </w:pPr>
      <w:r>
        <w:rPr>
          <w:rFonts w:ascii="Arial" w:cs="Arial" w:eastAsia="Arial" w:hAnsi="Arial"/>
          <w:sz w:val="22"/>
          <w:szCs w:val="22"/>
        </w:rPr>
        <w:t xml:space="preserve">Promover brincantes individuais para posições mais à frente na mesma fila (os melhores dançarinos ficam na frente)</w:t>
      </w:r>
    </w:p>
    <w:p>
      <w:pPr>
        <w:pStyle w:val="ListParagraph"/>
        <w:numPr>
          <w:ilvl w:val="0"/>
          <w:numId w:val="2"/>
        </w:numPr>
        <w:spacing w:after="80" w:line="300"/>
      </w:pPr>
      <w:r>
        <w:rPr>
          <w:rFonts w:ascii="Arial" w:cs="Arial" w:eastAsia="Arial" w:hAnsi="Arial"/>
          <w:sz w:val="22"/>
          <w:szCs w:val="22"/>
        </w:rPr>
        <w:t xml:space="preserve">Reposicionar brincantes entre filas para equilibrar o nível técnico do grupo</w:t>
      </w:r>
    </w:p>
    <w:p>
      <w:pPr>
        <w:pStyle w:val="ListParagraph"/>
        <w:numPr>
          <w:ilvl w:val="0"/>
          <w:numId w:val="2"/>
        </w:numPr>
        <w:spacing w:after="80" w:line="300"/>
      </w:pPr>
      <w:r>
        <w:rPr>
          <w:rFonts w:ascii="Arial" w:cs="Arial" w:eastAsia="Arial" w:hAnsi="Arial"/>
          <w:sz w:val="22"/>
          <w:szCs w:val="22"/>
        </w:rPr>
        <w:t xml:space="preserve">Promover uma fila inteira para posição de destaque caso demonstre evolução coletiva consistente</w:t>
      </w:r>
    </w:p>
    <w:p>
      <w:pPr>
        <w:pStyle w:val="ListParagraph"/>
        <w:numPr>
          <w:ilvl w:val="0"/>
          <w:numId w:val="2"/>
        </w:numPr>
        <w:spacing w:after="80" w:line="300"/>
      </w:pPr>
      <w:r>
        <w:rPr>
          <w:rFonts w:ascii="Arial" w:cs="Arial" w:eastAsia="Arial" w:hAnsi="Arial"/>
          <w:sz w:val="22"/>
          <w:szCs w:val="22"/>
        </w:rPr>
        <w:t xml:space="preserve">Identificar candidatos a função de item entre brincantes de destaque, preparando-os para possível promoção na temporada corrente ou na seguinte</w:t>
      </w:r>
    </w:p>
    <w:p>
      <w:pPr>
        <w:pStyle w:val="ListParagraph"/>
        <w:numPr>
          <w:ilvl w:val="0"/>
          <w:numId w:val="2"/>
        </w:numPr>
        <w:spacing w:after="160" w:line="300"/>
      </w:pPr>
      <w:r>
        <w:rPr>
          <w:rFonts w:ascii="Arial" w:cs="Arial" w:eastAsia="Arial" w:hAnsi="Arial"/>
          <w:sz w:val="22"/>
          <w:szCs w:val="22"/>
        </w:rPr>
        <w:t xml:space="preserve">A mobilidade gera desconforto saudável: mudar de lado ou de posição desafia o brincante a se adaptar. Essa versatilidade é o que diferencia um cordão forte de um cordão frágil</w:t>
      </w:r>
    </w:p>
    <w:p>
      <w:pPr>
        <w:pStyle w:val="Heading2"/>
        <w:spacing w:after="200" w:before="240"/>
      </w:pPr>
      <w:r>
        <w:rPr>
          <w:rFonts w:ascii="Arial" w:cs="Arial" w:eastAsia="Arial" w:hAnsi="Arial"/>
          <w:b/>
          <w:bCs/>
          <w:color w:val="2C3E50"/>
          <w:sz w:val="26"/>
          <w:szCs w:val="26"/>
        </w:rPr>
        <w:t xml:space="preserve">6.6 Treinamento Cruzado (Todos Sabem Tudo)</w:t>
      </w:r>
    </w:p>
    <w:p>
      <w:pPr>
        <w:spacing w:after="160" w:line="300"/>
        <w:jc w:val="both"/>
      </w:pPr>
      <w:r>
        <w:rPr>
          <w:rFonts w:ascii="Arial" w:cs="Arial" w:eastAsia="Arial" w:hAnsi="Arial"/>
          <w:color w:val="2C3E50"/>
          <w:sz w:val="22"/>
          <w:szCs w:val="22"/>
        </w:rPr>
        <w:t xml:space="preserve">Um dos princípios fundamentais da nossa metodologia é que todo brincante deve saber dançar toda a coreografia, independente do lado ou da posição. Isso significa que os brincantes do lado direito também sabem os passos do lado esquerdo, e vice-versa. Os benefícios são claros: substituições de última hora não comprometem o espetáculo; remanejamentos entre filas acontecem sem prejuízo; e o nível técnico geral do cordão sobe, porque cada brincante compreende a coreografia como um todo e não apenas a sua parte. Ensaios periódicos de troca de lado são obrigatórios.</w:t>
      </w:r>
    </w:p>
    <w:p>
      <w:pPr>
        <w:pStyle w:val="Heading2"/>
        <w:spacing w:after="200" w:before="240"/>
      </w:pPr>
      <w:r>
        <w:rPr>
          <w:rFonts w:ascii="Arial" w:cs="Arial" w:eastAsia="Arial" w:hAnsi="Arial"/>
          <w:b/>
          <w:bCs/>
          <w:color w:val="2C3E50"/>
          <w:sz w:val="26"/>
          <w:szCs w:val="26"/>
        </w:rPr>
        <w:t xml:space="preserve">6.7 Controle de Presença e Avaliação</w:t>
      </w:r>
    </w:p>
    <w:p>
      <w:pPr>
        <w:spacing w:after="160" w:line="300"/>
        <w:jc w:val="both"/>
      </w:pPr>
      <w:r>
        <w:rPr>
          <w:rFonts w:ascii="Arial" w:cs="Arial" w:eastAsia="Arial" w:hAnsi="Arial"/>
          <w:color w:val="2C3E50"/>
          <w:sz w:val="22"/>
          <w:szCs w:val="22"/>
        </w:rPr>
        <w:t xml:space="preserve">Registro digital de frequência e avaliação (nota de 1 a 5) a cada ensaio via sistema próprio, alimentando o painel de transparência e o Programa de Bonificação. O sistema permite que o brincante acompanhe seu próprio desempenho e entenda o que precisa melhorar para subir nas filas ou se candidatar a funções de item.</w:t>
      </w:r>
    </w:p>
    <w:p>
      <w:pPr>
        <w:pStyle w:val="Heading1"/>
        <w:spacing w:after="200" w:before="360"/>
      </w:pPr>
      <w:r>
        <w:rPr>
          <w:rFonts w:ascii="Arial" w:cs="Arial" w:eastAsia="Arial" w:hAnsi="Arial"/>
          <w:b/>
          <w:bCs/>
          <w:color w:val="922B21"/>
          <w:sz w:val="32"/>
          <w:szCs w:val="32"/>
        </w:rPr>
        <w:t xml:space="preserve">7. EIXO 4 – CAPTAÇÃO DE RECURSOS</w:t>
      </w:r>
    </w:p>
    <w:p>
      <w:pPr>
        <w:spacing w:after="160" w:line="300"/>
        <w:jc w:val="both"/>
      </w:pPr>
      <w:r>
        <w:rPr>
          <w:rFonts w:ascii="Arial" w:cs="Arial" w:eastAsia="Arial" w:hAnsi="Arial"/>
          <w:color w:val="2C3E50"/>
          <w:sz w:val="22"/>
          <w:szCs w:val="22"/>
        </w:rPr>
        <w:t>A quadrilha opera um portfólio de projetos de arrecadação, cada um detalhado — com planejamento, orçamento e checklist de execução — no documento Projetos de Arrecadação. Os projetos:</w:t>
      </w:r>
    </w:p>
    <w:p>
      <w:pPr>
        <w:pStyle w:val="Heading2"/>
        <w:spacing w:after="200" w:before="240"/>
      </w:pPr>
      <w:r>
        <w:rPr>
          <w:rFonts w:ascii="Arial" w:cs="Arial" w:eastAsia="Arial" w:hAnsi="Arial"/>
          <w:b/>
          <w:bCs/>
          <w:color w:val="2C3E50"/>
          <w:sz w:val="26"/>
          <w:szCs w:val="26"/>
        </w:rPr>
        <w:t>7.1 Rifas</w:t>
      </w:r>
    </w:p>
    <w:p>
      <w:pPr>
        <w:spacing w:after="160" w:line="300"/>
        <w:jc w:val="both"/>
      </w:pPr>
      <w:r>
        <w:rPr>
          <w:rFonts w:ascii="Arial" w:cs="Arial" w:eastAsia="Arial" w:hAnsi="Arial"/>
          <w:color w:val="2C3E50"/>
          <w:sz w:val="22"/>
          <w:szCs w:val="22"/>
        </w:rPr>
        <w:t>Venda de bilhetes numerados com sorteio de prêmios, em linhas temáticas (doces, comidas, prêmios variados, dinheiro ou vale-desconto de parceiros). Baixo custo e alta margem; todo brincante ajuda a vender.</w:t>
      </w:r>
    </w:p>
    <w:p>
      <w:pPr>
        <w:pStyle w:val="Heading2"/>
        <w:spacing w:after="200" w:before="240"/>
      </w:pPr>
      <w:r>
        <w:rPr>
          <w:rFonts w:ascii="Arial" w:cs="Arial" w:eastAsia="Arial" w:hAnsi="Arial"/>
          <w:b/>
          <w:bCs/>
          <w:color w:val="2C3E50"/>
          <w:sz w:val="26"/>
          <w:szCs w:val="26"/>
        </w:rPr>
        <w:t>7.2 Bingo</w:t>
      </w:r>
    </w:p>
    <w:p>
      <w:pPr>
        <w:spacing w:after="160" w:line="300"/>
        <w:jc w:val="both"/>
      </w:pPr>
      <w:r>
        <w:rPr>
          <w:rFonts w:ascii="Arial" w:cs="Arial" w:eastAsia="Arial" w:hAnsi="Arial"/>
          <w:color w:val="2C3E50"/>
          <w:sz w:val="22"/>
          <w:szCs w:val="22"/>
        </w:rPr>
        <w:t>Evento presencial com venda de cartelas e premiação por rodada. Além das cartelas, gera receita com a venda de comidas e bebidas no local.</w:t>
      </w:r>
    </w:p>
    <w:p>
      <w:pPr>
        <w:pStyle w:val="Heading2"/>
        <w:spacing w:after="200" w:before="240"/>
      </w:pPr>
      <w:r>
        <w:rPr>
          <w:rFonts w:ascii="Arial" w:cs="Arial" w:eastAsia="Arial" w:hAnsi="Arial"/>
          <w:b/>
          <w:bCs/>
          <w:color w:val="2C3E50"/>
          <w:sz w:val="26"/>
          <w:szCs w:val="26"/>
        </w:rPr>
        <w:t>7.3 Venda de Batata Frita</w:t>
      </w:r>
    </w:p>
    <w:p>
      <w:pPr>
        <w:spacing w:after="160" w:line="300"/>
        <w:jc w:val="both"/>
      </w:pPr>
      <w:r>
        <w:rPr>
          <w:rFonts w:ascii="Arial" w:cs="Arial" w:eastAsia="Arial" w:hAnsi="Arial"/>
          <w:color w:val="2C3E50"/>
          <w:sz w:val="22"/>
          <w:szCs w:val="22"/>
        </w:rPr>
        <w:t>O projeto mais simples e recorrente: venda de batata frita na saída das missas e em pontos de movimento. Baixo investimento, poucas pessoas e boa margem; pode ser semanal.</w:t>
      </w:r>
    </w:p>
    <w:p>
      <w:pPr>
        <w:pStyle w:val="Heading2"/>
        <w:spacing w:after="200" w:before="240"/>
      </w:pPr>
      <w:r>
        <w:rPr>
          <w:rFonts w:ascii="Arial" w:cs="Arial" w:eastAsia="Arial" w:hAnsi="Arial"/>
          <w:b/>
          <w:bCs/>
          <w:color w:val="2C3E50"/>
          <w:sz w:val="26"/>
          <w:szCs w:val="26"/>
        </w:rPr>
        <w:t>7.4 Cinema na Praça</w:t>
      </w:r>
    </w:p>
    <w:p>
      <w:pPr>
        <w:spacing w:after="160" w:line="300"/>
        <w:jc w:val="both"/>
      </w:pPr>
      <w:r>
        <w:rPr>
          <w:rFonts w:ascii="Arial" w:cs="Arial" w:eastAsia="Arial" w:hAnsi="Arial"/>
          <w:color w:val="2C3E50"/>
          <w:sz w:val="22"/>
          <w:szCs w:val="22"/>
        </w:rPr>
        <w:t>Exibição de filmes ao ar livre em tela grande na praça pública. Entrada simbólica (ou gratuita) e venda de pipoca, refrigerante, suco e doces — onde está o lucro real do evento.</w:t>
      </w:r>
    </w:p>
    <w:p>
      <w:pPr>
        <w:pStyle w:val="Heading2"/>
        <w:spacing w:after="200" w:before="240"/>
      </w:pPr>
      <w:r>
        <w:rPr>
          <w:rFonts w:ascii="Arial" w:cs="Arial" w:eastAsia="Arial" w:hAnsi="Arial"/>
          <w:b/>
          <w:bCs/>
          <w:color w:val="2C3E50"/>
          <w:sz w:val="26"/>
          <w:szCs w:val="26"/>
        </w:rPr>
        <w:t>7.5 Cine Explosão</w:t>
      </w:r>
    </w:p>
    <w:p>
      <w:pPr>
        <w:spacing w:after="160" w:line="300"/>
        <w:jc w:val="both"/>
      </w:pPr>
      <w:r>
        <w:rPr>
          <w:rFonts w:ascii="Arial" w:cs="Arial" w:eastAsia="Arial" w:hAnsi="Arial"/>
          <w:color w:val="2C3E50"/>
          <w:sz w:val="22"/>
          <w:szCs w:val="22"/>
        </w:rPr>
        <w:t>O projeto mais ambicioso: um cinema multi-sala montado em escola parceira, com sessões infantis e adultas, venda de ingressos (online e presencial) e de alimentos. Repetível e escalável a cada edição.</w:t>
      </w:r>
    </w:p>
    <w:p>
      <w:pPr>
        <w:pStyle w:val="Heading2"/>
        <w:spacing w:after="200" w:before="240"/>
      </w:pPr>
      <w:r>
        <w:rPr>
          <w:rFonts w:ascii="Arial" w:cs="Arial" w:eastAsia="Arial" w:hAnsi="Arial"/>
          <w:b/>
          <w:bCs/>
          <w:color w:val="2C3E50"/>
          <w:sz w:val="26"/>
          <w:szCs w:val="26"/>
        </w:rPr>
        <w:t>7.6 Arraial da Explosão</w:t>
      </w:r>
    </w:p>
    <w:p>
      <w:pPr>
        <w:spacing w:after="160" w:line="300"/>
        <w:jc w:val="both"/>
      </w:pPr>
      <w:r>
        <w:rPr>
          <w:rFonts w:ascii="Arial" w:cs="Arial" w:eastAsia="Arial" w:hAnsi="Arial"/>
          <w:color w:val="2C3E50"/>
          <w:sz w:val="22"/>
          <w:szCs w:val="22"/>
        </w:rPr>
        <w:t>Festival anual que comemora o aniversário da quadrilha e convida danças de Beruri e de cidades vizinhas, com feira de vendas e votação popular. Posiciona a Explosão como instituição cultural do município.</w:t>
      </w:r>
    </w:p>
    <w:p>
      <w:pPr>
        <w:pStyle w:val="Heading2"/>
        <w:spacing w:after="200" w:before="240"/>
      </w:pPr>
      <w:r>
        <w:rPr>
          <w:rFonts w:ascii="Arial" w:cs="Arial" w:eastAsia="Arial" w:hAnsi="Arial"/>
          <w:b/>
          <w:bCs/>
          <w:color w:val="2C3E50"/>
          <w:sz w:val="26"/>
          <w:szCs w:val="26"/>
        </w:rPr>
        <w:t>7.7 Arraial de Lançamento</w:t>
      </w:r>
    </w:p>
    <w:p>
      <w:pPr>
        <w:spacing w:after="160" w:line="300"/>
        <w:jc w:val="both"/>
      </w:pPr>
      <w:r>
        <w:rPr>
          <w:rFonts w:ascii="Arial" w:cs="Arial" w:eastAsia="Arial" w:hAnsi="Arial"/>
          <w:color w:val="2C3E50"/>
          <w:sz w:val="22"/>
          <w:szCs w:val="22"/>
        </w:rPr>
        <w:t>Evento que abre oficialmente a temporada: revelação do tema, da camisa e dos itens, prestação de contas pública e ações de arrecadação (bingo, rifas, venda de camisa e comidas).</w:t>
      </w:r>
    </w:p>
    <w:p>
      <w:pPr>
        <w:pStyle w:val="Heading2"/>
        <w:spacing w:after="200" w:before="240"/>
      </w:pPr>
      <w:r>
        <w:rPr>
          <w:rFonts w:ascii="Arial" w:cs="Arial" w:eastAsia="Arial" w:hAnsi="Arial"/>
          <w:b/>
          <w:bCs/>
          <w:color w:val="2C3E50"/>
          <w:sz w:val="26"/>
          <w:szCs w:val="26"/>
        </w:rPr>
        <w:t>7.8 Parcerias Comerciais</w:t>
      </w:r>
    </w:p>
    <w:p>
      <w:pPr>
        <w:spacing w:after="160" w:line="300"/>
        <w:jc w:val="both"/>
      </w:pPr>
      <w:r>
        <w:rPr>
          <w:rFonts w:ascii="Arial" w:cs="Arial" w:eastAsia="Arial" w:hAnsi="Arial"/>
          <w:color w:val="2C3E50"/>
          <w:sz w:val="22"/>
          <w:szCs w:val="22"/>
        </w:rPr>
        <w:t xml:space="preserve">Estruturação de cotas de patrocínio com contrapartidas claras para o parceiro: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13"/>
        <w:gridCol w:w="3613"/>
      </w:tblGrid>
      <w:tr>
        <w:tc>
          <w:tcPr>
            <w:tcW w:type="dxa" w:w="18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Cota</w:t>
            </w:r>
          </w:p>
        </w:tc>
        <w:tc>
          <w:tcPr>
            <w:tcW w:type="dxa" w:w="361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Contrapartida</w:t>
            </w:r>
          </w:p>
        </w:tc>
        <w:tc>
          <w:tcPr>
            <w:tcW w:type="dxa" w:w="361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Perfil do parceiro</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bCs/>
                <w:color w:val="2C3E50"/>
                <w:sz w:val="20"/>
                <w:szCs w:val="20"/>
              </w:rPr>
              <w:t xml:space="preserve">Ouro</w:t>
            </w:r>
          </w:p>
        </w:tc>
        <w:tc>
          <w:tcPr>
            <w:tcW w:type="dxa" w:w="36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Logo na camisa, banner no ensaio, destaque em todas as publicações, menção em entrevistas</w:t>
            </w:r>
          </w:p>
        </w:tc>
        <w:tc>
          <w:tcPr>
            <w:tcW w:type="dxa" w:w="36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Supermercados, comércios de maior porte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C3E50"/>
                <w:sz w:val="20"/>
                <w:szCs w:val="20"/>
              </w:rPr>
              <w:t xml:space="preserve">Prata</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Logo em materiais digitais, menção nas redes sociais, espaço em eventos</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Lojas, farmácias, prestadores de serviço</w:t>
            </w:r>
          </w:p>
        </w:tc>
      </w:tr>
      <w:tr>
        <w:tc>
          <w:tcPr>
            <w:tcW w:type="dxa" w:w="18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bCs/>
                <w:color w:val="2C3E50"/>
                <w:sz w:val="20"/>
                <w:szCs w:val="20"/>
              </w:rPr>
              <w:t xml:space="preserve">Bronze</w:t>
            </w:r>
          </w:p>
        </w:tc>
        <w:tc>
          <w:tcPr>
            <w:tcW w:type="dxa" w:w="36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Agradecimento nas redes sociais, inclusão no balanço de transparência como apoiador</w:t>
            </w:r>
          </w:p>
        </w:tc>
        <w:tc>
          <w:tcPr>
            <w:tcW w:type="dxa" w:w="36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Pequenos comércios, apoiadores individuais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C3E50"/>
                <w:sz w:val="20"/>
                <w:szCs w:val="20"/>
              </w:rPr>
              <w:t xml:space="preserve">Apoiador</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Doação de produtos ou serviços (alimentação de ensaio, tecido, transporte)</w:t>
            </w:r>
          </w:p>
        </w:tc>
        <w:tc>
          <w:tcPr>
            <w:tcW w:type="dxa" w:w="36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Padarias, açougues, mercadinhos, costureiras</w:t>
            </w:r>
          </w:p>
        </w:tc>
      </w:tr>
    </w:tbl>
    <w:p>
      <w:pPr>
        <w:spacing w:after="100"/>
      </w:pPr>
    </w:p>
    <w:p>
      <w:pPr>
        <w:pStyle w:val="Heading2"/>
        <w:spacing w:after="200" w:before="240"/>
      </w:pPr>
      <w:r>
        <w:rPr>
          <w:rFonts w:ascii="Arial" w:cs="Arial" w:eastAsia="Arial" w:hAnsi="Arial"/>
          <w:b/>
          <w:bCs/>
          <w:color w:val="2C3E50"/>
          <w:sz w:val="26"/>
          <w:szCs w:val="26"/>
        </w:rPr>
        <w:t>7.9 Outras Ações de Arrecadação</w:t>
      </w:r>
    </w:p>
    <w:p>
      <w:pPr>
        <w:pStyle w:val="ListParagraph"/>
        <w:numPr>
          <w:ilvl w:val="0"/>
          <w:numId w:val="2"/>
        </w:numPr>
        <w:spacing w:after="80" w:line="300"/>
      </w:pPr>
      <w:r>
        <w:rPr>
          <w:rFonts w:ascii="Arial" w:cs="Arial" w:eastAsia="Arial" w:hAnsi="Arial"/>
          <w:sz w:val="22"/>
          <w:szCs w:val="22"/>
        </w:rPr>
        <w:t xml:space="preserve">Venda antecipada de camisas e produtos oficiais</w:t>
      </w:r>
    </w:p>
    <w:p>
      <w:pPr>
        <w:pStyle w:val="ListParagraph"/>
        <w:numPr>
          <w:ilvl w:val="0"/>
          <w:numId w:val="2"/>
        </w:numPr>
        <w:spacing w:after="80" w:line="300"/>
      </w:pPr>
      <w:r>
        <w:rPr>
          <w:rFonts w:ascii="Arial" w:cs="Arial" w:eastAsia="Arial" w:hAnsi="Arial"/>
          <w:sz w:val="22"/>
          <w:szCs w:val="22"/>
        </w:rPr>
        <w:t xml:space="preserve">Ensaio aberto com venda de alimentação</w:t>
      </w:r>
    </w:p>
    <w:p>
      <w:pPr>
        <w:pStyle w:val="ListParagraph"/>
        <w:numPr>
          <w:ilvl w:val="0"/>
          <w:numId w:val="2"/>
        </w:numPr>
        <w:spacing w:after="80" w:line="300"/>
      </w:pPr>
      <w:r>
        <w:rPr>
          <w:rFonts w:ascii="Arial" w:cs="Arial" w:eastAsia="Arial" w:hAnsi="Arial"/>
          <w:sz w:val="22"/>
          <w:szCs w:val="22"/>
        </w:rPr>
        <w:t xml:space="preserve">Campanha de financiamento coletivo (vaquinha online) para itens específicos (figurino, som)</w:t>
      </w:r>
    </w:p>
    <w:p>
      <w:pPr>
        <w:pStyle w:val="ListParagraph"/>
        <w:numPr>
          <w:ilvl w:val="0"/>
          <w:numId w:val="2"/>
        </w:numPr>
        <w:spacing w:after="160" w:line="300"/>
      </w:pPr>
      <w:r>
        <w:rPr>
          <w:rFonts w:ascii="Arial" w:cs="Arial" w:eastAsia="Arial" w:hAnsi="Arial"/>
          <w:sz w:val="22"/>
          <w:szCs w:val="22"/>
        </w:rPr>
        <w:t xml:space="preserve">Torneios esportivos beneficentes (futebol, futsal) com inscrição paga</w:t>
      </w:r>
    </w:p>
    <w:p>
      <w:pPr>
        <w:pStyle w:val="Heading1"/>
        <w:spacing w:after="200" w:before="360"/>
      </w:pPr>
      <w:r>
        <w:rPr>
          <w:rFonts w:ascii="Arial" w:cs="Arial" w:eastAsia="Arial" w:hAnsi="Arial"/>
          <w:b/>
          <w:bCs/>
          <w:color w:val="922B21"/>
          <w:sz w:val="32"/>
          <w:szCs w:val="32"/>
        </w:rPr>
        <w:t xml:space="preserve">8. CRONOGRAMA DE IMPLEMENTAÇÃO</w:t>
      </w:r>
    </w:p>
    <w:p>
      <w:pPr>
        <w:spacing w:after="160" w:line="300"/>
        <w:jc w:val="both"/>
      </w:pPr>
      <w:r>
        <w:rPr>
          <w:rFonts w:ascii="Arial" w:cs="Arial" w:eastAsia="Arial" w:hAnsi="Arial"/>
          <w:color w:val="2C3E50"/>
          <w:sz w:val="22"/>
          <w:szCs w:val="22"/>
        </w:rPr>
        <w:t>A implementação do projeto segue um cronograma realista considerando que a temporada 2027 já está em andamento: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Período</w:t>
            </w:r>
          </w:p>
        </w:tc>
        <w:tc>
          <w:tcPr>
            <w:tcW w:type="dxa" w:w="341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Ação</w:t>
            </w:r>
          </w:p>
        </w:tc>
        <w:tc>
          <w:tcPr>
            <w:tcW w:type="dxa" w:w="3413"/>
            <w:tcBorders>
              <w:top w:val="single" w:color="CCCCCC" w:sz="1"/>
              <w:left w:val="single" w:color="CCCCCC" w:sz="1"/>
              <w:bottom w:val="single" w:color="CCCCCC" w:sz="1"/>
              <w:right w:val="single" w:color="CCCCCC" w:sz="1"/>
            </w:tcBorders>
            <w:shd w:fill="922B21"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Entrega</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bCs/>
                <w:color w:val="2C3E50"/>
                <w:sz w:val="20"/>
                <w:szCs w:val="20"/>
              </w:rPr>
              <w:t xml:space="preserve">Semana 1</w:t>
            </w:r>
          </w:p>
        </w:tc>
        <w:tc>
          <w:tcPr>
            <w:tcW w:type="dxa" w:w="34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Reunião com coordenação, alinhamento de expectativas e aprovação do escopo</w:t>
            </w:r>
          </w:p>
        </w:tc>
        <w:tc>
          <w:tcPr>
            <w:tcW w:type="dxa" w:w="34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Contrato de serviço assinado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C3E50"/>
                <w:sz w:val="20"/>
                <w:szCs w:val="20"/>
              </w:rPr>
              <w:t xml:space="preserve">Semana 2</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Redesenho da identidade visual e planejamento de marketing</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Nova identidade visual + calendário editorial</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bCs/>
                <w:color w:val="2C3E50"/>
                <w:sz w:val="20"/>
                <w:szCs w:val="20"/>
              </w:rPr>
              <w:t xml:space="preserve">Semana 3-4</w:t>
            </w:r>
          </w:p>
        </w:tc>
        <w:tc>
          <w:tcPr>
            <w:tcW w:type="dxa" w:w="34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Implementação: redes sociais renovadas, sistema de presença, modelo de ensaio por filas</w:t>
            </w:r>
          </w:p>
        </w:tc>
        <w:tc>
          <w:tcPr>
            <w:tcW w:type="dxa" w:w="34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Perfil renovado + primeiro ensaio estruturado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C3E50"/>
                <w:sz w:val="20"/>
                <w:szCs w:val="20"/>
              </w:rPr>
              <w:t xml:space="preserve">Maio-Junho</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Operação contínua: cobertura de ensaios, captação de recursos, eventos de arrecadação</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Publicações regulares + primeiro balanço financeiro + Cinema da Explosão</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bCs/>
                <w:color w:val="2C3E50"/>
                <w:sz w:val="20"/>
                <w:szCs w:val="20"/>
              </w:rPr>
              <w:t xml:space="preserve">Festival</w:t>
            </w:r>
          </w:p>
        </w:tc>
        <w:tc>
          <w:tcPr>
            <w:tcW w:type="dxa" w:w="34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Cobertura completa do evento, assessoria de imprensa</w:t>
            </w:r>
          </w:p>
        </w:tc>
        <w:tc>
          <w:tcPr>
            <w:tcW w:type="dxa" w:w="3413"/>
            <w:tcBorders>
              <w:top w:val="single" w:color="CCCCCC" w:sz="1"/>
              <w:left w:val="single" w:color="CCCCCC" w:sz="1"/>
              <w:bottom w:val="single" w:color="CCCCCC" w:sz="1"/>
              <w:right w:val="single" w:color="CCCCCC" w:sz="1"/>
            </w:tcBorders>
            <w:shd w:fill="F2F3F4" w:val="clear"/>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Conteúdo ao vivo + release para veículos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2C3E50"/>
                <w:sz w:val="20"/>
                <w:szCs w:val="20"/>
              </w:rPr>
              <w:t xml:space="preserve">Pós-festival</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Balanço final, prestação de contas, relatório de temporada</w:t>
            </w:r>
          </w:p>
        </w:tc>
        <w:tc>
          <w:tcPr>
            <w:tcW w:type="dxa" w:w="3413"/>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2C3E50"/>
                <w:sz w:val="20"/>
                <w:szCs w:val="20"/>
              </w:rPr>
              <w:t xml:space="preserve">Balanço financeiro final + relatório completo da temporada</w:t>
            </w:r>
          </w:p>
        </w:tc>
      </w:tr>
    </w:tbl>
    <w:p>
      <w:pPr>
        <w:spacing w:after="100"/>
      </w:pPr>
    </w:p>
    <w:p>
      <w:pPr>
        <w:pStyle w:val="Heading1"/>
        <w:spacing w:after="200" w:before="360"/>
      </w:pPr>
      <w:r>
        <w:rPr>
          <w:rFonts w:ascii="Arial" w:cs="Arial" w:eastAsia="Arial" w:hAnsi="Arial"/>
          <w:b/>
          <w:bCs/>
          <w:color w:val="922B21"/>
          <w:sz w:val="32"/>
          <w:szCs w:val="32"/>
        </w:rPr>
        <w:t xml:space="preserve">9. INVESTIMENTO</w:t>
      </w:r>
    </w:p>
    <w:p>
      <w:pPr>
        <w:spacing w:after="160" w:line="300"/>
        <w:jc w:val="both"/>
      </w:pPr>
      <w:r>
        <w:rPr>
          <w:rFonts w:ascii="Arial" w:cs="Arial" w:eastAsia="Arial" w:hAnsi="Arial"/>
          <w:color w:val="2C3E50"/>
          <w:sz w:val="22"/>
          <w:szCs w:val="22"/>
        </w:rPr>
        <w:t xml:space="preserve">Os valores serão apresentados em reunião presencial com a coordenação, após alinhamento do escopo final. O modelo de remuneração pode ser:</w:t>
      </w:r>
    </w:p>
    <w:p>
      <w:pPr>
        <w:pStyle w:val="ListParagraph"/>
        <w:numPr>
          <w:ilvl w:val="0"/>
          <w:numId w:val="2"/>
        </w:numPr>
        <w:spacing w:after="80" w:line="300"/>
      </w:pPr>
      <w:r>
        <w:rPr>
          <w:rFonts w:ascii="Arial" w:cs="Arial" w:eastAsia="Arial" w:hAnsi="Arial"/>
          <w:sz w:val="22"/>
          <w:szCs w:val="22"/>
        </w:rPr>
        <w:t xml:space="preserve">Valor fixo por temporada (pacote completo de serviços)</w:t>
      </w:r>
    </w:p>
    <w:p>
      <w:pPr>
        <w:pStyle w:val="ListParagraph"/>
        <w:numPr>
          <w:ilvl w:val="0"/>
          <w:numId w:val="2"/>
        </w:numPr>
        <w:spacing w:after="80" w:line="300"/>
      </w:pPr>
      <w:r>
        <w:rPr>
          <w:rFonts w:ascii="Arial" w:cs="Arial" w:eastAsia="Arial" w:hAnsi="Arial"/>
          <w:sz w:val="22"/>
          <w:szCs w:val="22"/>
        </w:rPr>
        <w:t xml:space="preserve">Valor por entrega (cada eixo contratado separadamente)</w:t>
      </w:r>
    </w:p>
    <w:p>
      <w:pPr>
        <w:pStyle w:val="ListParagraph"/>
        <w:numPr>
          <w:ilvl w:val="0"/>
          <w:numId w:val="2"/>
        </w:numPr>
        <w:spacing w:after="160" w:line="300"/>
      </w:pPr>
      <w:r>
        <w:rPr>
          <w:rFonts w:ascii="Arial" w:cs="Arial" w:eastAsia="Arial" w:hAnsi="Arial"/>
          <w:sz w:val="22"/>
          <w:szCs w:val="22"/>
        </w:rPr>
        <w:t xml:space="preserve">Modelo híbrido: valor base + percentual da captação de patrocínios</w:t>
      </w:r>
    </w:p>
    <w:p>
      <w:pPr>
        <w:spacing w:after="160" w:line="300"/>
        <w:jc w:val="both"/>
      </w:pPr>
      <w:r>
        <w:rPr>
          <w:rFonts w:ascii="Arial" w:cs="Arial" w:eastAsia="Arial" w:hAnsi="Arial"/>
          <w:color w:val="2C3E50"/>
          <w:sz w:val="22"/>
          <w:szCs w:val="22"/>
        </w:rPr>
        <w:t xml:space="preserve">A equipe também está aberta a negociar um modelo de entrada com valor reduzido nesta primeira temporada, como investimento na construção da parceria de longo prazo.</w:t>
      </w:r>
    </w:p>
    <w:p>
      <w:pPr>
        <w:pStyle w:val="Heading1"/>
        <w:spacing w:after="200" w:before="360"/>
      </w:pPr>
      <w:r>
        <w:rPr>
          <w:rFonts w:ascii="Arial" w:cs="Arial" w:eastAsia="Arial" w:hAnsi="Arial"/>
          <w:b/>
          <w:bCs/>
          <w:color w:val="922B21"/>
          <w:sz w:val="32"/>
          <w:szCs w:val="32"/>
        </w:rPr>
        <w:t xml:space="preserve">10. VISÃO DE FUTURO</w:t>
      </w:r>
    </w:p>
    <w:p>
      <w:pPr>
        <w:spacing w:after="160" w:line="300"/>
        <w:jc w:val="both"/>
      </w:pPr>
      <w:r>
        <w:rPr>
          <w:rFonts w:ascii="Arial" w:cs="Arial" w:eastAsia="Arial" w:hAnsi="Arial"/>
          <w:color w:val="2C3E50"/>
          <w:sz w:val="22"/>
          <w:szCs w:val="22"/>
        </w:rPr>
        <w:t>Este projeto não se limita à temporada 2027. A visão é de longo prazo:</w:t>
      </w:r>
    </w:p>
    <w:p>
      <w:pPr>
        <w:pStyle w:val="ListParagraph"/>
        <w:numPr>
          <w:ilvl w:val="0"/>
          <w:numId w:val="2"/>
        </w:numPr>
        <w:spacing w:after="80" w:line="300"/>
      </w:pPr>
      <w:r>
        <w:rPr>
          <w:rFonts w:ascii="Arial" w:cs="Arial" w:eastAsia="Arial" w:hAnsi="Arial"/>
          <w:sz w:val="22"/>
          <w:szCs w:val="22"/>
        </w:rPr>
        <w:t xml:space="preserve">Transformar a Explosão Junina na quadrilha mais organizada e transparente de Beruri</w:t>
      </w:r>
    </w:p>
    <w:p>
      <w:pPr>
        <w:pStyle w:val="ListParagraph"/>
        <w:numPr>
          <w:ilvl w:val="0"/>
          <w:numId w:val="2"/>
        </w:numPr>
        <w:spacing w:after="80" w:line="300"/>
      </w:pPr>
      <w:r>
        <w:rPr>
          <w:rFonts w:ascii="Arial" w:cs="Arial" w:eastAsia="Arial" w:hAnsi="Arial"/>
          <w:sz w:val="22"/>
          <w:szCs w:val="22"/>
        </w:rPr>
        <w:t xml:space="preserve">Construir uma marca reconhecida além do município, abrindo portas para participação em festivais regionais</w:t>
      </w:r>
    </w:p>
    <w:p>
      <w:pPr>
        <w:pStyle w:val="ListParagraph"/>
        <w:numPr>
          <w:ilvl w:val="0"/>
          <w:numId w:val="2"/>
        </w:numPr>
        <w:spacing w:after="80" w:line="300"/>
      </w:pPr>
      <w:r>
        <w:rPr>
          <w:rFonts w:ascii="Arial" w:cs="Arial" w:eastAsia="Arial" w:hAnsi="Arial"/>
          <w:sz w:val="22"/>
          <w:szCs w:val="22"/>
        </w:rPr>
        <w:t xml:space="preserve">Profissionalizar a gestão ao ponto de atrair apoio institucional (Prefeitura, Governo do Estado, Sebrae)</w:t>
      </w:r>
    </w:p>
    <w:p>
      <w:pPr>
        <w:pStyle w:val="ListParagraph"/>
        <w:numPr>
          <w:ilvl w:val="0"/>
          <w:numId w:val="2"/>
        </w:numPr>
        <w:spacing w:after="80" w:line="300"/>
      </w:pPr>
      <w:r>
        <w:rPr>
          <w:rFonts w:ascii="Arial" w:cs="Arial" w:eastAsia="Arial" w:hAnsi="Arial"/>
          <w:sz w:val="22"/>
          <w:szCs w:val="22"/>
        </w:rPr>
        <w:t xml:space="preserve">Evoluir os contratos simbólicos para contratos com contrapartida financeira real para brincantes</w:t>
      </w:r>
    </w:p>
    <w:p>
      <w:pPr>
        <w:pStyle w:val="ListParagraph"/>
        <w:numPr>
          <w:ilvl w:val="0"/>
          <w:numId w:val="2"/>
        </w:numPr>
        <w:spacing w:after="160" w:line="300"/>
      </w:pPr>
      <w:r>
        <w:rPr>
          <w:rFonts w:ascii="Arial" w:cs="Arial" w:eastAsia="Arial" w:hAnsi="Arial"/>
          <w:sz w:val="22"/>
          <w:szCs w:val="22"/>
        </w:rPr>
        <w:t xml:space="preserve">Criar um modelo que possa ser replicado por outros grupos culturais de Beruri, fortalecendo o festival como um todo</w:t>
      </w:r>
    </w:p>
    <w:p>
      <w:pPr>
        <w:spacing w:after="200"/>
      </w:pPr>
    </w:p>
    <w:p>
      <w:pPr>
        <w:pBdr>
          <w:top w:val="single" w:color="F39C12" w:sz="6" w:space="1"/>
        </w:pBdr>
        <w:jc w:val="center"/>
      </w:pPr>
    </w:p>
    <w:p>
      <w:pPr>
        <w:spacing w:after="100"/>
      </w:pPr>
    </w:p>
    <w:p>
      <w:pPr>
        <w:spacing w:after="60"/>
        <w:jc w:val="center"/>
      </w:pPr>
      <w:r>
        <w:rPr>
          <w:rFonts w:ascii="Arial" w:cs="Arial" w:eastAsia="Arial" w:hAnsi="Arial"/>
          <w:i/>
          <w:iCs/>
          <w:color w:val="922B21"/>
          <w:sz w:val="24"/>
          <w:szCs w:val="24"/>
        </w:rPr>
        <w:t xml:space="preserve">“Quem ganhou o primeiro, tem a obrigação de ser o melhor sempre.”</w:t>
      </w:r>
    </w:p>
    <w:p>
      <w:pPr>
        <w:spacing w:after="200"/>
      </w:pPr>
    </w:p>
    <w:p>
      <w:pPr>
        <w:jc w:val="center"/>
      </w:pPr>
      <w:r>
        <w:rPr>
          <w:rFonts w:ascii="Arial" w:cs="Arial" w:eastAsia="Arial" w:hAnsi="Arial"/>
          <w:color w:val="2C3E50"/>
          <w:sz w:val="22"/>
          <w:szCs w:val="22"/>
        </w:rPr>
        <w:t>Beruri – AM, maio de 2027</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right"/>
    </w:pPr>
    <w:r>
      <w:rPr>
        <w:rFonts w:ascii="Arial" w:cs="Arial" w:eastAsia="Arial" w:hAnsi="Arial"/>
        <w:color w:val="999999"/>
        <w:sz w:val="16"/>
        <w:szCs w:val="16"/>
      </w:rPr>
      <w:t xml:space="preserve">Página </w:t>
    </w:r>
    <w:r>
      <w:rPr>
        <w:rFonts w:ascii="Arial" w:cs="Arial" w:eastAsia="Arial" w:hAnsi="Arial"/>
        <w:color w:val="999999"/>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22B21" w:sz="4" w:space="4"/>
      </w:pBdr>
    </w:pPr>
    <w:r>
      <w:rPr>
        <w:rFonts w:ascii="Arial" w:cs="Arial" w:eastAsia="Arial" w:hAnsi="Arial"/>
        <w:i/>
        <w:iCs/>
        <w:color w:val="999999"/>
        <w:sz w:val="16"/>
        <w:szCs w:val="16"/>
      </w:rPr>
      <w:t xml:space="preserve">Projeto Estratégico – Explosão Junina Beruri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FASE %1:"/>
      <w:lvlJc w:val="left"/>
      <w:pPr>
        <w:ind w:left="72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922B21"/>
      <w:sz w:val="32"/>
      <w:szCs w:val="32"/>
    </w:rPr>
  </w:style>
  <w:style w:type="paragraph" w:styleId="Heading2">
    <w:name w:val="Heading 2"/>
    <w:basedOn w:val="Normal"/>
    <w:next w:val="Normal"/>
    <w:qFormat/>
    <w:pPr>
      <w:spacing w:after="18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2026-05-04T17:11:57.443Z</dcterms:created>
  <dcterms:modified xsi:type="dcterms:W3CDTF">2026-05-04T17:11:57.457Z</dcterms:modified>
</cp:coreProperties>
</file>

<file path=docProps/custom.xml><?xml version="1.0" encoding="utf-8"?>
<Properties xmlns="http://schemas.openxmlformats.org/officeDocument/2006/custom-properties" xmlns:vt="http://schemas.openxmlformats.org/officeDocument/2006/docPropsVTypes"/>
</file>