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200"/>
      </w:pPr>
      <w:r>
        <w:rPr>
          <w:rFonts w:ascii="Segoe UI" w:hAnsi="Segoe UI"/>
          <w:b/>
          <w:color w:val="0F766E"/>
          <w:sz w:val="48"/>
        </w:rPr>
        <w:t>ADR: Standardized Development Workflow with Automated Tooling</w:t>
      </w:r>
    </w:p>
    <w:p>
      <w:pPr>
        <w:spacing w:before="0" w:after="120"/>
      </w:pPr>
      <w:r>
        <w:rPr>
          <w:rFonts w:ascii="Segoe UI" w:hAnsi="Segoe UI"/>
          <w:b/>
          <w:color w:val="1F2937"/>
          <w:sz w:val="22"/>
        </w:rPr>
        <w:t>Repo:</w:t>
      </w:r>
      <w:r>
        <w:rPr>
          <w:rFonts w:ascii="Segoe UI" w:hAnsi="Segoe UI"/>
          <w:b w:val="0"/>
          <w:color w:val="1F2937"/>
          <w:sz w:val="22"/>
        </w:rPr>
        <w:t xml:space="preserve"> </w:t>
      </w:r>
      <w:hyperlink r:id="rId9">
        <w:r>
          <w:rPr>
            <w:color w:val="0F766E"/>
            <w:u w:val="single"/>
            <w:rFonts w:ascii="Segoe UI" w:hAnsi="Segoe UI"/>
            <w:sz w:val="22"/>
          </w:rPr>
          <w:t xml:space="preserve">devflow</w:t>
        </w:r>
      </w:hyperlink>
      <w:r>
        <w:br/>
      </w:r>
      <w:r>
        <w:rPr>
          <w:rFonts w:ascii="Segoe UI" w:hAnsi="Segoe UI"/>
          <w:b/>
          <w:color w:val="1F2937"/>
          <w:sz w:val="22"/>
        </w:rPr>
        <w:t>Date:</w:t>
      </w:r>
      <w:r>
        <w:rPr>
          <w:rFonts w:ascii="Segoe UI" w:hAnsi="Segoe UI"/>
          <w:b w:val="0"/>
          <w:color w:val="1F2937"/>
          <w:sz w:val="22"/>
        </w:rPr>
        <w:t xml:space="preserve"> 2026-06-01</w:t>
      </w:r>
    </w:p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1. Current Context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rHeight w:val="600" w:hRule="atLeast"/>
        </w:trPr>
        <w:tc>
          <w:tcPr>
            <w:tcW w:type="dxa" w:w="3378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Area</w:t>
            </w:r>
          </w:p>
        </w:tc>
        <w:tc>
          <w:tcPr>
            <w:tcW w:type="dxa" w:w="6558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Details</w:t>
            </w:r>
          </w:p>
        </w:tc>
      </w:tr>
      <w:tr>
        <w:tc>
          <w:tcPr>
            <w:tcW w:type="dxa" w:w="337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Task goal</w:t>
            </w:r>
          </w:p>
        </w:tc>
        <w:tc>
          <w:tcPr>
            <w:tcW w:type="dxa" w:w="655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Define and formalize the team's development workflow from Jira task creation to production.</w:t>
            </w:r>
          </w:p>
        </w:tc>
      </w:tr>
      <w:tr>
        <w:tc>
          <w:tcPr>
            <w:tcW w:type="dxa" w:w="337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Change trigger</w:t>
            </w:r>
          </w:p>
        </w:tc>
        <w:tc>
          <w:tcPr>
            <w:tcW w:type="dxa" w:w="655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Existing workflow was manual and inconsistent — no enforced planning, review, or traceability.</w:t>
            </w:r>
          </w:p>
        </w:tc>
      </w:tr>
      <w:tr>
        <w:tc>
          <w:tcPr>
            <w:tcW w:type="dxa" w:w="337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Relevant constraints</w:t>
            </w:r>
          </w:p>
        </w:tc>
        <w:tc>
          <w:tcPr>
            <w:tcW w:type="dxa" w:w="655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Workflow must work with Jira, GitHub, and gitflow branching. Must support both single-task and parallel-task modes.</w:t>
            </w:r>
          </w:p>
        </w:tc>
      </w:tr>
      <w:tr>
        <w:tc>
          <w:tcPr>
            <w:tcW w:type="dxa" w:w="337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Existing pattern or baseline</w:t>
            </w:r>
          </w:p>
        </w:tc>
        <w:tc>
          <w:tcPr>
            <w:tcW w:type="dxa" w:w="655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Ad-hoc "vibe coding" — developers code directly without structured planning, self-review, or standardized commit conventions.</w:t>
            </w:r>
          </w:p>
        </w:tc>
      </w:tr>
    </w:tbl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2. Chosen Direction</w:t>
      </w:r>
    </w:p>
    <w:p>
      <w:pPr>
        <w:pStyle w:val="ListBullet"/>
        <w:spacing w:before="0" w:after="120"/>
      </w:pPr>
      <w:r>
        <w:rPr>
          <w:rFonts w:ascii="Segoe UI" w:hAnsi="Segoe UI"/>
          <w:b w:val="0"/>
          <w:color w:val="1F2937"/>
          <w:sz w:val="22"/>
        </w:rPr>
        <w:t>Adopt the devflow plugin for the full task lifecycle: start → plan → code → review → ship → fix → finish → document.</w:t>
      </w:r>
    </w:p>
    <w:p>
      <w:pPr>
        <w:pStyle w:val="ListBullet"/>
        <w:spacing w:before="0" w:after="120"/>
      </w:pPr>
      <w:r>
        <w:rPr>
          <w:rFonts w:ascii="Segoe UI" w:hAnsi="Segoe UI"/>
          <w:b w:val="0"/>
          <w:color w:val="1F2937"/>
          <w:sz w:val="22"/>
        </w:rPr>
        <w:t>Adopt the jiraflow plugin for daily Jira operations: task listing, urgent item detection, milestone transitions, and time logging.</w:t>
      </w:r>
    </w:p>
    <w:p>
      <w:pPr>
        <w:pStyle w:val="ListBullet"/>
        <w:spacing w:before="0" w:after="120"/>
      </w:pPr>
      <w:r>
        <w:rPr>
          <w:rFonts w:ascii="Segoe UI" w:hAnsi="Segoe UI"/>
          <w:b w:val="0"/>
          <w:color w:val="1F2937"/>
          <w:sz w:val="22"/>
        </w:rPr>
        <w:t>Document the entire workflow in a Standard Operating Procedure (</w:t>
      </w:r>
      <w:r>
        <w:rPr>
          <w:rFonts w:ascii="Segoe UI" w:hAnsi="Segoe UI"/>
          <w:b w:val="0"/>
          <w:color w:val="1F2937"/>
          <w:sz w:val="22"/>
        </w:rPr>
        <w:t>docs/sop.md</w:t>
      </w:r>
      <w:r>
        <w:rPr>
          <w:rFonts w:ascii="Segoe UI" w:hAnsi="Segoe UI"/>
          <w:b w:val="0"/>
          <w:color w:val="1F2937"/>
          <w:sz w:val="22"/>
        </w:rPr>
        <w:t>) that every team member follows.</w:t>
      </w:r>
    </w:p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3. Decision 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rHeight w:val="600" w:hRule="atLeast"/>
        </w:trPr>
        <w:tc>
          <w:tcPr>
            <w:tcW w:type="dxa" w:w="1987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Scope Type</w:t>
            </w:r>
          </w:p>
        </w:tc>
        <w:tc>
          <w:tcPr>
            <w:tcW w:type="dxa" w:w="397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Details</w:t>
            </w:r>
          </w:p>
        </w:tc>
        <w:tc>
          <w:tcPr>
            <w:tcW w:type="dxa" w:w="397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Client-friendly explanation</w:t>
            </w:r>
          </w:p>
        </w:tc>
      </w:tr>
      <w:tr>
        <w:tc>
          <w:tcPr>
            <w:tcW w:type="dxa" w:w="1987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In scope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Full task lifecycle automation, Jira status sync, PR process, commit conventions, team SOP.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Every developer follows the same steps for every task.</w:t>
            </w:r>
          </w:p>
        </w:tc>
      </w:tr>
      <w:tr>
        <w:tc>
          <w:tcPr>
            <w:tcW w:type="dxa" w:w="1987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Out of scope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CI/CD integration (future), team dashboard, non-Jira projects.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CI checks and team-wide views are separate work.</w:t>
            </w:r>
          </w:p>
        </w:tc>
      </w:tr>
      <w:tr>
        <w:tc>
          <w:tcPr>
            <w:tcW w:type="dxa" w:w="1987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Assumptions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Developers have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gh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CLI, Jira API access, and AI tooling that reads SKILL.md files.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Standard developer setup.</w:t>
            </w:r>
          </w:p>
        </w:tc>
      </w:tr>
    </w:tbl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4. Decision Reasons</w:t>
      </w:r>
    </w:p>
    <w:p>
      <w:pPr>
        <w:pStyle w:val="Heading3"/>
      </w:pPr>
      <w:r>
        <w:rPr>
          <w:rFonts w:ascii="Segoe UI" w:hAnsi="Segoe UI"/>
          <w:b/>
          <w:color w:val="1E3A5F"/>
          <w:sz w:val="24"/>
        </w:rPr>
        <w:t>Main reasons</w:t>
      </w:r>
    </w:p>
    <w:p>
      <w:pPr>
        <w:pStyle w:val="ListBullet"/>
        <w:spacing w:before="0" w:after="120"/>
      </w:pPr>
      <w:r>
        <w:rPr>
          <w:rFonts w:ascii="Segoe UI" w:hAnsi="Segoe UI"/>
          <w:b w:val="0"/>
          <w:color w:val="1F2937"/>
          <w:sz w:val="22"/>
        </w:rPr>
        <w:t>Ad-hoc coding has no traceability, safety, or institutional memory. The devflow plugin provides checkpoints at every destructive step, a full changelog trail, and preserved task folders as completed-work snapshots.</w:t>
      </w:r>
    </w:p>
    <w:p>
      <w:pPr>
        <w:pStyle w:val="ListBullet"/>
        <w:spacing w:before="0" w:after="120"/>
      </w:pPr>
      <w:r>
        <w:rPr>
          <w:rFonts w:ascii="Segoe UI" w:hAnsi="Segoe UI"/>
          <w:b w:val="0"/>
          <w:color w:val="1F2937"/>
          <w:sz w:val="22"/>
        </w:rPr>
        <w:t>The jiraflow plugin eliminates manual Jira status updates and daily task hunting — status transitions, urgent item detection, and time logging are all automated.</w:t>
      </w:r>
    </w:p>
    <w:p>
      <w:pPr>
        <w:pStyle w:val="Heading3"/>
      </w:pPr>
      <w:r>
        <w:rPr>
          <w:rFonts w:ascii="Segoe UI" w:hAnsi="Segoe UI"/>
          <w:b/>
          <w:color w:val="1E3A5F"/>
          <w:sz w:val="24"/>
        </w:rPr>
        <w:t>Why it fits the current architecture or team direction?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rHeight w:val="600" w:hRule="atLeast"/>
        </w:trPr>
        <w:tc>
          <w:tcPr>
            <w:tcW w:type="dxa" w:w="1987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Category</w:t>
            </w:r>
          </w:p>
        </w:tc>
        <w:tc>
          <w:tcPr>
            <w:tcW w:type="dxa" w:w="397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Reason</w:t>
            </w:r>
          </w:p>
        </w:tc>
        <w:tc>
          <w:tcPr>
            <w:tcW w:type="dxa" w:w="397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Client-friendly explanation</w:t>
            </w:r>
          </w:p>
        </w:tc>
      </w:tr>
      <w:tr>
        <w:tc>
          <w:tcPr>
            <w:tcW w:type="dxa" w:w="1987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Consistency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Every task follows the same 9-stage pipeline with the same commands.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No more per-developer workflow variation.</w:t>
            </w:r>
          </w:p>
        </w:tc>
      </w:tr>
      <w:tr>
        <w:tc>
          <w:tcPr>
            <w:tcW w:type="dxa" w:w="1987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Safety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Checkpoints gate every push, merge, and delete. Dry-run available for destructive ops.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Accidental pushes and merges are blocked.</w:t>
            </w:r>
          </w:p>
        </w:tc>
      </w:tr>
      <w:tr>
        <w:tc>
          <w:tcPr>
            <w:tcW w:type="dxa" w:w="1987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Traceability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changelog.md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+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progress.md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+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review.md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per task = full audit trail.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Every decision and change is recorded per task.</w:t>
            </w:r>
          </w:p>
        </w:tc>
      </w:tr>
    </w:tbl>
    <w:p>
      <w:pPr>
        <w:pStyle w:val="Heading3"/>
      </w:pPr>
      <w:r>
        <w:rPr>
          <w:rFonts w:ascii="Segoe UI" w:hAnsi="Segoe UI"/>
          <w:b/>
          <w:color w:val="1E3A5F"/>
          <w:sz w:val="24"/>
        </w:rPr>
        <w:t>Why it is better than the likely alternatives for this case?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rHeight w:val="600" w:hRule="atLeast"/>
        </w:trPr>
        <w:tc>
          <w:tcPr>
            <w:tcW w:type="dxa" w:w="1987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Summary</w:t>
            </w:r>
          </w:p>
        </w:tc>
        <w:tc>
          <w:tcPr>
            <w:tcW w:type="dxa" w:w="397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Reason</w:t>
            </w:r>
          </w:p>
        </w:tc>
        <w:tc>
          <w:tcPr>
            <w:tcW w:type="dxa" w:w="397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Client-friendly explanation</w:t>
            </w:r>
          </w:p>
        </w:tc>
      </w:tr>
      <w:tr>
        <w:tc>
          <w:tcPr>
            <w:tcW w:type="dxa" w:w="1987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Vibe coding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No planning, no review, no changelog. Knowledge walks when developer leaves.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Current way loses information over time.</w:t>
            </w:r>
          </w:p>
        </w:tc>
      </w:tr>
      <w:tr>
        <w:tc>
          <w:tcPr>
            <w:tcW w:type="dxa" w:w="1987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Manual checklist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Checklists are skipped when busy. Automated skills enforce the process.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Tools don't forget steps. People do.</w:t>
            </w:r>
          </w:p>
        </w:tc>
      </w:tr>
    </w:tbl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5. Options Considered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rHeight w:val="600" w:hRule="atLeast"/>
        </w:trPr>
        <w:tc>
          <w:tcPr>
            <w:tcW w:type="dxa" w:w="248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Option</w:t>
            </w:r>
          </w:p>
        </w:tc>
        <w:tc>
          <w:tcPr>
            <w:tcW w:type="dxa" w:w="248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Benefits</w:t>
            </w:r>
          </w:p>
        </w:tc>
        <w:tc>
          <w:tcPr>
            <w:tcW w:type="dxa" w:w="248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Tradeoffs</w:t>
            </w:r>
          </w:p>
        </w:tc>
        <w:tc>
          <w:tcPr>
            <w:tcW w:type="dxa" w:w="248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Client-friendly explanation</w:t>
            </w:r>
          </w:p>
        </w:tc>
      </w:tr>
      <w:tr>
        <w:tc>
          <w:tcPr>
            <w:tcW w:type="dxa" w:w="248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Option 1 — Automated skills (chosen)</w:t>
            </w:r>
          </w:p>
        </w:tc>
        <w:tc>
          <w:tcPr>
            <w:tcW w:type="dxa" w:w="248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Enforced consistency, full traceability, auto Jira sync, safety checkpoints.</w:t>
            </w:r>
          </w:p>
        </w:tc>
        <w:tc>
          <w:tcPr>
            <w:tcW w:type="dxa" w:w="248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Requires AI tooling, learning curve for new developers, overkill for tiny fixes.</w:t>
            </w:r>
          </w:p>
        </w:tc>
        <w:tc>
          <w:tcPr>
            <w:tcW w:type="dxa" w:w="248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Tools do the heavy lifting — developers just run commands.</w:t>
            </w:r>
          </w:p>
        </w:tc>
      </w:tr>
      <w:tr>
        <w:tc>
          <w:tcPr>
            <w:tcW w:type="dxa" w:w="248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Option 2 — Manual checklist</w:t>
            </w:r>
          </w:p>
        </w:tc>
        <w:tc>
          <w:tcPr>
            <w:tcW w:type="dxa" w:w="248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Zero setup, works anywhere.</w:t>
            </w:r>
          </w:p>
        </w:tc>
        <w:tc>
          <w:tcPr>
            <w:tcW w:type="dxa" w:w="248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Skipped under pressure, no enforcement, no automation, no traceability.</w:t>
            </w:r>
          </w:p>
        </w:tc>
        <w:tc>
          <w:tcPr>
            <w:tcW w:type="dxa" w:w="248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Relies on discipline that fades over time.</w:t>
            </w:r>
          </w:p>
        </w:tc>
      </w:tr>
      <w:tr>
        <w:tc>
          <w:tcPr>
            <w:tcW w:type="dxa" w:w="248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Option 3 — CI/CD-only gates</w:t>
            </w:r>
          </w:p>
        </w:tc>
        <w:tc>
          <w:tcPr>
            <w:tcW w:type="dxa" w:w="248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Catches bugs and broken builds automatically.</w:t>
            </w:r>
          </w:p>
        </w:tc>
        <w:tc>
          <w:tcPr>
            <w:tcW w:type="dxa" w:w="248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Doesn't cover planning, review quality, changelog, or institutional memory.</w:t>
            </w:r>
          </w:p>
        </w:tc>
        <w:tc>
          <w:tcPr>
            <w:tcW w:type="dxa" w:w="248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Only solves the merge gate, not the whole workflow.</w:t>
            </w:r>
          </w:p>
        </w:tc>
      </w:tr>
    </w:tbl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6. Change Impact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rHeight w:val="600" w:hRule="atLeast"/>
        </w:trPr>
        <w:tc>
          <w:tcPr>
            <w:tcW w:type="dxa" w:w="3378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Area</w:t>
            </w:r>
          </w:p>
        </w:tc>
        <w:tc>
          <w:tcPr>
            <w:tcW w:type="dxa" w:w="6558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Impact</w:t>
            </w:r>
          </w:p>
        </w:tc>
      </w:tr>
      <w:tr>
        <w:tc>
          <w:tcPr>
            <w:tcW w:type="dxa" w:w="337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Code impact</w:t>
            </w:r>
          </w:p>
        </w:tc>
        <w:tc>
          <w:tcPr>
            <w:tcW w:type="dxa" w:w="655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11 devflow skills (markdown) + 3 jiraflow skills (Python). No application code changes.</w:t>
            </w:r>
          </w:p>
        </w:tc>
      </w:tr>
      <w:tr>
        <w:tc>
          <w:tcPr>
            <w:tcW w:type="dxa" w:w="337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Data / schema impact</w:t>
            </w:r>
          </w:p>
        </w:tc>
        <w:tc>
          <w:tcPr>
            <w:tcW w:type="dxa" w:w="655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None.</w:t>
            </w:r>
          </w:p>
        </w:tc>
      </w:tr>
      <w:tr>
        <w:tc>
          <w:tcPr>
            <w:tcW w:type="dxa" w:w="337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Security impact</w:t>
            </w:r>
          </w:p>
        </w:tc>
        <w:tc>
          <w:tcPr>
            <w:tcW w:type="dxa" w:w="655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Jira credentials stored in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.env.local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per repo.</w:t>
            </w:r>
          </w:p>
        </w:tc>
      </w:tr>
      <w:tr>
        <w:tc>
          <w:tcPr>
            <w:tcW w:type="dxa" w:w="337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Performance impact</w:t>
            </w:r>
          </w:p>
        </w:tc>
        <w:tc>
          <w:tcPr>
            <w:tcW w:type="dxa" w:w="655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None.</w:t>
            </w:r>
          </w:p>
        </w:tc>
      </w:tr>
      <w:tr>
        <w:tc>
          <w:tcPr>
            <w:tcW w:type="dxa" w:w="337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Operational impact</w:t>
            </w:r>
          </w:p>
        </w:tc>
        <w:tc>
          <w:tcPr>
            <w:tcW w:type="dxa" w:w="655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Developers must learn commands from the SOP. Every new repo copies the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.ai/plugins/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folder.</w:t>
            </w:r>
          </w:p>
        </w:tc>
      </w:tr>
      <w:tr>
        <w:tc>
          <w:tcPr>
            <w:tcW w:type="dxa" w:w="337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Testing impact</w:t>
            </w:r>
          </w:p>
        </w:tc>
        <w:tc>
          <w:tcPr>
            <w:tcW w:type="dxa" w:w="655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Structural tests for SKILL.md validity via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scan.py</w:t>
            </w:r>
          </w:p>
          <w:p>
            <w:pPr>
              <w:spacing w:before="120" w:after="120"/>
            </w:pPr>
            <w:r>
              <w:rPr>
                <w:rFonts w:ascii="Segoe UI" w:hAnsi="Segoe UI"/>
                <w:b w:val="0"/>
                <w:color w:val="1F2937"/>
                <w:sz w:val="20"/>
              </w:rPr>
              <w:t>. Unit tests for jiraflow Python scripts.</w:t>
            </w:r>
          </w:p>
        </w:tc>
      </w:tr>
    </w:tbl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7. Expected Outcomes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rHeight w:val="600" w:hRule="atLeast"/>
        </w:trPr>
        <w:tc>
          <w:tcPr>
            <w:tcW w:type="dxa" w:w="1987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Area</w:t>
            </w:r>
          </w:p>
        </w:tc>
        <w:tc>
          <w:tcPr>
            <w:tcW w:type="dxa" w:w="397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Details</w:t>
            </w:r>
          </w:p>
        </w:tc>
        <w:tc>
          <w:tcPr>
            <w:tcW w:type="dxa" w:w="3974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Client-friendly explanation</w:t>
            </w:r>
          </w:p>
        </w:tc>
      </w:tr>
      <w:tr>
        <w:tc>
          <w:tcPr>
            <w:tcW w:type="dxa" w:w="1987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Benefits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Every task has a plan, changelog, review, and preserved folder. Jira stays in sync automatically.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Team moves faster with less manual overhead.</w:t>
            </w:r>
          </w:p>
        </w:tc>
      </w:tr>
      <w:tr>
        <w:tc>
          <w:tcPr>
            <w:tcW w:type="dxa" w:w="1987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Tradeoffs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Small fixes go through the same pipeline. No "quick mode" for 5-minute typo fixes.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Some overhead for tiny tasks.</w:t>
            </w:r>
          </w:p>
        </w:tc>
      </w:tr>
      <w:tr>
        <w:tc>
          <w:tcPr>
            <w:tcW w:type="dxa" w:w="1987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Follow-up work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Integrate CI checks into ship/finish. Add team dashboard. Support non-Jira projects.</w:t>
            </w:r>
          </w:p>
        </w:tc>
        <w:tc>
          <w:tcPr>
            <w:tcW w:type="dxa" w:w="3974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More automation coming later.</w:t>
            </w:r>
          </w:p>
        </w:tc>
      </w:tr>
      <w:tr>
        <w:tc>
          <w:tcPr>
            <w:tcW w:type="dxa" w:w="1987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Risks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Adoption depends on developers actually using the commands. AI tooling quality varies.</w:t>
            </w:r>
          </w:p>
        </w:tc>
        <w:tc>
          <w:tcPr>
            <w:tcW w:type="dxa" w:w="3974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Process only works if the team follows it.</w:t>
            </w:r>
          </w:p>
        </w:tc>
      </w:tr>
    </w:tbl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8. Pending Items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rHeight w:val="600" w:hRule="atLeast"/>
        </w:trPr>
        <w:tc>
          <w:tcPr>
            <w:tcW w:type="dxa" w:w="3378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Type</w:t>
            </w:r>
          </w:p>
        </w:tc>
        <w:tc>
          <w:tcPr>
            <w:tcW w:type="dxa" w:w="6558"/>
            <w:shd w:fill="E6F4F8"/>
            <w:vAlign w:val="center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/>
                <w:color w:val="1E3A5F"/>
                <w:sz w:val="20"/>
              </w:rPr>
              <w:t>Details</w:t>
            </w:r>
          </w:p>
        </w:tc>
      </w:tr>
      <w:tr>
        <w:tc>
          <w:tcPr>
            <w:tcW w:type="dxa" w:w="337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Pending validations</w:t>
            </w:r>
          </w:p>
        </w:tc>
        <w:tc>
          <w:tcPr>
            <w:tcW w:type="dxa" w:w="655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Team adoption rate and feedback after 2-week trial.</w:t>
            </w:r>
          </w:p>
        </w:tc>
      </w:tr>
      <w:tr>
        <w:tc>
          <w:tcPr>
            <w:tcW w:type="dxa" w:w="337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Pending dependencies</w:t>
            </w:r>
          </w:p>
        </w:tc>
        <w:tc>
          <w:tcPr>
            <w:tcW w:type="dxa" w:w="6558"/>
            <w:shd w:fill="F8FAFC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None.</w:t>
            </w:r>
          </w:p>
        </w:tc>
      </w:tr>
      <w:tr>
        <w:tc>
          <w:tcPr>
            <w:tcW w:type="dxa" w:w="337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Deferred decisions</w:t>
            </w:r>
          </w:p>
        </w:tc>
        <w:tc>
          <w:tcPr>
            <w:tcW w:type="dxa" w:w="6558"/>
          </w:tcPr>
          <w:p>
            <w:pPr>
              <w:spacing w:before="120" w:after="120"/>
            </w:pPr>
            <w:r/>
            <w:r>
              <w:rPr>
                <w:rFonts w:ascii="Segoe UI" w:hAnsi="Segoe UI"/>
                <w:b w:val="0"/>
                <w:color w:val="1F2937"/>
                <w:sz w:val="20"/>
              </w:rPr>
              <w:t>CI/CD integration (check CI status before merge). Non-Jira project support. Team-wide dashboard.</w:t>
            </w:r>
          </w:p>
        </w:tc>
      </w:tr>
    </w:tbl>
    <w:p/>
    <w:p>
      <w:pPr>
        <w:pStyle w:val="Heading1"/>
        <w:spacing w:before="0" w:after="160"/>
      </w:pPr>
      <w:r>
        <w:rPr>
          <w:rFonts w:ascii="Segoe UI" w:hAnsi="Segoe UI"/>
          <w:b/>
          <w:color w:val="1E3A5F"/>
          <w:sz w:val="36"/>
        </w:rPr>
        <w:t>9. References:</w:t>
      </w:r>
    </w:p>
    <w:p>
      <w:pPr>
        <w:pStyle w:val="ListBullet"/>
        <w:spacing w:before="0" w:after="120"/>
      </w:pPr>
      <w:hyperlink r:id="rId10">
        <w:r>
          <w:rPr>
            <w:color w:val="0F766E"/>
            <w:u w:val="single"/>
            <w:rFonts w:ascii="Segoe UI" w:hAnsi="Segoe UI"/>
            <w:sz w:val="22"/>
          </w:rPr>
          <w:t xml:space="preserve">devflow plugin README</w:t>
        </w:r>
      </w:hyperlink>
    </w:p>
    <w:p>
      <w:pPr>
        <w:pStyle w:val="ListBullet"/>
        <w:spacing w:before="0" w:after="120"/>
      </w:pPr>
      <w:hyperlink r:id="rId11">
        <w:r>
          <w:rPr>
            <w:color w:val="0F766E"/>
            <w:u w:val="single"/>
            <w:rFonts w:ascii="Segoe UI" w:hAnsi="Segoe UI"/>
            <w:sz w:val="22"/>
          </w:rPr>
          <w:t xml:space="preserve">SOP document</w:t>
        </w:r>
      </w:hyperlink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Segoe UI" w:hAnsi="Segoe U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ellListBullet">
    <w:name w:val="Cell List Bullet"/>
    <w:basedOn w:val="Normal"/>
    <w:pPr>
      <w:spacing w:after="120"/>
      <w:ind w:left="0"/>
    </w:pPr>
    <w:rPr>
      <w:rFonts w:ascii="Segoe UI" w:hAnsi="Segoe UI"/>
      <w:color w:val="1F2937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quansaritasa/devflow" TargetMode="External"/><Relationship Id="rId10" Type="http://schemas.openxmlformats.org/officeDocument/2006/relationships/hyperlink" Target="https://github.com/quansaritasa/devflow/blob/main/.ai/plugins/devflow/README.md" TargetMode="External"/><Relationship Id="rId11" Type="http://schemas.openxmlformats.org/officeDocument/2006/relationships/hyperlink" Target="https://github.com/quansaritasa/devflow/blob/main/docs/sop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