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/>
      </w:pPr>
      <w:r>
        <w:rPr>
          <w:rFonts w:ascii="Segoe UI" w:hAnsi="Segoe UI"/>
          <w:b/>
          <w:color w:val="0F766E"/>
          <w:sz w:val="48"/>
        </w:rPr>
        <w:t>ADR: GEO Database Migration Target and SQL Platform Direction</w:t>
      </w:r>
    </w:p>
    <w:p>
      <w:pPr>
        <w:spacing w:before="0" w:after="120"/>
      </w:pPr>
      <w:r>
        <w:rPr>
          <w:rFonts w:ascii="Segoe UI" w:hAnsi="Segoe UI"/>
          <w:b/>
          <w:color w:val="1F2937"/>
          <w:sz w:val="22"/>
        </w:rPr>
        <w:t>Status:</w:t>
      </w:r>
      <w:r>
        <w:rPr>
          <w:rFonts w:ascii="Segoe UI" w:hAnsi="Segoe UI"/>
          <w:b w:val="0"/>
          <w:color w:val="1F2937"/>
          <w:sz w:val="22"/>
        </w:rPr>
        <w:t xml:space="preserve"> PROPOSED</w:t>
      </w:r>
      <w:r>
        <w:br/>
      </w:r>
      <w:r>
        <w:rPr>
          <w:rFonts w:ascii="Segoe UI" w:hAnsi="Segoe UI"/>
          <w:b w:val="0"/>
          <w:color w:val="1F2937"/>
          <w:sz w:val="22"/>
        </w:rPr>
        <w:br/>
      </w:r>
      <w:r>
        <w:rPr>
          <w:rFonts w:ascii="Segoe UI" w:hAnsi="Segoe UI"/>
          <w:b/>
          <w:color w:val="1F2937"/>
          <w:sz w:val="22"/>
        </w:rPr>
        <w:t>Task URL:</w:t>
      </w:r>
      <w:r>
        <w:rPr>
          <w:rFonts w:ascii="Segoe UI" w:hAnsi="Segoe UI"/>
          <w:b w:val="0"/>
          <w:color w:val="1F2937"/>
          <w:sz w:val="22"/>
        </w:rPr>
        <w:t xml:space="preserve"> </w:t>
      </w:r>
      <w:r>
        <w:rPr>
          <w:rFonts w:ascii="Segoe UI" w:hAnsi="Segoe UI"/>
          <w:b w:val="0"/>
          <w:color w:val="0F766E"/>
          <w:sz w:val="22"/>
          <w:u w:val="single"/>
        </w:rPr>
        <w:t>RMASUP-2134</w:t>
      </w:r>
      <w:r>
        <w:br/>
      </w:r>
      <w:r>
        <w:rPr>
          <w:rFonts w:ascii="Segoe UI" w:hAnsi="Segoe UI"/>
          <w:b w:val="0"/>
          <w:color w:val="1F2937"/>
          <w:sz w:val="22"/>
        </w:rPr>
        <w:br/>
      </w:r>
      <w:r>
        <w:rPr>
          <w:rFonts w:ascii="Segoe UI" w:hAnsi="Segoe UI"/>
          <w:b/>
          <w:color w:val="1F2937"/>
          <w:sz w:val="22"/>
        </w:rPr>
        <w:t>Date:</w:t>
      </w:r>
      <w:r>
        <w:rPr>
          <w:rFonts w:ascii="Segoe UI" w:hAnsi="Segoe UI"/>
          <w:b w:val="0"/>
          <w:color w:val="1F2937"/>
          <w:sz w:val="22"/>
        </w:rPr>
        <w:t xml:space="preserve"> 2026-05-22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1. Current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Task goal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Give the client setup guidance and best practices for the new modernized SQL server.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Change trigger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current GEO database is running on SQL Server 2017 on soon-to-be unsupported operating systems, and the current GEO server has recurring performance issues.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Relevant constraints</w:t>
            </w:r>
          </w:p>
        </w:tc>
        <w:tc>
          <w:tcPr>
            <w:tcW w:type="dxa" w:w="6558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GEO moves first.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RMA may move later to the same target.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SQL Server feature compatibility is important.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Some procedures use local Windows disk.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SSRS is part of the current setup.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Final cost still needs validation.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Final migration scope still depends on the assessment report.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Existing pattern or baseline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current solution uses server-based SQL Server infrastructure, and SQL Server plus reporting are tied to Windows Server management overhead.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2. Chosen Direction</w:t>
      </w:r>
    </w:p>
    <w:p>
      <w:pPr>
        <w:pStyle w:val="ListBullet"/>
      </w:pPr>
      <w:r>
        <w:rPr>
          <w:rFonts w:ascii="Segoe UI" w:hAnsi="Segoe UI"/>
          <w:color w:val="1F2937"/>
          <w:sz w:val="22"/>
        </w:rPr>
        <w:t>Recommend Azure SQL Managed Instance as the target database platform.</w:t>
      </w:r>
    </w:p>
    <w:p>
      <w:pPr>
        <w:pStyle w:val="ListBullet"/>
      </w:pPr>
      <w:r>
        <w:rPr>
          <w:rFonts w:ascii="Segoe UI" w:hAnsi="Segoe UI"/>
          <w:color w:val="1F2937"/>
          <w:sz w:val="22"/>
        </w:rPr>
        <w:t>Treat GEO migration as phase 1 and keep the path open for a later RMA migration into the same environment.</w:t>
      </w:r>
    </w:p>
    <w:p>
      <w:pPr>
        <w:pStyle w:val="ListBullet"/>
      </w:pPr>
      <w:r>
        <w:rPr>
          <w:rFonts w:ascii="Segoe UI" w:hAnsi="Segoe UI"/>
          <w:color w:val="1F2937"/>
          <w:sz w:val="22"/>
        </w:rPr>
        <w:t>Keep SSRS engine hosting as a separate workstream, and do not treat this ADR as final cost approval, final sizing, or full migration approval.</w:t>
      </w:r>
    </w:p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3. Decision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Scope Type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In scope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Select the preferred platform direction for the new SQL environment.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This ADR decides the recommended target direction, not every technical detail of the final migration.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Out of scope</w:t>
            </w:r>
          </w:p>
        </w:tc>
        <w:tc>
          <w:tcPr>
            <w:tcW w:type="dxa" w:w="3974"/>
            <w:shd w:fill="F8FAFC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Final cost approval.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Exact SKU sizing.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Exact migration runbook.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Full component inventory.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Final SSRS engine hosting design.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These items still depend on the migration assessment and later planning work.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Assumptions</w:t>
            </w:r>
          </w:p>
        </w:tc>
        <w:tc>
          <w:tcPr>
            <w:tcW w:type="dxa" w:w="3974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The client needs a recommendation now.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Detailed validation will come after access and assessment.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GEO is the first migration target.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team needs a clear recommendation first, while keeping room for validation before final execution.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4. Decision Reasons</w:t>
      </w:r>
    </w:p>
    <w:p>
      <w:pPr>
        <w:pStyle w:val="Heading3"/>
      </w:pPr>
      <w:r>
        <w:rPr>
          <w:rFonts w:ascii="Segoe UI" w:hAnsi="Segoe UI"/>
          <w:b/>
          <w:color w:val="1E3A5F"/>
          <w:sz w:val="24"/>
        </w:rPr>
        <w:t>Main decision</w:t>
      </w:r>
    </w:p>
    <w:p>
      <w:pPr>
        <w:pStyle w:val="ListBullet"/>
      </w:pPr>
      <w:r>
        <w:rPr>
          <w:rFonts w:ascii="Segoe UI" w:hAnsi="Segoe UI"/>
          <w:color w:val="1F2937"/>
          <w:sz w:val="22"/>
        </w:rPr>
        <w:t>Azure SQL Managed Instance was chosen because it best matches the current SQL Server feature set, reduces rewrite risk, and provides a better long-term operating model than the likely alternatives.</w:t>
      </w:r>
    </w:p>
    <w:p>
      <w:pPr>
        <w:pStyle w:val="ListBullet"/>
      </w:pPr>
      <w:r>
        <w:rPr>
          <w:rFonts w:ascii="Segoe UI" w:hAnsi="Segoe UI"/>
          <w:color w:val="1F2937"/>
          <w:sz w:val="22"/>
        </w:rPr>
        <w:t>It is also the most practical balance between compatibility, modernization, and future GEO plus RMA consolidation.</w:t>
      </w:r>
    </w:p>
    <w:p>
      <w:pPr>
        <w:spacing w:before="0" w:after="120"/>
      </w:pPr>
      <w:r>
        <w:br/>
      </w:r>
    </w:p>
    <w:p>
      <w:pPr>
        <w:pStyle w:val="Heading3"/>
      </w:pPr>
      <w:r>
        <w:rPr>
          <w:rFonts w:ascii="Segoe UI" w:hAnsi="Segoe UI"/>
          <w:b/>
          <w:color w:val="1E3A5F"/>
          <w:sz w:val="24"/>
        </w:rPr>
        <w:t>Why it fits the current architecture or team direction?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Category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Reason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SQL compatibility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It supports SQL Agent, linked servers, cross-database queries, and other SQL Server features used in the current environment.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This lowers migration risk and reduces the amount of application or database rewrite work.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Reporting support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It can host SSRS catalog databases, which fits the current reporting setup better than Azure SQL Database.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reporting data layer can move with the rest of the SQL workload, even if the SSRS engine remains on a VM.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Operating model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It removes the Windows Server layer and reduces overhead around patching, backups, and built-in high availability.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This simplifies long-term maintenance and reduces the amount of infrastructure the team needs to manage directly.</w:t>
            </w:r>
          </w:p>
        </w:tc>
      </w:tr>
    </w:tbl>
    <w:p>
      <w:pPr>
        <w:spacing w:before="0" w:after="120"/>
      </w:pPr>
      <w:r>
        <w:br/>
      </w:r>
    </w:p>
    <w:p>
      <w:pPr>
        <w:pStyle w:val="Heading3"/>
      </w:pPr>
      <w:r>
        <w:rPr>
          <w:rFonts w:ascii="Segoe UI" w:hAnsi="Segoe UI"/>
          <w:b/>
          <w:color w:val="1E3A5F"/>
          <w:sz w:val="24"/>
        </w:rPr>
        <w:t>Why it is better than the likely alternatives for this case?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Summary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Reason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Better than Azure SQL DB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Azure SQL Database would likely require more rewrite work and has a known SSRS catalog limitation.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It is less suitable for the current workload because it creates more migration risk and feature gaps.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Better than staying on VM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Managed Instance modernizes the main database workload while avoiding the larger Windows and SQL Server VM management burden.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heavier SQL workload moves to a managed platform, while only a smaller and simpler reporting VM remains.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Better for long-term path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It supports GEO migration now while leaving room for a later RMA move into the same managed environment.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This creates a cleaner long-term consolidation path without forcing all migration work into one phase.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5. Options Considered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val="600" w:hRule="atLeast"/>
        </w:trPr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Option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Benefits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Tradeoffs</w:t>
            </w:r>
          </w:p>
        </w:tc>
        <w:tc>
          <w:tcPr>
            <w:tcW w:type="dxa" w:w="248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1 — Azure SQL Managed Instance</w:t>
            </w:r>
          </w:p>
        </w:tc>
        <w:tc>
          <w:tcPr>
            <w:tcW w:type="dxa" w:w="2484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High SQL Server compatibility.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Supports SQL Agent, linked servers, and cross-database queries.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Supports SSRS catalog databases.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Reduces Windows Server overhead.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Includes high availability and backups.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Supports GEO-first migration and possible later RMA migration.</w:t>
            </w:r>
          </w:p>
        </w:tc>
        <w:tc>
          <w:tcPr>
            <w:tcW w:type="dxa" w:w="2484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Still needs assessment before cost and sizing are trusted.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Some file-based procedures must be refactored.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SSRS engine still needs separate hosting, typically on a Windows VM.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This is the best fit for the current system because it keeps strong SQL Server compatibility while improving the long-term operating model.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2 — Azure SQL Database</w:t>
            </w:r>
          </w:p>
        </w:tc>
        <w:tc>
          <w:tcPr>
            <w:tcW w:type="dxa" w:w="2484"/>
            <w:shd w:fill="F8FAFC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Managed PaaS database service.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Less infrastructure to manage than a VM.</w:t>
            </w:r>
          </w:p>
        </w:tc>
        <w:tc>
          <w:tcPr>
            <w:tcW w:type="dxa" w:w="2484"/>
            <w:shd w:fill="F8FAFC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Lower SQL Server compatibility.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Cannot host SSRS catalog databases.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Likely needs more rewrite work.</w:t>
            </w:r>
          </w:p>
        </w:tc>
        <w:tc>
          <w:tcPr>
            <w:tcW w:type="dxa" w:w="248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This is simpler as a pure platform service, but it creates more migration risk for the current system.</w:t>
            </w:r>
          </w:p>
        </w:tc>
      </w:tr>
      <w:tr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Option 3 — New SQL Server on VM</w:t>
            </w:r>
          </w:p>
        </w:tc>
        <w:tc>
          <w:tcPr>
            <w:tcW w:type="dxa" w:w="2484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High short-term compatibility.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Easier lift-and-shift path.</w:t>
            </w:r>
          </w:p>
        </w:tc>
        <w:tc>
          <w:tcPr>
            <w:tcW w:type="dxa" w:w="2484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Keeps Windows Server overhead.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Keeps more maintenance burden.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Gives less modernization benefit.</w:t>
            </w:r>
          </w:p>
        </w:tc>
        <w:tc>
          <w:tcPr>
            <w:tcW w:type="dxa" w:w="248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This is safer short term, but weaker as a long-term platform choice.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6. Change Impact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Impact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Code impact</w:t>
            </w:r>
          </w:p>
        </w:tc>
        <w:tc>
          <w:tcPr>
            <w:tcW w:type="dxa" w:w="6558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Procedures that read or write files on local Windows disk must be refactored.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The cleanest approach is to move file handling into the app layer.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Data / schema impact</w:t>
            </w:r>
          </w:p>
        </w:tc>
        <w:tc>
          <w:tcPr>
            <w:tcW w:type="dxa" w:w="6558"/>
            <w:shd w:fill="F8FAFC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GEO database moves first.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SSRS catalog databases can move to Azure SQL Managed Instance.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Full compatibility still needs assessment.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The full final list of databases and services still depends on the assessment report.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Security impact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Azure access and permissions must be coordinated to run the assessment and manage the target environment.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Performance impact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target should improve operations and reliability, but final sizing depends on workload data and assessment output.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Operational impact</w:t>
            </w:r>
          </w:p>
        </w:tc>
        <w:tc>
          <w:tcPr>
            <w:tcW w:type="dxa" w:w="6558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The team needs Azure access or help from the client team to run the assessment.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The SSRS engine remains on a smaller VM for now.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The assessment may need about one week of performance data to support better SKU recommendations.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Testing impact</w:t>
            </w:r>
          </w:p>
        </w:tc>
        <w:tc>
          <w:tcPr>
            <w:tcW w:type="dxa" w:w="6558"/>
            <w:shd w:fill="F8FAFC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Migration needs compatibility checks.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Migration needs workload checks.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Migration needs reporting checks.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Migration needs post-migration verification.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7. Expected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val="600" w:hRule="atLeast"/>
        </w:trPr>
        <w:tc>
          <w:tcPr>
            <w:tcW w:type="dxa" w:w="1987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Area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  <w:tc>
          <w:tcPr>
            <w:tcW w:type="dxa" w:w="3974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Client-friendly explanation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Benefits</w:t>
            </w:r>
          </w:p>
        </w:tc>
        <w:tc>
          <w:tcPr>
            <w:tcW w:type="dxa" w:w="3974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Clear platform direction now.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Lower long-term infrastructure overhead.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Better SQL Server compatibility than Azure SQL Database.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Room for future GEO and RMA consolidation.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team can move forward with planning now while still keeping a practical long-term direction.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Tradeoffs</w:t>
            </w:r>
          </w:p>
        </w:tc>
        <w:tc>
          <w:tcPr>
            <w:tcW w:type="dxa" w:w="3974"/>
            <w:shd w:fill="F8FAFC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Some decisions remain open.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Azure access is still a blocker.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Some refactoring may be needed.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The reporting engine remains on a VM in the short term.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This is a strong direction, but it still depends on assessment results and a few follow-up decisions.</w:t>
            </w:r>
          </w:p>
        </w:tc>
      </w:tr>
      <w:tr>
        <w:tc>
          <w:tcPr>
            <w:tcW w:type="dxa" w:w="1987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Follow-up work</w:t>
            </w:r>
          </w:p>
        </w:tc>
        <w:tc>
          <w:tcPr>
            <w:tcW w:type="dxa" w:w="3974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Get the first assessment report.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Review cost estimates.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Review SKU recommendation.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Collect about one week of performance data if possible.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Align the plan with Dmitry before wider sharing.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Confirm the SSRS plan.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Prepare the migration runbook.</w:t>
            </w:r>
          </w:p>
        </w:tc>
        <w:tc>
          <w:tcPr>
            <w:tcW w:type="dxa" w:w="3974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next step is validation and planning, not immediate full execution.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Risks</w:t>
            </w:r>
          </w:p>
        </w:tc>
        <w:tc>
          <w:tcPr>
            <w:tcW w:type="dxa" w:w="3974"/>
            <w:shd w:fill="F8FAFC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Hidden compatibility issues may appear in the assessment.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Access delays may slow planning.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Actual cost may change after real sizing data is available.</w:t>
            </w:r>
          </w:p>
        </w:tc>
        <w:tc>
          <w:tcPr>
            <w:tcW w:type="dxa" w:w="3974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The recommendation is strong, but it still needs assessment data to reduce surprise risks.</w:t>
            </w:r>
          </w:p>
        </w:tc>
      </w:tr>
    </w:tbl>
    <w:p/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8. Pending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Type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Details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Pending validations</w:t>
            </w:r>
          </w:p>
        </w:tc>
        <w:tc>
          <w:tcPr>
            <w:tcW w:type="dxa" w:w="6558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Migration assessment report.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Compatibility blockers.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Affected objects.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Full component inventory.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SKU recommendation.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Workload-based sizing.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Cost estimates.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Pending dependencies</w:t>
            </w:r>
          </w:p>
        </w:tc>
        <w:tc>
          <w:tcPr>
            <w:tcW w:type="dxa" w:w="6558"/>
            <w:shd w:fill="F8FAFC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Azure subscription or VM-level access to register the SQL IaaS Agent extension and run the assessment.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Or the client team running it and sharing the report.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Alignment with Dmitry before wider team sharing.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Deferred decisions</w:t>
            </w:r>
          </w:p>
        </w:tc>
        <w:tc>
          <w:tcPr>
            <w:tcW w:type="dxa" w:w="6558"/>
          </w:tcPr>
          <w:p>
            <w:pPr>
              <w:pStyle w:val="CellListBullet"/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• Final SSRS engine hosting approach.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Final migration runbook details.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Final decision on GEO and RMA sharing one managed instance.</w:t>
            </w:r>
          </w:p>
          <w:p>
            <w:pPr>
              <w:pStyle w:val="CellListBullet"/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• Possible future move from SSRS to another reporting approach if needed.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ListBullet">
    <w:name w:val="Cell List Bullet"/>
    <w:basedOn w:val="Normal"/>
    <w:pPr>
      <w:spacing w:after="120"/>
      <w:ind w:left="0" w:firstLine="0"/>
    </w:pPr>
    <w:rPr>
      <w:rFonts w:ascii="Segoe UI" w:hAnsi="Segoe UI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