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/>
      </w:pPr>
      <w:r>
        <w:rPr>
          <w:rFonts w:ascii="Segoe UI" w:hAnsi="Segoe UI"/>
          <w:b/>
          <w:color w:val="0F766E"/>
          <w:sz w:val="48"/>
        </w:rPr>
        <w:t>ADR: Introduce Azure AD Employee Sync Service</w:t>
      </w:r>
    </w:p>
    <w:p>
      <w:pPr>
        <w:spacing w:before="0" w:after="120"/>
      </w:pPr>
      <w:r>
        <w:rPr>
          <w:rFonts w:ascii="Segoe UI" w:hAnsi="Segoe UI"/>
          <w:b/>
          <w:color w:val="1F2937"/>
          <w:sz w:val="22"/>
        </w:rPr>
        <w:t>Status:</w:t>
      </w:r>
      <w:r>
        <w:rPr>
          <w:rFonts w:ascii="Segoe UI" w:hAnsi="Segoe UI"/>
          <w:b w:val="0"/>
          <w:color w:val="1F2937"/>
          <w:sz w:val="22"/>
        </w:rPr>
        <w:t xml:space="preserve"> ACCEPTED</w:t>
      </w:r>
      <w:r>
        <w:br/>
      </w:r>
      <w:r>
        <w:rPr>
          <w:rFonts w:ascii="Segoe UI" w:hAnsi="Segoe UI"/>
          <w:b/>
          <w:color w:val="1F2937"/>
          <w:sz w:val="22"/>
        </w:rPr>
        <w:t>Task URL:</w:t>
      </w:r>
      <w:r>
        <w:rPr>
          <w:rFonts w:ascii="Segoe UI" w:hAnsi="Segoe UI"/>
          <w:b w:val="0"/>
          <w:color w:val="1F2937"/>
          <w:sz w:val="22"/>
        </w:rPr>
        <w:t xml:space="preserve"> </w:t>
      </w:r>
      <w:hyperlink r:id="rId9">
        <w:r>
          <w:rPr>
            <w:color w:val="0F766E"/>
            <w:u w:val="single"/>
            <w:rFonts w:ascii="Segoe UI" w:hAnsi="Segoe UI"/>
            <w:sz w:val="22"/>
          </w:rPr>
          <w:t xml:space="preserve">RMASUP-1105</w:t>
        </w:r>
      </w:hyperlink>
      <w:r>
        <w:br/>
      </w:r>
      <w:r>
        <w:rPr>
          <w:rFonts w:ascii="Segoe UI" w:hAnsi="Segoe UI"/>
          <w:b/>
          <w:color w:val="1F2937"/>
          <w:sz w:val="22"/>
        </w:rPr>
        <w:t>Date:</w:t>
      </w:r>
      <w:r>
        <w:rPr>
          <w:rFonts w:ascii="Segoe UI" w:hAnsi="Segoe UI"/>
          <w:b w:val="0"/>
          <w:color w:val="1F2937"/>
          <w:sz w:val="22"/>
        </w:rPr>
        <w:t xml:space="preserve"> 2026-05-24</w:t>
      </w:r>
    </w:p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1. Current Context</w:t>
      </w:r>
    </w:p>
    <w:p>
      <w:pPr>
        <w:spacing w:before="0" w:after="120"/>
      </w:pPr>
      <w:r>
        <w:rPr>
          <w:rFonts w:ascii="Segoe UI" w:hAnsi="Segoe UI"/>
          <w:b w:val="0"/>
          <w:color w:val="1F2937"/>
          <w:sz w:val="22"/>
        </w:rPr>
        <w:t>The RMA system manages employee data but has no automated synchronization with Azure AD. Employees must exist in Azure AD for authentication and identity management, but provisioning them is manual — creating inconsistency and administrative overhead as the employee base grows.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600" w:hRule="atLeast"/>
        </w:trPr>
        <w:tc>
          <w:tcPr>
            <w:tcW w:type="dxa" w:w="337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Area</w:t>
            </w:r>
          </w:p>
        </w:tc>
        <w:tc>
          <w:tcPr>
            <w:tcW w:type="dxa" w:w="655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Task goal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Automatically sync employee data from RMA to Azure AD (create and update).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Change trigger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Manual employee provisioning in Azure AD is unsustainable.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Relevant constraints</w:t>
            </w:r>
          </w:p>
        </w:tc>
        <w:tc>
          <w:tcPr>
            <w:tcW w:type="dxa" w:w="6558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Must use Microsoft Graph API.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Must run as a background process.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Must detect duplicate emails across companies.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Must support a test mode for development.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Existing pattern or baseline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No automated sync. Employees are created/updated manually in Azure AD.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2. Chosen Direction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Introduce a background sync service that periodically synchronizes employee records from RMA to Azure AD.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 xml:space="preserve">Use </w:t>
      </w:r>
      <w:r>
        <w:rPr>
          <w:rFonts w:ascii="Segoe UI" w:hAnsi="Segoe UI"/>
          <w:b/>
          <w:color w:val="1F2937"/>
          <w:sz w:val="22"/>
        </w:rPr>
        <w:t>Microsoft Graph API</w:t>
      </w:r>
      <w:r>
        <w:rPr>
          <w:rFonts w:ascii="Segoe UI" w:hAnsi="Segoe UI"/>
          <w:b w:val="0"/>
          <w:color w:val="1F2937"/>
          <w:sz w:val="22"/>
        </w:rPr>
        <w:t xml:space="preserve"> as the integration point.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 xml:space="preserve">Implement a </w:t>
      </w:r>
      <w:r>
        <w:rPr>
          <w:rFonts w:ascii="Segoe UI" w:hAnsi="Segoe UI"/>
          <w:b/>
          <w:color w:val="1F2937"/>
          <w:sz w:val="22"/>
        </w:rPr>
        <w:t>Reader/Writer abstraction</w:t>
      </w:r>
      <w:r>
        <w:rPr>
          <w:rFonts w:ascii="Segoe UI" w:hAnsi="Segoe UI"/>
          <w:b w:val="0"/>
          <w:color w:val="1F2937"/>
          <w:sz w:val="22"/>
        </w:rPr>
        <w:t xml:space="preserve"> to decouple Graph API access from sync orchestration.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Run sync operations in parallel. Detect duplicate emails and notify administrators.</w:t>
      </w:r>
    </w:p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3. Decision Scope</w:t>
      </w:r>
    </w:p>
    <w:p>
      <w:pPr>
        <w:spacing w:before="0" w:after="120"/>
      </w:pPr>
      <w:r>
        <w:rPr>
          <w:rFonts w:ascii="Segoe UI" w:hAnsi="Segoe UI"/>
          <w:b w:val="0"/>
          <w:color w:val="1F2937"/>
          <w:sz w:val="22"/>
        </w:rPr>
        <w:t>Establishes the integration pattern and service boundary for syncing employee data to Azure AD. Does not cover UI, authentication flows, or other Azure AD features beyond employee CRUD.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Scope Type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In scope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Background sync service, Microsoft Graph integration, reader/writer abstraction, duplicate email detection, test mode.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How employees get created and updated in Azure AD automatically.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Out of scope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UI for managing sync, other Azure AD features (groups, roles, policies), authentication flow changes.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Not changing the login experience or admin screens.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Assumptions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RMA employee data is the source of truth. Azure AD is the target. Graph API permissions are provisioned.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The RMA system knows what employees exist, and Azure AD has API access configured.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4. Decision Reasons</w:t>
      </w:r>
    </w:p>
    <w:p>
      <w:pPr>
        <w:pStyle w:val="Heading3"/>
      </w:pPr>
      <w:r>
        <w:rPr>
          <w:rFonts w:ascii="Segoe UI" w:hAnsi="Segoe UI"/>
          <w:b/>
          <w:color w:val="1E3A5F"/>
          <w:sz w:val="24"/>
        </w:rPr>
        <w:t>Main reasons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Microsoft Graph API</w:t>
      </w:r>
      <w:r>
        <w:rPr>
          <w:rFonts w:ascii="Segoe UI" w:hAnsi="Segoe UI"/>
          <w:b w:val="0"/>
          <w:color w:val="1F2937"/>
          <w:sz w:val="22"/>
        </w:rPr>
        <w:t xml:space="preserve"> is the only supported REST API for Azure AD management — no viable alternative.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 xml:space="preserve">A </w:t>
      </w:r>
      <w:r>
        <w:rPr>
          <w:rFonts w:ascii="Segoe UI" w:hAnsi="Segoe UI"/>
          <w:b/>
          <w:color w:val="1F2937"/>
          <w:sz w:val="22"/>
        </w:rPr>
        <w:t>background service</w:t>
      </w:r>
      <w:r>
        <w:rPr>
          <w:rFonts w:ascii="Segoe UI" w:hAnsi="Segoe UI"/>
          <w:b w:val="0"/>
          <w:color w:val="1F2937"/>
          <w:sz w:val="22"/>
        </w:rPr>
        <w:t xml:space="preserve"> decouples sync from user requests, avoiding latency and failure propagation.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 xml:space="preserve">The </w:t>
      </w:r>
      <w:r>
        <w:rPr>
          <w:rFonts w:ascii="Segoe UI" w:hAnsi="Segoe UI"/>
          <w:b/>
          <w:color w:val="1F2937"/>
          <w:sz w:val="22"/>
        </w:rPr>
        <w:t>Reader/Writer abstraction</w:t>
      </w:r>
      <w:r>
        <w:rPr>
          <w:rFonts w:ascii="Segoe UI" w:hAnsi="Segoe UI"/>
          <w:b w:val="0"/>
          <w:color w:val="1F2937"/>
          <w:sz w:val="22"/>
        </w:rPr>
        <w:t xml:space="preserve"> enables unit testing and allows future migration to a different identity provider without rewriting sync orchestration.</w:t>
      </w:r>
    </w:p>
    <w:p>
      <w:pPr>
        <w:pStyle w:val="Heading3"/>
      </w:pPr>
      <w:r>
        <w:rPr>
          <w:rFonts w:ascii="Segoe UI" w:hAnsi="Segoe UI"/>
          <w:b/>
          <w:color w:val="1E3A5F"/>
          <w:sz w:val="24"/>
        </w:rPr>
        <w:t>Why it fits the current architecture or team direction?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Category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Reason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Tech stack fit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The project is .NET;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Microsoft.Graph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is the official .NET SDK.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Uses Microsoft's own library for Azure AD.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Background service pattern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The project already uses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BackgroundService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for scheduled tasks.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Follows the same pattern as other automated jobs.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Abstraction pattern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Reader/Writer follows existing repository/service abstractions.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Same coding style — easier to maintain.</w:t>
            </w:r>
          </w:p>
        </w:tc>
      </w:tr>
    </w:tbl>
    <w:p>
      <w:pPr>
        <w:pStyle w:val="Heading3"/>
      </w:pPr>
      <w:r>
        <w:rPr>
          <w:rFonts w:ascii="Segoe UI" w:hAnsi="Segoe UI"/>
          <w:b/>
          <w:color w:val="1E3A5F"/>
          <w:sz w:val="24"/>
        </w:rPr>
        <w:t>Why it is better than the likely alternatives for this case?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Summary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Reason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Direct API calls without abstraction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Harder to test and swap providers, mixes orchestration with API details.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More risky and harder to change later.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Synchronous sync on user request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Blocks requests, fails visibly on Azure AD outages, poor UX.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Users would see errors when Azure AD is slow.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Third-party sync tool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Adds external dependency, less control over sync logic.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Another service to manage and pay for.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5. Options Considered</w:t>
      </w:r>
    </w:p>
    <w:p>
      <w:pPr>
        <w:spacing w:before="0" w:after="120"/>
      </w:pPr>
      <w:r>
        <w:rPr>
          <w:rFonts w:ascii="Segoe UI" w:hAnsi="Segoe UI"/>
          <w:b w:val="0"/>
          <w:color w:val="1F2937"/>
          <w:sz w:val="22"/>
        </w:rPr>
        <w:t>All viable approaches converge on Microsoft Graph API. The decision is about how to wrap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rHeight w:val="600" w:hRule="atLeast"/>
        </w:trPr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Option</w:t>
            </w:r>
          </w:p>
        </w:tc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Benefits</w:t>
            </w:r>
          </w:p>
        </w:tc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Tradeoffs</w:t>
            </w:r>
          </w:p>
        </w:tc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Option 1 — Reader/Writer abstraction over Microsoft Graph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Testable, swappable, clean separation of concerns.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Slightly more code than direct calls.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More work upfront, but safer and easier to change later.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Option 2 — Direct Microsoft Graph calls in the sync service</w:t>
            </w:r>
          </w:p>
        </w:tc>
        <w:tc>
          <w:tcPr>
            <w:tcW w:type="dxa" w:w="248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Less code, faster to implement.</w:t>
            </w:r>
          </w:p>
        </w:tc>
        <w:tc>
          <w:tcPr>
            <w:tcW w:type="dxa" w:w="248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Hard to test, tightly coupled to Graph SDK.</w:t>
            </w:r>
          </w:p>
        </w:tc>
        <w:tc>
          <w:tcPr>
            <w:tcW w:type="dxa" w:w="248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Quicker now, but risky and hard to change later.</w:t>
            </w:r>
          </w:p>
        </w:tc>
      </w:tr>
      <w:tr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Option 3 — Not needed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N/A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N/A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N/A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6. Change Impact</w:t>
      </w:r>
    </w:p>
    <w:p>
      <w:pPr>
        <w:spacing w:before="0" w:after="120"/>
      </w:pPr>
      <w:r>
        <w:rPr>
          <w:rFonts w:ascii="Segoe UI" w:hAnsi="Segoe UI"/>
          <w:b w:val="0"/>
          <w:color w:val="1F2937"/>
          <w:sz w:val="22"/>
        </w:rPr>
        <w:t>The change introduces a new background service, configuration, and external API dependency. No database schema changes.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600" w:hRule="atLeast"/>
        </w:trPr>
        <w:tc>
          <w:tcPr>
            <w:tcW w:type="dxa" w:w="337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Area</w:t>
            </w:r>
          </w:p>
        </w:tc>
        <w:tc>
          <w:tcPr>
            <w:tcW w:type="dxa" w:w="655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Impact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Code impact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New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EmployeeSyncService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,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AzureAdEmployeeReader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,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DryAzureAdEmployeeWriter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, configuration settings.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Data / schema impact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None — reads from existing employee data, writes to Azure AD via API.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Security impact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Requires Microsoft Graph API permissions. Credentials stored in app configuration.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Performance impact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Background service runs on a schedule with parallel sync. No impact on user-facing requests.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Operational impact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New configuration for company codes, Graph credentials, test mode. Monitoring needed for sync failures.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Testing impact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Reader/Writer abstraction enables unit testing. Test mode allows running without real Azure AD calls.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7. Expected Outcomes</w:t>
      </w:r>
    </w:p>
    <w:p>
      <w:pPr>
        <w:spacing w:before="0" w:after="120"/>
      </w:pPr>
      <w:r>
        <w:rPr>
          <w:rFonts w:ascii="Segoe UI" w:hAnsi="Segoe UI"/>
          <w:b w:val="0"/>
          <w:color w:val="1F2937"/>
          <w:sz w:val="22"/>
        </w:rPr>
        <w:t>Employee data stays consistent between RMA and Azure AD without manual work. Operational complexity increases with the new background service.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Area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Benefits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Employee data stays consistent between RMA and Azure AD without manual work.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No more manual employee setup in Azure AD.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Tradeoffs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New background service adds operational complexity.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Someone needs to monitor sync errors.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Follow-up work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Configure Graph API permissions, set up monitoring alerts.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IT grants API access and sets up alerts.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Risks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Graph API rate limits may slow large syncs. Duplicate email logic depends on correct company code mapping.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Very large companies might sync slowly; email matching needs correct data.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8. Pending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600" w:hRule="atLeast"/>
        </w:trPr>
        <w:tc>
          <w:tcPr>
            <w:tcW w:type="dxa" w:w="337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Type</w:t>
            </w:r>
          </w:p>
        </w:tc>
        <w:tc>
          <w:tcPr>
            <w:tcW w:type="dxa" w:w="655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Pending validations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Graph API rate limit impact under full employee load. Duplicate email logic with real multi-company data.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Pending dependencies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Microsoft Graph API permissions must be granted in the target Azure AD tenant.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Deferred decisions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Extending sync to cover Azure AD groups, roles, or login policies.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9. Open Questions</w:t>
      </w:r>
    </w:p>
    <w:p>
      <w:pPr>
        <w:spacing w:before="0" w:after="120"/>
      </w:pPr>
      <w:r>
        <w:rPr>
          <w:rFonts w:ascii="Segoe UI" w:hAnsi="Segoe UI"/>
          <w:b w:val="0"/>
          <w:color w:val="1F2937"/>
          <w:sz w:val="22"/>
        </w:rPr>
        <w:t>The sync service architecture is settled, but operational details need confirmation with the Azure AD admin.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Q1:</w:t>
      </w:r>
      <w:r>
        <w:rPr>
          <w:rFonts w:ascii="Segoe UI" w:hAnsi="Segoe UI"/>
          <w:b w:val="0"/>
          <w:color w:val="1F2937"/>
          <w:sz w:val="22"/>
        </w:rPr>
        <w:t xml:space="preserve"> What Graph API permissions are required — </w:t>
      </w:r>
      <w:r>
        <w:rPr>
          <w:rFonts w:ascii="Segoe UI" w:hAnsi="Segoe UI"/>
          <w:b w:val="0"/>
          <w:color w:val="1F2937"/>
          <w:sz w:val="22"/>
        </w:rPr>
        <w:t>User.ReadWrite.All</w:t>
      </w:r>
      <w:r>
        <w:rPr>
          <w:rFonts w:ascii="Segoe UI" w:hAnsi="Segoe UI"/>
          <w:b w:val="0"/>
          <w:color w:val="1F2937"/>
          <w:sz w:val="22"/>
        </w:rPr>
        <w:t xml:space="preserve"> or a more scoped application permission?</w:t>
      </w:r>
      <w:r>
        <w:br/>
      </w:r>
      <w:r>
        <w:rPr>
          <w:rFonts w:ascii="Segoe UI" w:hAnsi="Segoe UI"/>
          <w:b/>
          <w:color w:val="1F2937"/>
          <w:sz w:val="22"/>
        </w:rPr>
        <w:t>A1:</w:t>
      </w:r>
      <w:r>
        <w:rPr>
          <w:rFonts w:ascii="Segoe UI" w:hAnsi="Segoe UI"/>
          <w:b w:val="0"/>
          <w:color w:val="1F2937"/>
          <w:sz w:val="22"/>
        </w:rPr>
        <w:t xml:space="preserve"> Likely </w:t>
      </w:r>
      <w:r>
        <w:rPr>
          <w:rFonts w:ascii="Segoe UI" w:hAnsi="Segoe UI"/>
          <w:b w:val="0"/>
          <w:color w:val="1F2937"/>
          <w:sz w:val="22"/>
        </w:rPr>
        <w:t>User.ReadWrite.All</w:t>
      </w:r>
      <w:r>
        <w:rPr>
          <w:rFonts w:ascii="Segoe UI" w:hAnsi="Segoe UI"/>
          <w:b w:val="0"/>
          <w:color w:val="1F2937"/>
          <w:sz w:val="22"/>
        </w:rPr>
        <w:t xml:space="preserve"> for full create/update; confirm with Azure AD admin before production.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Q2:</w:t>
      </w:r>
      <w:r>
        <w:rPr>
          <w:rFonts w:ascii="Segoe UI" w:hAnsi="Segoe UI"/>
          <w:b w:val="0"/>
          <w:color w:val="1F2937"/>
          <w:sz w:val="22"/>
        </w:rPr>
        <w:t xml:space="preserve"> What is the sync schedule (interval and timing)?</w:t>
      </w:r>
      <w:r>
        <w:br/>
      </w:r>
      <w:r>
        <w:rPr>
          <w:rFonts w:ascii="Segoe UI" w:hAnsi="Segoe UI"/>
          <w:b/>
          <w:color w:val="1F2937"/>
          <w:sz w:val="22"/>
        </w:rPr>
        <w:t>A2:</w:t>
      </w:r>
      <w:r>
        <w:rPr>
          <w:rFonts w:ascii="Segoe UI" w:hAnsi="Segoe UI"/>
          <w:b w:val="0"/>
          <w:color w:val="1F2937"/>
          <w:sz w:val="22"/>
        </w:rPr>
        <w:t xml:space="preserve"> Configurable via settings. Default interval TBD with stakeholders based on propagation requirements.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Q3:</w:t>
      </w:r>
      <w:r>
        <w:rPr>
          <w:rFonts w:ascii="Segoe UI" w:hAnsi="Segoe UI"/>
          <w:b w:val="0"/>
          <w:color w:val="1F2937"/>
          <w:sz w:val="22"/>
        </w:rPr>
        <w:t xml:space="preserve"> Should the sync also handle employee deletion/deactivation in Azure AD?</w:t>
      </w:r>
      <w:r>
        <w:br/>
      </w:r>
      <w:r>
        <w:rPr>
          <w:rFonts w:ascii="Segoe UI" w:hAnsi="Segoe UI"/>
          <w:b/>
          <w:color w:val="1F2937"/>
          <w:sz w:val="22"/>
        </w:rPr>
        <w:t>A3:</w:t>
      </w:r>
      <w:r>
        <w:rPr>
          <w:rFonts w:ascii="Segoe UI" w:hAnsi="Segoe UI"/>
          <w:b w:val="0"/>
          <w:color w:val="1F2937"/>
          <w:sz w:val="22"/>
        </w:rPr>
        <w:t xml:space="preserve"> Not in current scope. Can be added later if needed.</w:t>
      </w:r>
    </w:p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10. Supporting Evidence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Task evidence:</w:t>
      </w:r>
    </w:p>
    <w:p>
      <w:pPr>
        <w:pStyle w:val="ListBullet2"/>
        <w:spacing w:before="0" w:after="120"/>
      </w:pPr>
      <w:hyperlink r:id="rId9">
        <w:r>
          <w:rPr>
            <w:color w:val="0F766E"/>
            <w:u w:val="single"/>
            <w:rFonts w:ascii="Segoe UI" w:hAnsi="Segoe UI"/>
            <w:sz w:val="22"/>
          </w:rPr>
          <w:t xml:space="preserve">RMASUP-1105</w:t>
        </w:r>
      </w:hyperlink>
      <w:r>
        <w:rPr>
          <w:rFonts w:ascii="Segoe UI" w:hAnsi="Segoe UI"/>
          <w:b w:val="0"/>
          <w:color w:val="1F2937"/>
          <w:sz w:val="22"/>
        </w:rPr>
        <w:t xml:space="preserve"> — employee sync service from RMA to Azure AD.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PR evidence:</w:t>
      </w:r>
    </w:p>
    <w:p>
      <w:pPr>
        <w:pStyle w:val="ListBullet2"/>
        <w:spacing w:before="0" w:after="120"/>
      </w:pPr>
      <w:hyperlink r:id="rId10">
        <w:r>
          <w:rPr>
            <w:color w:val="0F766E"/>
            <w:u w:val="single"/>
            <w:rFonts w:ascii="Segoe UI" w:hAnsi="Segoe UI"/>
            <w:sz w:val="22"/>
          </w:rPr>
          <w:t xml:space="preserve">PR #645</w:t>
        </w:r>
      </w:hyperlink>
      <w:r>
        <w:rPr>
          <w:rFonts w:ascii="Segoe UI" w:hAnsi="Segoe UI"/>
          <w:b w:val="0"/>
          <w:color w:val="1F2937"/>
          <w:sz w:val="22"/>
        </w:rPr>
        <w:t xml:space="preserve"> — main implementation: </w:t>
      </w:r>
      <w:r>
        <w:rPr>
          <w:rFonts w:ascii="Segoe UI" w:hAnsi="Segoe UI"/>
          <w:b w:val="0"/>
          <w:color w:val="1F2937"/>
          <w:sz w:val="22"/>
        </w:rPr>
        <w:t>EmployeeSyncService</w:t>
      </w:r>
      <w:r>
        <w:rPr>
          <w:rFonts w:ascii="Segoe UI" w:hAnsi="Segoe UI"/>
          <w:b w:val="0"/>
          <w:color w:val="1F2937"/>
          <w:sz w:val="22"/>
        </w:rPr>
        <w:t>, reader/writer abstraction, background service, parallel sync, test mode, duplicate email detection (30+ commits).</w:t>
      </w:r>
    </w:p>
    <w:p>
      <w:pPr>
        <w:pStyle w:val="ListBullet2"/>
        <w:spacing w:before="0" w:after="120"/>
      </w:pPr>
      <w:hyperlink r:id="rId11">
        <w:r>
          <w:rPr>
            <w:color w:val="0F766E"/>
            <w:u w:val="single"/>
            <w:rFonts w:ascii="Segoe UI" w:hAnsi="Segoe UI"/>
            <w:sz w:val="22"/>
          </w:rPr>
          <w:t xml:space="preserve">PR #749</w:t>
        </w:r>
      </w:hyperlink>
      <w:r>
        <w:rPr>
          <w:rFonts w:ascii="Segoe UI" w:hAnsi="Segoe UI"/>
          <w:b w:val="0"/>
          <w:color w:val="1F2937"/>
          <w:sz w:val="22"/>
        </w:rPr>
        <w:t xml:space="preserve"> — follow-up: null property checks, temp password, principal name assignment.</w:t>
      </w:r>
    </w:p>
    <w:p>
      <w:pPr>
        <w:pStyle w:val="ListBullet2"/>
        <w:spacing w:before="0" w:after="120"/>
      </w:pPr>
      <w:hyperlink r:id="rId12">
        <w:r>
          <w:rPr>
            <w:color w:val="0F766E"/>
            <w:u w:val="single"/>
            <w:rFonts w:ascii="Segoe UI" w:hAnsi="Segoe UI"/>
            <w:sz w:val="22"/>
          </w:rPr>
          <w:t xml:space="preserve">PR #747</w:t>
        </w:r>
      </w:hyperlink>
      <w:r>
        <w:rPr>
          <w:rFonts w:ascii="Segoe UI" w:hAnsi="Segoe UI"/>
          <w:b w:val="0"/>
          <w:color w:val="1F2937"/>
          <w:sz w:val="22"/>
        </w:rPr>
        <w:t xml:space="preserve"> — dependency updates for the sync service.</w:t>
      </w:r>
    </w:p>
    <w:p>
      <w:pPr>
        <w:pStyle w:val="ListBullet2"/>
        <w:spacing w:before="0" w:after="120"/>
      </w:pPr>
      <w:hyperlink r:id="rId13">
        <w:r>
          <w:rPr>
            <w:color w:val="0F766E"/>
            <w:u w:val="single"/>
            <w:rFonts w:ascii="Segoe UI" w:hAnsi="Segoe UI"/>
            <w:sz w:val="22"/>
          </w:rPr>
          <w:t xml:space="preserve">PR #781</w:t>
        </w:r>
      </w:hyperlink>
      <w:r>
        <w:rPr>
          <w:rFonts w:ascii="Segoe UI" w:hAnsi="Segoe UI"/>
          <w:b w:val="0"/>
          <w:color w:val="1F2937"/>
          <w:sz w:val="22"/>
        </w:rPr>
        <w:t xml:space="preserve"> — fix for mail nickname retrieval.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Plan evidence:</w:t>
      </w:r>
      <w:r>
        <w:br/>
      </w:r>
      <w:r>
        <w:rPr>
          <w:rFonts w:ascii="Segoe UI" w:hAnsi="Segoe UI"/>
          <w:b w:val="0"/>
          <w:color w:val="1F2937"/>
          <w:sz w:val="22"/>
        </w:rPr>
        <w:br/>
        <w:t xml:space="preserve">    None — no local plan file available.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Review evidence:</w:t>
      </w:r>
      <w:r>
        <w:br/>
      </w:r>
      <w:r>
        <w:rPr>
          <w:rFonts w:ascii="Segoe UI" w:hAnsi="Segoe UI"/>
          <w:b w:val="0"/>
          <w:color w:val="1F2937"/>
          <w:sz w:val="22"/>
        </w:rPr>
        <w:br/>
        <w:t xml:space="preserve">    PR #749 reviewed and approved with corrections for employee field handling.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Related ADRs / prior tasks:</w:t>
      </w:r>
      <w:r>
        <w:br/>
      </w:r>
      <w:r>
        <w:rPr>
          <w:rFonts w:ascii="Segoe UI" w:hAnsi="Segoe UI"/>
          <w:b w:val="0"/>
          <w:color w:val="1F2937"/>
          <w:sz w:val="22"/>
        </w:rPr>
        <w:br/>
        <w:t xml:space="preserve">    None — first Azure AD integration ADR in this repository.</w:t>
      </w:r>
    </w:p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11. Future Review Guidance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Future changes to employee sync must follow the Reader/Writer abstraction — do not bypass it with direct Graph API calls.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Revisit this ADR if another identity provider is introduced, if Graph API costs or rate limits become a problem, or if sync scope expands to groups/roles.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ListBullet">
    <w:name w:val="Cell List Bullet"/>
    <w:basedOn w:val="Normal"/>
    <w:pPr>
      <w:spacing w:after="120"/>
      <w:ind w:left="0" w:firstLine="0"/>
    </w:pPr>
    <w:rPr>
      <w:rFonts w:ascii="Segoe UI" w:hAnsi="Segoe UI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aritasa.atlassian.net/browse/RMASUP-1105" TargetMode="External"/><Relationship Id="rId10" Type="http://schemas.openxmlformats.org/officeDocument/2006/relationships/hyperlink" Target="https://github.com/saritasa-nest/rma-authentication/pull/645" TargetMode="External"/><Relationship Id="rId11" Type="http://schemas.openxmlformats.org/officeDocument/2006/relationships/hyperlink" Target="https://github.com/saritasa-nest/rma-authentication/pull/749" TargetMode="External"/><Relationship Id="rId12" Type="http://schemas.openxmlformats.org/officeDocument/2006/relationships/hyperlink" Target="https://github.com/saritasa-nest/rma-authentication/pull/747" TargetMode="External"/><Relationship Id="rId13" Type="http://schemas.openxmlformats.org/officeDocument/2006/relationships/hyperlink" Target="https://github.com/saritasa-nest/rma-authentication/pull/7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