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39F583" w14:textId="77777777" w:rsidR="009F7155" w:rsidRDefault="00000000">
      <w:pPr>
        <w:pStyle w:val="Title"/>
        <w:spacing w:after="200"/>
      </w:pPr>
      <w:r>
        <w:rPr>
          <w:rFonts w:ascii="Segoe UI" w:hAnsi="Segoe UI"/>
          <w:b/>
          <w:color w:val="0F766E"/>
          <w:sz w:val="48"/>
        </w:rPr>
        <w:t>ADR: GEO Database Migration Target and SQL Platform Direction</w:t>
      </w:r>
    </w:p>
    <w:p w14:paraId="5D8C73A9" w14:textId="77777777" w:rsidR="009F7155" w:rsidRDefault="00000000">
      <w:pPr>
        <w:rPr>
          <w:rFonts w:hint="eastAsia"/>
        </w:rPr>
      </w:pPr>
      <w:r>
        <w:rPr>
          <w:b/>
        </w:rPr>
        <w:t>Status:</w:t>
      </w:r>
      <w:r>
        <w:t xml:space="preserve"> PROPOSED</w:t>
      </w:r>
      <w:r>
        <w:br/>
      </w:r>
      <w:r>
        <w:rPr>
          <w:b/>
        </w:rPr>
        <w:t>Task URL:</w:t>
      </w:r>
      <w:r>
        <w:t xml:space="preserve"> </w:t>
      </w:r>
      <w:hyperlink r:id="rId6">
        <w:r>
          <w:rPr>
            <w:color w:val="0F766E"/>
            <w:u w:val="single"/>
          </w:rPr>
          <w:t>RMASUP-2134</w:t>
        </w:r>
      </w:hyperlink>
      <w:r>
        <w:br/>
      </w:r>
      <w:r>
        <w:rPr>
          <w:b/>
        </w:rPr>
        <w:t>Date:</w:t>
      </w:r>
      <w:r>
        <w:t xml:space="preserve"> 2026-05-22</w:t>
      </w:r>
    </w:p>
    <w:p w14:paraId="703E08C3" w14:textId="77777777" w:rsidR="009F7155" w:rsidRDefault="009F7155">
      <w:pPr>
        <w:rPr>
          <w:rFonts w:hint="eastAsia"/>
        </w:rPr>
      </w:pPr>
    </w:p>
    <w:p w14:paraId="16E31009" w14:textId="77777777" w:rsidR="009F7155" w:rsidRDefault="00000000">
      <w:pPr>
        <w:pStyle w:val="Heading1"/>
        <w:spacing w:before="0" w:after="160"/>
      </w:pPr>
      <w:r>
        <w:rPr>
          <w:rFonts w:ascii="Segoe UI" w:hAnsi="Segoe UI"/>
          <w:color w:val="1E3A5F"/>
          <w:sz w:val="36"/>
        </w:rPr>
        <w:t>1. Current Context</w:t>
      </w:r>
    </w:p>
    <w:tbl>
      <w:tblPr>
        <w:tblStyle w:val="TableGrid"/>
        <w:tblW w:w="0" w:type="auto"/>
        <w:jc w:val="center"/>
        <w:tblLayout w:type="fixed"/>
        <w:tblLook w:val="04A0" w:firstRow="1" w:lastRow="0" w:firstColumn="1" w:lastColumn="0" w:noHBand="0" w:noVBand="1"/>
      </w:tblPr>
      <w:tblGrid>
        <w:gridCol w:w="3378"/>
        <w:gridCol w:w="6558"/>
      </w:tblGrid>
      <w:tr w:rsidR="009F7155" w14:paraId="0DD35ACA" w14:textId="77777777">
        <w:trPr>
          <w:trHeight w:val="600"/>
          <w:jc w:val="center"/>
        </w:trPr>
        <w:tc>
          <w:tcPr>
            <w:tcW w:w="3378" w:type="dxa"/>
            <w:shd w:val="clear" w:color="auto" w:fill="E6F4F8"/>
            <w:vAlign w:val="center"/>
          </w:tcPr>
          <w:p w14:paraId="1FEAF207" w14:textId="77777777" w:rsidR="009F7155" w:rsidRDefault="00000000">
            <w:pPr>
              <w:spacing w:before="120"/>
              <w:rPr>
                <w:rFonts w:hint="eastAsia"/>
              </w:rPr>
            </w:pPr>
            <w:r>
              <w:rPr>
                <w:b/>
                <w:color w:val="1E3A5F"/>
                <w:sz w:val="20"/>
              </w:rPr>
              <w:t>Area</w:t>
            </w:r>
          </w:p>
        </w:tc>
        <w:tc>
          <w:tcPr>
            <w:tcW w:w="6558" w:type="dxa"/>
            <w:shd w:val="clear" w:color="auto" w:fill="E6F4F8"/>
            <w:vAlign w:val="center"/>
          </w:tcPr>
          <w:p w14:paraId="1353B855" w14:textId="77777777" w:rsidR="009F7155" w:rsidRDefault="00000000">
            <w:pPr>
              <w:spacing w:before="120"/>
              <w:rPr>
                <w:rFonts w:hint="eastAsia"/>
              </w:rPr>
            </w:pPr>
            <w:r>
              <w:rPr>
                <w:b/>
                <w:color w:val="1E3A5F"/>
                <w:sz w:val="20"/>
              </w:rPr>
              <w:t>Details</w:t>
            </w:r>
          </w:p>
        </w:tc>
      </w:tr>
      <w:tr w:rsidR="009F7155" w14:paraId="3E2ACF43" w14:textId="77777777">
        <w:trPr>
          <w:jc w:val="center"/>
        </w:trPr>
        <w:tc>
          <w:tcPr>
            <w:tcW w:w="3378" w:type="dxa"/>
          </w:tcPr>
          <w:p w14:paraId="004EBCEC" w14:textId="77777777" w:rsidR="009F7155" w:rsidRDefault="00000000">
            <w:pPr>
              <w:spacing w:before="120"/>
              <w:rPr>
                <w:rFonts w:hint="eastAsia"/>
              </w:rPr>
            </w:pPr>
            <w:r>
              <w:rPr>
                <w:sz w:val="20"/>
              </w:rPr>
              <w:t>Task goal</w:t>
            </w:r>
          </w:p>
        </w:tc>
        <w:tc>
          <w:tcPr>
            <w:tcW w:w="6558" w:type="dxa"/>
          </w:tcPr>
          <w:p w14:paraId="67B24C6D" w14:textId="77777777" w:rsidR="009F7155" w:rsidRDefault="00000000">
            <w:pPr>
              <w:spacing w:before="120"/>
              <w:rPr>
                <w:rFonts w:hint="eastAsia"/>
              </w:rPr>
            </w:pPr>
            <w:r>
              <w:rPr>
                <w:sz w:val="20"/>
              </w:rPr>
              <w:t>Give the client setup guidance and best practices for the new modernized SQL server.</w:t>
            </w:r>
          </w:p>
        </w:tc>
      </w:tr>
      <w:tr w:rsidR="009F7155" w14:paraId="46461A23" w14:textId="77777777">
        <w:trPr>
          <w:jc w:val="center"/>
        </w:trPr>
        <w:tc>
          <w:tcPr>
            <w:tcW w:w="3378" w:type="dxa"/>
            <w:shd w:val="clear" w:color="auto" w:fill="F8FAFC"/>
          </w:tcPr>
          <w:p w14:paraId="0B5E0127" w14:textId="77777777" w:rsidR="009F7155" w:rsidRDefault="00000000">
            <w:pPr>
              <w:spacing w:before="120"/>
              <w:rPr>
                <w:rFonts w:hint="eastAsia"/>
              </w:rPr>
            </w:pPr>
            <w:r>
              <w:rPr>
                <w:sz w:val="20"/>
              </w:rPr>
              <w:t>Change trigger</w:t>
            </w:r>
          </w:p>
        </w:tc>
        <w:tc>
          <w:tcPr>
            <w:tcW w:w="6558" w:type="dxa"/>
            <w:shd w:val="clear" w:color="auto" w:fill="F8FAFC"/>
          </w:tcPr>
          <w:p w14:paraId="305EF768" w14:textId="77777777" w:rsidR="009F7155" w:rsidRDefault="00000000">
            <w:pPr>
              <w:spacing w:before="120"/>
              <w:rPr>
                <w:rFonts w:hint="eastAsia"/>
              </w:rPr>
            </w:pPr>
            <w:r>
              <w:rPr>
                <w:sz w:val="20"/>
              </w:rPr>
              <w:t>The current GEO database is running on SQL Server 2017 on soon-to-be unsupported operating systems, and the current GEO server has recurring performance issues.</w:t>
            </w:r>
          </w:p>
        </w:tc>
      </w:tr>
      <w:tr w:rsidR="009F7155" w14:paraId="09E0D3BA" w14:textId="77777777">
        <w:trPr>
          <w:jc w:val="center"/>
        </w:trPr>
        <w:tc>
          <w:tcPr>
            <w:tcW w:w="3378" w:type="dxa"/>
          </w:tcPr>
          <w:p w14:paraId="0A6583E4" w14:textId="77777777" w:rsidR="009F7155" w:rsidRDefault="00000000">
            <w:pPr>
              <w:spacing w:before="120"/>
              <w:rPr>
                <w:rFonts w:hint="eastAsia"/>
              </w:rPr>
            </w:pPr>
            <w:r>
              <w:rPr>
                <w:sz w:val="20"/>
              </w:rPr>
              <w:t>Relevant constraints</w:t>
            </w:r>
          </w:p>
        </w:tc>
        <w:tc>
          <w:tcPr>
            <w:tcW w:w="6558" w:type="dxa"/>
          </w:tcPr>
          <w:p w14:paraId="738166C4" w14:textId="77777777" w:rsidR="009F7155" w:rsidRDefault="00000000">
            <w:pPr>
              <w:pStyle w:val="CellListBullet"/>
              <w:spacing w:before="120"/>
              <w:rPr>
                <w:rFonts w:hint="eastAsia"/>
              </w:rPr>
            </w:pPr>
            <w:r>
              <w:t>• GEO moves first.</w:t>
            </w:r>
          </w:p>
          <w:p w14:paraId="46505C19" w14:textId="77777777" w:rsidR="009F7155" w:rsidRDefault="00000000">
            <w:pPr>
              <w:pStyle w:val="CellListBullet"/>
              <w:spacing w:before="120"/>
              <w:rPr>
                <w:rFonts w:hint="eastAsia"/>
              </w:rPr>
            </w:pPr>
            <w:r>
              <w:t>• RMA may move later to the same target.</w:t>
            </w:r>
          </w:p>
          <w:p w14:paraId="13E9FE55" w14:textId="77777777" w:rsidR="009F7155" w:rsidRDefault="00000000">
            <w:pPr>
              <w:pStyle w:val="CellListBullet"/>
              <w:spacing w:before="120"/>
              <w:rPr>
                <w:rFonts w:hint="eastAsia"/>
              </w:rPr>
            </w:pPr>
            <w:r>
              <w:t>• SQL Server feature compatibility is important.</w:t>
            </w:r>
          </w:p>
          <w:p w14:paraId="12CEAECA" w14:textId="77777777" w:rsidR="009F7155" w:rsidRDefault="00000000">
            <w:pPr>
              <w:pStyle w:val="CellListBullet"/>
              <w:spacing w:before="120"/>
              <w:rPr>
                <w:rFonts w:hint="eastAsia"/>
              </w:rPr>
            </w:pPr>
            <w:r>
              <w:t>• Some procedures use local Windows disk.</w:t>
            </w:r>
          </w:p>
          <w:p w14:paraId="1E143FCB" w14:textId="77777777" w:rsidR="009F7155" w:rsidRDefault="00000000">
            <w:pPr>
              <w:pStyle w:val="CellListBullet"/>
              <w:spacing w:before="120"/>
              <w:rPr>
                <w:rFonts w:hint="eastAsia"/>
              </w:rPr>
            </w:pPr>
            <w:r>
              <w:t>• SSRS is part of the current setup.</w:t>
            </w:r>
          </w:p>
          <w:p w14:paraId="09E0225F" w14:textId="77777777" w:rsidR="009F7155" w:rsidRDefault="00000000">
            <w:pPr>
              <w:pStyle w:val="CellListBullet"/>
              <w:spacing w:before="120"/>
              <w:rPr>
                <w:rFonts w:hint="eastAsia"/>
              </w:rPr>
            </w:pPr>
            <w:r>
              <w:t>• Final cost still needs validation.</w:t>
            </w:r>
          </w:p>
          <w:p w14:paraId="76933EE5" w14:textId="77777777" w:rsidR="009F7155" w:rsidRDefault="00000000">
            <w:pPr>
              <w:pStyle w:val="CellListBullet"/>
              <w:spacing w:before="120"/>
              <w:rPr>
                <w:rFonts w:hint="eastAsia"/>
              </w:rPr>
            </w:pPr>
            <w:r>
              <w:t>• Final migration scope still depends on the assessment report.</w:t>
            </w:r>
          </w:p>
        </w:tc>
      </w:tr>
      <w:tr w:rsidR="009F7155" w14:paraId="2F08D26C" w14:textId="77777777">
        <w:trPr>
          <w:jc w:val="center"/>
        </w:trPr>
        <w:tc>
          <w:tcPr>
            <w:tcW w:w="3378" w:type="dxa"/>
            <w:shd w:val="clear" w:color="auto" w:fill="F8FAFC"/>
          </w:tcPr>
          <w:p w14:paraId="112735DA" w14:textId="77777777" w:rsidR="009F7155" w:rsidRDefault="00000000">
            <w:pPr>
              <w:spacing w:before="120"/>
              <w:rPr>
                <w:rFonts w:hint="eastAsia"/>
              </w:rPr>
            </w:pPr>
            <w:r>
              <w:rPr>
                <w:sz w:val="20"/>
              </w:rPr>
              <w:t>Existing pattern or baseline</w:t>
            </w:r>
          </w:p>
        </w:tc>
        <w:tc>
          <w:tcPr>
            <w:tcW w:w="6558" w:type="dxa"/>
            <w:shd w:val="clear" w:color="auto" w:fill="F8FAFC"/>
          </w:tcPr>
          <w:p w14:paraId="2849B746" w14:textId="77777777" w:rsidR="009F7155" w:rsidRDefault="00000000">
            <w:pPr>
              <w:spacing w:before="120"/>
              <w:rPr>
                <w:rFonts w:hint="eastAsia"/>
              </w:rPr>
            </w:pPr>
            <w:r>
              <w:rPr>
                <w:sz w:val="20"/>
              </w:rPr>
              <w:t>The current solution uses server-based SQL Server infrastructure, and SQL Server plus reporting are tied to Windows Server management overhead.</w:t>
            </w:r>
          </w:p>
        </w:tc>
      </w:tr>
    </w:tbl>
    <w:p w14:paraId="007D327C" w14:textId="77777777" w:rsidR="009F7155" w:rsidRDefault="009F7155">
      <w:pPr>
        <w:rPr>
          <w:rFonts w:hint="eastAsia"/>
        </w:rPr>
      </w:pPr>
    </w:p>
    <w:p w14:paraId="5E0669D4" w14:textId="77777777" w:rsidR="009F7155" w:rsidRDefault="00000000">
      <w:pPr>
        <w:pStyle w:val="Heading1"/>
        <w:spacing w:before="0" w:after="160"/>
      </w:pPr>
      <w:r>
        <w:rPr>
          <w:rFonts w:ascii="Segoe UI" w:hAnsi="Segoe UI"/>
          <w:color w:val="1E3A5F"/>
          <w:sz w:val="36"/>
        </w:rPr>
        <w:t>2. Chosen Direction</w:t>
      </w:r>
    </w:p>
    <w:p w14:paraId="3716DF5B" w14:textId="77777777" w:rsidR="009F7155" w:rsidRDefault="00000000">
      <w:pPr>
        <w:pStyle w:val="ListBullet"/>
        <w:rPr>
          <w:rFonts w:hint="eastAsia"/>
        </w:rPr>
      </w:pPr>
      <w:r>
        <w:t>Recommend Azure SQL Managed Instance as the target database platform.</w:t>
      </w:r>
    </w:p>
    <w:p w14:paraId="0383763C" w14:textId="77777777" w:rsidR="009F7155" w:rsidRDefault="00000000">
      <w:pPr>
        <w:pStyle w:val="ListBullet"/>
        <w:rPr>
          <w:rFonts w:hint="eastAsia"/>
        </w:rPr>
      </w:pPr>
      <w:r>
        <w:t>Treat GEO migration as phase 1 and keep the path open for a later RMA migration into the same environment.</w:t>
      </w:r>
    </w:p>
    <w:p w14:paraId="655B9CE8" w14:textId="77777777" w:rsidR="009F7155" w:rsidRDefault="00000000">
      <w:pPr>
        <w:pStyle w:val="ListBullet"/>
        <w:rPr>
          <w:rFonts w:hint="eastAsia"/>
        </w:rPr>
      </w:pPr>
      <w:r>
        <w:t>Keep SSRS engine hosting as a separate workstream, and do not treat this ADR as final cost approval, final sizing, or full migration approval.</w:t>
      </w:r>
    </w:p>
    <w:p w14:paraId="069F6A91" w14:textId="77777777" w:rsidR="009F7155" w:rsidRDefault="009F7155">
      <w:pPr>
        <w:rPr>
          <w:rFonts w:hint="eastAsia"/>
        </w:rPr>
      </w:pPr>
    </w:p>
    <w:p w14:paraId="2CC800F0" w14:textId="77777777" w:rsidR="009F7155" w:rsidRDefault="00000000">
      <w:pPr>
        <w:pStyle w:val="Heading1"/>
        <w:spacing w:before="0" w:after="160"/>
      </w:pPr>
      <w:r>
        <w:rPr>
          <w:rFonts w:ascii="Segoe UI" w:hAnsi="Segoe UI"/>
          <w:color w:val="1E3A5F"/>
          <w:sz w:val="36"/>
        </w:rPr>
        <w:lastRenderedPageBreak/>
        <w:t>3. Decision Scope</w:t>
      </w:r>
    </w:p>
    <w:tbl>
      <w:tblPr>
        <w:tblStyle w:val="TableGrid"/>
        <w:tblW w:w="0" w:type="auto"/>
        <w:jc w:val="center"/>
        <w:tblLayout w:type="fixed"/>
        <w:tblLook w:val="04A0" w:firstRow="1" w:lastRow="0" w:firstColumn="1" w:lastColumn="0" w:noHBand="0" w:noVBand="1"/>
      </w:tblPr>
      <w:tblGrid>
        <w:gridCol w:w="1987"/>
        <w:gridCol w:w="3974"/>
        <w:gridCol w:w="3974"/>
      </w:tblGrid>
      <w:tr w:rsidR="009F7155" w14:paraId="2E4B8232" w14:textId="77777777">
        <w:trPr>
          <w:trHeight w:val="600"/>
          <w:jc w:val="center"/>
        </w:trPr>
        <w:tc>
          <w:tcPr>
            <w:tcW w:w="1987" w:type="dxa"/>
            <w:shd w:val="clear" w:color="auto" w:fill="E6F4F8"/>
            <w:vAlign w:val="center"/>
          </w:tcPr>
          <w:p w14:paraId="0FD8BCE0" w14:textId="77777777" w:rsidR="009F7155" w:rsidRDefault="00000000">
            <w:pPr>
              <w:spacing w:before="120"/>
              <w:rPr>
                <w:rFonts w:hint="eastAsia"/>
              </w:rPr>
            </w:pPr>
            <w:r>
              <w:rPr>
                <w:b/>
                <w:color w:val="1E3A5F"/>
                <w:sz w:val="20"/>
              </w:rPr>
              <w:t>Scope Type</w:t>
            </w:r>
          </w:p>
        </w:tc>
        <w:tc>
          <w:tcPr>
            <w:tcW w:w="3974" w:type="dxa"/>
            <w:shd w:val="clear" w:color="auto" w:fill="E6F4F8"/>
            <w:vAlign w:val="center"/>
          </w:tcPr>
          <w:p w14:paraId="08D28E02" w14:textId="77777777" w:rsidR="009F7155" w:rsidRDefault="00000000">
            <w:pPr>
              <w:spacing w:before="120"/>
              <w:rPr>
                <w:rFonts w:hint="eastAsia"/>
              </w:rPr>
            </w:pPr>
            <w:r>
              <w:rPr>
                <w:b/>
                <w:color w:val="1E3A5F"/>
                <w:sz w:val="20"/>
              </w:rPr>
              <w:t>Details</w:t>
            </w:r>
          </w:p>
        </w:tc>
        <w:tc>
          <w:tcPr>
            <w:tcW w:w="3974" w:type="dxa"/>
            <w:shd w:val="clear" w:color="auto" w:fill="E6F4F8"/>
            <w:vAlign w:val="center"/>
          </w:tcPr>
          <w:p w14:paraId="109E91C9" w14:textId="77777777" w:rsidR="009F7155" w:rsidRDefault="00000000">
            <w:pPr>
              <w:spacing w:before="120"/>
              <w:rPr>
                <w:rFonts w:hint="eastAsia"/>
              </w:rPr>
            </w:pPr>
            <w:r>
              <w:rPr>
                <w:b/>
                <w:color w:val="1E3A5F"/>
                <w:sz w:val="20"/>
              </w:rPr>
              <w:t>Client-friendly explanation</w:t>
            </w:r>
          </w:p>
        </w:tc>
      </w:tr>
      <w:tr w:rsidR="009F7155" w14:paraId="5241C7AA" w14:textId="77777777">
        <w:trPr>
          <w:jc w:val="center"/>
        </w:trPr>
        <w:tc>
          <w:tcPr>
            <w:tcW w:w="1987" w:type="dxa"/>
          </w:tcPr>
          <w:p w14:paraId="21CE7828" w14:textId="77777777" w:rsidR="009F7155" w:rsidRDefault="00000000">
            <w:pPr>
              <w:spacing w:before="120"/>
              <w:rPr>
                <w:rFonts w:hint="eastAsia"/>
              </w:rPr>
            </w:pPr>
            <w:r>
              <w:rPr>
                <w:sz w:val="20"/>
              </w:rPr>
              <w:t>In scope</w:t>
            </w:r>
          </w:p>
        </w:tc>
        <w:tc>
          <w:tcPr>
            <w:tcW w:w="3974" w:type="dxa"/>
          </w:tcPr>
          <w:p w14:paraId="08E44EA8" w14:textId="77777777" w:rsidR="009F7155" w:rsidRDefault="00000000">
            <w:pPr>
              <w:spacing w:before="120"/>
              <w:rPr>
                <w:rFonts w:hint="eastAsia"/>
              </w:rPr>
            </w:pPr>
            <w:r>
              <w:rPr>
                <w:sz w:val="20"/>
              </w:rPr>
              <w:t>Select the preferred platform direction for the new SQL environment.</w:t>
            </w:r>
          </w:p>
        </w:tc>
        <w:tc>
          <w:tcPr>
            <w:tcW w:w="3974" w:type="dxa"/>
          </w:tcPr>
          <w:p w14:paraId="39AA3862" w14:textId="77777777" w:rsidR="009F7155" w:rsidRDefault="00000000">
            <w:pPr>
              <w:spacing w:before="120"/>
              <w:rPr>
                <w:rFonts w:hint="eastAsia"/>
              </w:rPr>
            </w:pPr>
            <w:r>
              <w:rPr>
                <w:sz w:val="20"/>
              </w:rPr>
              <w:t>This ADR decides the recommended target direction, not every technical detail of the final migration.</w:t>
            </w:r>
          </w:p>
        </w:tc>
      </w:tr>
      <w:tr w:rsidR="009F7155" w14:paraId="12251A0B" w14:textId="77777777">
        <w:trPr>
          <w:jc w:val="center"/>
        </w:trPr>
        <w:tc>
          <w:tcPr>
            <w:tcW w:w="1987" w:type="dxa"/>
            <w:shd w:val="clear" w:color="auto" w:fill="F8FAFC"/>
          </w:tcPr>
          <w:p w14:paraId="4095AA36" w14:textId="77777777" w:rsidR="009F7155" w:rsidRDefault="00000000">
            <w:pPr>
              <w:spacing w:before="120"/>
              <w:rPr>
                <w:rFonts w:hint="eastAsia"/>
              </w:rPr>
            </w:pPr>
            <w:r>
              <w:rPr>
                <w:sz w:val="20"/>
              </w:rPr>
              <w:t>Out of scope</w:t>
            </w:r>
          </w:p>
        </w:tc>
        <w:tc>
          <w:tcPr>
            <w:tcW w:w="3974" w:type="dxa"/>
            <w:shd w:val="clear" w:color="auto" w:fill="F8FAFC"/>
          </w:tcPr>
          <w:p w14:paraId="48AFB135" w14:textId="77777777" w:rsidR="009F7155" w:rsidRDefault="00000000">
            <w:pPr>
              <w:pStyle w:val="CellListBullet"/>
              <w:spacing w:before="120"/>
              <w:rPr>
                <w:rFonts w:hint="eastAsia"/>
              </w:rPr>
            </w:pPr>
            <w:r>
              <w:t>• Final cost approval.</w:t>
            </w:r>
          </w:p>
          <w:p w14:paraId="172E250F" w14:textId="77777777" w:rsidR="009F7155" w:rsidRDefault="00000000">
            <w:pPr>
              <w:pStyle w:val="CellListBullet"/>
              <w:spacing w:before="120"/>
              <w:rPr>
                <w:rFonts w:hint="eastAsia"/>
              </w:rPr>
            </w:pPr>
            <w:r>
              <w:t>• Exact SKU sizing.</w:t>
            </w:r>
          </w:p>
          <w:p w14:paraId="60506C04" w14:textId="77777777" w:rsidR="009F7155" w:rsidRDefault="00000000">
            <w:pPr>
              <w:pStyle w:val="CellListBullet"/>
              <w:spacing w:before="120"/>
              <w:rPr>
                <w:rFonts w:hint="eastAsia"/>
              </w:rPr>
            </w:pPr>
            <w:r>
              <w:t>• Exact migration runbook.</w:t>
            </w:r>
          </w:p>
          <w:p w14:paraId="084CBECE" w14:textId="77777777" w:rsidR="009F7155" w:rsidRDefault="00000000">
            <w:pPr>
              <w:pStyle w:val="CellListBullet"/>
              <w:spacing w:before="120"/>
              <w:rPr>
                <w:rFonts w:hint="eastAsia"/>
              </w:rPr>
            </w:pPr>
            <w:r>
              <w:t>• Full component inventory.</w:t>
            </w:r>
          </w:p>
          <w:p w14:paraId="0340A727" w14:textId="77777777" w:rsidR="009F7155" w:rsidRDefault="00000000">
            <w:pPr>
              <w:pStyle w:val="CellListBullet"/>
              <w:spacing w:before="120"/>
              <w:rPr>
                <w:rFonts w:hint="eastAsia"/>
              </w:rPr>
            </w:pPr>
            <w:r>
              <w:t>• Final SSRS engine hosting design.</w:t>
            </w:r>
          </w:p>
        </w:tc>
        <w:tc>
          <w:tcPr>
            <w:tcW w:w="3974" w:type="dxa"/>
            <w:shd w:val="clear" w:color="auto" w:fill="F8FAFC"/>
          </w:tcPr>
          <w:p w14:paraId="62592D20" w14:textId="77777777" w:rsidR="009F7155" w:rsidRDefault="00000000">
            <w:pPr>
              <w:spacing w:before="120"/>
              <w:rPr>
                <w:rFonts w:hint="eastAsia"/>
              </w:rPr>
            </w:pPr>
            <w:r>
              <w:rPr>
                <w:sz w:val="20"/>
              </w:rPr>
              <w:t>These items still depend on the migration assessment and later planning work.</w:t>
            </w:r>
          </w:p>
        </w:tc>
      </w:tr>
      <w:tr w:rsidR="009F7155" w14:paraId="487A06FC" w14:textId="77777777">
        <w:trPr>
          <w:jc w:val="center"/>
        </w:trPr>
        <w:tc>
          <w:tcPr>
            <w:tcW w:w="1987" w:type="dxa"/>
          </w:tcPr>
          <w:p w14:paraId="3464D450" w14:textId="77777777" w:rsidR="009F7155" w:rsidRDefault="00000000">
            <w:pPr>
              <w:spacing w:before="120"/>
              <w:rPr>
                <w:rFonts w:hint="eastAsia"/>
              </w:rPr>
            </w:pPr>
            <w:r>
              <w:rPr>
                <w:sz w:val="20"/>
              </w:rPr>
              <w:t>Assumptions</w:t>
            </w:r>
          </w:p>
        </w:tc>
        <w:tc>
          <w:tcPr>
            <w:tcW w:w="3974" w:type="dxa"/>
          </w:tcPr>
          <w:p w14:paraId="1B31E35F" w14:textId="77777777" w:rsidR="009F7155" w:rsidRDefault="00000000">
            <w:pPr>
              <w:pStyle w:val="CellListBullet"/>
              <w:spacing w:before="120"/>
              <w:rPr>
                <w:rFonts w:hint="eastAsia"/>
              </w:rPr>
            </w:pPr>
            <w:r>
              <w:t>• The client needs a recommendation now.</w:t>
            </w:r>
          </w:p>
          <w:p w14:paraId="63EC72F9" w14:textId="77777777" w:rsidR="009F7155" w:rsidRDefault="00000000">
            <w:pPr>
              <w:pStyle w:val="CellListBullet"/>
              <w:spacing w:before="120"/>
              <w:rPr>
                <w:rFonts w:hint="eastAsia"/>
              </w:rPr>
            </w:pPr>
            <w:r>
              <w:t>• Detailed validation will come after access and assessment.</w:t>
            </w:r>
          </w:p>
          <w:p w14:paraId="0103B4E5" w14:textId="77777777" w:rsidR="009F7155" w:rsidRDefault="00000000">
            <w:pPr>
              <w:pStyle w:val="CellListBullet"/>
              <w:spacing w:before="120"/>
              <w:rPr>
                <w:rFonts w:hint="eastAsia"/>
              </w:rPr>
            </w:pPr>
            <w:r>
              <w:t>• GEO is the first migration target.</w:t>
            </w:r>
          </w:p>
        </w:tc>
        <w:tc>
          <w:tcPr>
            <w:tcW w:w="3974" w:type="dxa"/>
          </w:tcPr>
          <w:p w14:paraId="063F6107" w14:textId="77777777" w:rsidR="009F7155" w:rsidRDefault="00000000">
            <w:pPr>
              <w:spacing w:before="120"/>
              <w:rPr>
                <w:rFonts w:hint="eastAsia"/>
              </w:rPr>
            </w:pPr>
            <w:r>
              <w:rPr>
                <w:sz w:val="20"/>
              </w:rPr>
              <w:t>The team needs a clear recommendation first, while keeping room for validation before final execution.</w:t>
            </w:r>
          </w:p>
        </w:tc>
      </w:tr>
    </w:tbl>
    <w:p w14:paraId="0C6AD4CA" w14:textId="77777777" w:rsidR="009F7155" w:rsidRDefault="009F7155">
      <w:pPr>
        <w:rPr>
          <w:rFonts w:hint="eastAsia"/>
        </w:rPr>
      </w:pPr>
    </w:p>
    <w:p w14:paraId="7971F86F" w14:textId="77777777" w:rsidR="009F7155" w:rsidRDefault="00000000">
      <w:pPr>
        <w:pStyle w:val="Heading1"/>
        <w:spacing w:before="0" w:after="160"/>
      </w:pPr>
      <w:r>
        <w:rPr>
          <w:rFonts w:ascii="Segoe UI" w:hAnsi="Segoe UI"/>
          <w:color w:val="1E3A5F"/>
          <w:sz w:val="36"/>
        </w:rPr>
        <w:t>4. Decision Reasons</w:t>
      </w:r>
    </w:p>
    <w:p w14:paraId="2454BD3A" w14:textId="77777777" w:rsidR="009F7155" w:rsidRDefault="00000000">
      <w:pPr>
        <w:pStyle w:val="Heading3"/>
      </w:pPr>
      <w:r>
        <w:rPr>
          <w:rFonts w:ascii="Segoe UI" w:hAnsi="Segoe UI"/>
          <w:color w:val="1E3A5F"/>
          <w:sz w:val="24"/>
        </w:rPr>
        <w:t>Main decision</w:t>
      </w:r>
    </w:p>
    <w:p w14:paraId="61EC1A22" w14:textId="77777777" w:rsidR="009F7155" w:rsidRDefault="00000000">
      <w:pPr>
        <w:pStyle w:val="ListBullet"/>
        <w:rPr>
          <w:rFonts w:hint="eastAsia"/>
        </w:rPr>
      </w:pPr>
      <w:r>
        <w:t>Azure SQL Managed Instance was chosen because it best matches the current SQL Server feature set, reduces rewrite risk, and provides a better long-term operating model than the likely alternatives.</w:t>
      </w:r>
    </w:p>
    <w:p w14:paraId="39B36FCE" w14:textId="77777777" w:rsidR="009F7155" w:rsidRDefault="00000000">
      <w:pPr>
        <w:pStyle w:val="ListBullet"/>
        <w:rPr>
          <w:rFonts w:hint="eastAsia"/>
        </w:rPr>
      </w:pPr>
      <w:r>
        <w:t>It is also the most practical balance between compatibility, modernization, and future GEO plus RMA consolidation.</w:t>
      </w:r>
    </w:p>
    <w:p w14:paraId="33D5096E" w14:textId="77777777" w:rsidR="009F7155" w:rsidRDefault="00000000">
      <w:pPr>
        <w:rPr>
          <w:rFonts w:hint="eastAsia"/>
        </w:rPr>
      </w:pPr>
      <w:r>
        <w:br/>
      </w:r>
    </w:p>
    <w:p w14:paraId="0ED78167" w14:textId="77777777" w:rsidR="009F7155" w:rsidRDefault="00000000">
      <w:pPr>
        <w:pStyle w:val="Heading3"/>
      </w:pPr>
      <w:r>
        <w:rPr>
          <w:rFonts w:ascii="Segoe UI" w:hAnsi="Segoe UI"/>
          <w:color w:val="1E3A5F"/>
          <w:sz w:val="24"/>
        </w:rPr>
        <w:t>Why it fits the current architecture or team direction?</w:t>
      </w:r>
    </w:p>
    <w:tbl>
      <w:tblPr>
        <w:tblStyle w:val="TableGrid"/>
        <w:tblW w:w="0" w:type="auto"/>
        <w:jc w:val="center"/>
        <w:tblLayout w:type="fixed"/>
        <w:tblLook w:val="04A0" w:firstRow="1" w:lastRow="0" w:firstColumn="1" w:lastColumn="0" w:noHBand="0" w:noVBand="1"/>
      </w:tblPr>
      <w:tblGrid>
        <w:gridCol w:w="1987"/>
        <w:gridCol w:w="3974"/>
        <w:gridCol w:w="3974"/>
      </w:tblGrid>
      <w:tr w:rsidR="009F7155" w14:paraId="2ECAB8B7" w14:textId="77777777">
        <w:trPr>
          <w:trHeight w:val="600"/>
          <w:jc w:val="center"/>
        </w:trPr>
        <w:tc>
          <w:tcPr>
            <w:tcW w:w="1987" w:type="dxa"/>
            <w:shd w:val="clear" w:color="auto" w:fill="E6F4F8"/>
            <w:vAlign w:val="center"/>
          </w:tcPr>
          <w:p w14:paraId="7C8C07FC" w14:textId="77777777" w:rsidR="009F7155" w:rsidRDefault="00000000">
            <w:pPr>
              <w:spacing w:before="120"/>
              <w:rPr>
                <w:rFonts w:hint="eastAsia"/>
              </w:rPr>
            </w:pPr>
            <w:r>
              <w:rPr>
                <w:b/>
                <w:color w:val="1E3A5F"/>
                <w:sz w:val="20"/>
              </w:rPr>
              <w:t>Category</w:t>
            </w:r>
          </w:p>
        </w:tc>
        <w:tc>
          <w:tcPr>
            <w:tcW w:w="3974" w:type="dxa"/>
            <w:shd w:val="clear" w:color="auto" w:fill="E6F4F8"/>
            <w:vAlign w:val="center"/>
          </w:tcPr>
          <w:p w14:paraId="231B37E6" w14:textId="77777777" w:rsidR="009F7155" w:rsidRDefault="00000000">
            <w:pPr>
              <w:spacing w:before="120"/>
              <w:rPr>
                <w:rFonts w:hint="eastAsia"/>
              </w:rPr>
            </w:pPr>
            <w:r>
              <w:rPr>
                <w:b/>
                <w:color w:val="1E3A5F"/>
                <w:sz w:val="20"/>
              </w:rPr>
              <w:t>Reason</w:t>
            </w:r>
          </w:p>
        </w:tc>
        <w:tc>
          <w:tcPr>
            <w:tcW w:w="3974" w:type="dxa"/>
            <w:shd w:val="clear" w:color="auto" w:fill="E6F4F8"/>
            <w:vAlign w:val="center"/>
          </w:tcPr>
          <w:p w14:paraId="663C3504" w14:textId="77777777" w:rsidR="009F7155" w:rsidRDefault="00000000">
            <w:pPr>
              <w:spacing w:before="120"/>
              <w:rPr>
                <w:rFonts w:hint="eastAsia"/>
              </w:rPr>
            </w:pPr>
            <w:r>
              <w:rPr>
                <w:b/>
                <w:color w:val="1E3A5F"/>
                <w:sz w:val="20"/>
              </w:rPr>
              <w:t>Client-friendly explanation</w:t>
            </w:r>
          </w:p>
        </w:tc>
      </w:tr>
      <w:tr w:rsidR="009F7155" w14:paraId="204D4FB4" w14:textId="77777777">
        <w:trPr>
          <w:jc w:val="center"/>
        </w:trPr>
        <w:tc>
          <w:tcPr>
            <w:tcW w:w="1987" w:type="dxa"/>
          </w:tcPr>
          <w:p w14:paraId="321D0B4A" w14:textId="77777777" w:rsidR="009F7155" w:rsidRDefault="00000000">
            <w:pPr>
              <w:spacing w:before="120"/>
              <w:rPr>
                <w:rFonts w:hint="eastAsia"/>
              </w:rPr>
            </w:pPr>
            <w:r>
              <w:rPr>
                <w:sz w:val="20"/>
              </w:rPr>
              <w:t>SQL compatibility</w:t>
            </w:r>
          </w:p>
        </w:tc>
        <w:tc>
          <w:tcPr>
            <w:tcW w:w="3974" w:type="dxa"/>
          </w:tcPr>
          <w:p w14:paraId="1F46E250" w14:textId="77777777" w:rsidR="009F7155" w:rsidRDefault="00000000">
            <w:pPr>
              <w:spacing w:before="120"/>
              <w:rPr>
                <w:rFonts w:hint="eastAsia"/>
              </w:rPr>
            </w:pPr>
            <w:r>
              <w:rPr>
                <w:sz w:val="20"/>
              </w:rPr>
              <w:t>It supports SQL Agent, linked servers, cross-database queries, and other SQL Server features used in the current environment.</w:t>
            </w:r>
          </w:p>
        </w:tc>
        <w:tc>
          <w:tcPr>
            <w:tcW w:w="3974" w:type="dxa"/>
          </w:tcPr>
          <w:p w14:paraId="7D64D506" w14:textId="77777777" w:rsidR="009F7155" w:rsidRDefault="00000000">
            <w:pPr>
              <w:spacing w:before="120"/>
              <w:rPr>
                <w:rFonts w:hint="eastAsia"/>
              </w:rPr>
            </w:pPr>
            <w:r>
              <w:rPr>
                <w:sz w:val="20"/>
              </w:rPr>
              <w:t>This lowers migration risk and reduces the amount of application or database rewrite work.</w:t>
            </w:r>
          </w:p>
        </w:tc>
      </w:tr>
      <w:tr w:rsidR="009F7155" w14:paraId="4ABA0612" w14:textId="77777777">
        <w:trPr>
          <w:jc w:val="center"/>
        </w:trPr>
        <w:tc>
          <w:tcPr>
            <w:tcW w:w="1987" w:type="dxa"/>
            <w:shd w:val="clear" w:color="auto" w:fill="F8FAFC"/>
          </w:tcPr>
          <w:p w14:paraId="50F75E11" w14:textId="77777777" w:rsidR="009F7155" w:rsidRDefault="00000000">
            <w:pPr>
              <w:spacing w:before="120"/>
              <w:rPr>
                <w:rFonts w:hint="eastAsia"/>
              </w:rPr>
            </w:pPr>
            <w:r>
              <w:rPr>
                <w:sz w:val="20"/>
              </w:rPr>
              <w:t>Reporting support</w:t>
            </w:r>
          </w:p>
        </w:tc>
        <w:tc>
          <w:tcPr>
            <w:tcW w:w="3974" w:type="dxa"/>
            <w:shd w:val="clear" w:color="auto" w:fill="F8FAFC"/>
          </w:tcPr>
          <w:p w14:paraId="3CE09C6D" w14:textId="77777777" w:rsidR="009F7155" w:rsidRDefault="00000000">
            <w:pPr>
              <w:spacing w:before="120"/>
              <w:rPr>
                <w:rFonts w:hint="eastAsia"/>
              </w:rPr>
            </w:pPr>
            <w:r>
              <w:rPr>
                <w:sz w:val="20"/>
              </w:rPr>
              <w:t xml:space="preserve">It can host SSRS catalog databases, which fits the current reporting setup better than </w:t>
            </w:r>
            <w:r>
              <w:rPr>
                <w:sz w:val="20"/>
              </w:rPr>
              <w:lastRenderedPageBreak/>
              <w:t>Azure SQL Database.</w:t>
            </w:r>
          </w:p>
        </w:tc>
        <w:tc>
          <w:tcPr>
            <w:tcW w:w="3974" w:type="dxa"/>
            <w:shd w:val="clear" w:color="auto" w:fill="F8FAFC"/>
          </w:tcPr>
          <w:p w14:paraId="0FDDCACE" w14:textId="77777777" w:rsidR="009F7155" w:rsidRDefault="00000000">
            <w:pPr>
              <w:spacing w:before="120"/>
              <w:rPr>
                <w:rFonts w:hint="eastAsia"/>
              </w:rPr>
            </w:pPr>
            <w:r>
              <w:rPr>
                <w:sz w:val="20"/>
              </w:rPr>
              <w:lastRenderedPageBreak/>
              <w:t xml:space="preserve">The reporting data layer can move with the rest of the SQL workload, even if the </w:t>
            </w:r>
            <w:r>
              <w:rPr>
                <w:sz w:val="20"/>
              </w:rPr>
              <w:lastRenderedPageBreak/>
              <w:t>SSRS engine remains on a VM.</w:t>
            </w:r>
          </w:p>
        </w:tc>
      </w:tr>
      <w:tr w:rsidR="009F7155" w14:paraId="48585676" w14:textId="77777777">
        <w:trPr>
          <w:jc w:val="center"/>
        </w:trPr>
        <w:tc>
          <w:tcPr>
            <w:tcW w:w="1987" w:type="dxa"/>
          </w:tcPr>
          <w:p w14:paraId="5D87B415" w14:textId="77777777" w:rsidR="009F7155" w:rsidRDefault="00000000">
            <w:pPr>
              <w:spacing w:before="120"/>
              <w:rPr>
                <w:rFonts w:hint="eastAsia"/>
              </w:rPr>
            </w:pPr>
            <w:r>
              <w:rPr>
                <w:sz w:val="20"/>
              </w:rPr>
              <w:lastRenderedPageBreak/>
              <w:t>Operating model</w:t>
            </w:r>
          </w:p>
        </w:tc>
        <w:tc>
          <w:tcPr>
            <w:tcW w:w="3974" w:type="dxa"/>
          </w:tcPr>
          <w:p w14:paraId="3A1477C6" w14:textId="77777777" w:rsidR="009F7155" w:rsidRDefault="00000000">
            <w:pPr>
              <w:spacing w:before="120"/>
              <w:rPr>
                <w:rFonts w:hint="eastAsia"/>
              </w:rPr>
            </w:pPr>
            <w:r>
              <w:rPr>
                <w:sz w:val="20"/>
              </w:rPr>
              <w:t>It removes the Windows Server layer and reduces overhead around patching, backups, and built-in high availability.</w:t>
            </w:r>
          </w:p>
        </w:tc>
        <w:tc>
          <w:tcPr>
            <w:tcW w:w="3974" w:type="dxa"/>
          </w:tcPr>
          <w:p w14:paraId="3E43C138" w14:textId="77777777" w:rsidR="009F7155" w:rsidRDefault="00000000">
            <w:pPr>
              <w:spacing w:before="120"/>
              <w:rPr>
                <w:rFonts w:hint="eastAsia"/>
              </w:rPr>
            </w:pPr>
            <w:r>
              <w:rPr>
                <w:sz w:val="20"/>
              </w:rPr>
              <w:t>This simplifies long-term maintenance and reduces the amount of infrastructure the team needs to manage directly.</w:t>
            </w:r>
          </w:p>
        </w:tc>
      </w:tr>
    </w:tbl>
    <w:p w14:paraId="7FF9D3E4" w14:textId="77777777" w:rsidR="009F7155" w:rsidRDefault="00000000">
      <w:pPr>
        <w:rPr>
          <w:rFonts w:hint="eastAsia"/>
        </w:rPr>
      </w:pPr>
      <w:r>
        <w:br/>
      </w:r>
    </w:p>
    <w:p w14:paraId="2E42C8AA" w14:textId="77777777" w:rsidR="009F7155" w:rsidRDefault="00000000">
      <w:pPr>
        <w:pStyle w:val="Heading3"/>
      </w:pPr>
      <w:r>
        <w:rPr>
          <w:rFonts w:ascii="Segoe UI" w:hAnsi="Segoe UI"/>
          <w:color w:val="1E3A5F"/>
          <w:sz w:val="24"/>
        </w:rPr>
        <w:t>Why it is better than the likely alternatives for this case?</w:t>
      </w:r>
    </w:p>
    <w:tbl>
      <w:tblPr>
        <w:tblStyle w:val="TableGrid"/>
        <w:tblW w:w="0" w:type="auto"/>
        <w:jc w:val="center"/>
        <w:tblLayout w:type="fixed"/>
        <w:tblLook w:val="04A0" w:firstRow="1" w:lastRow="0" w:firstColumn="1" w:lastColumn="0" w:noHBand="0" w:noVBand="1"/>
      </w:tblPr>
      <w:tblGrid>
        <w:gridCol w:w="1987"/>
        <w:gridCol w:w="3974"/>
        <w:gridCol w:w="3974"/>
      </w:tblGrid>
      <w:tr w:rsidR="009F7155" w14:paraId="16727684" w14:textId="77777777">
        <w:trPr>
          <w:trHeight w:val="600"/>
          <w:jc w:val="center"/>
        </w:trPr>
        <w:tc>
          <w:tcPr>
            <w:tcW w:w="1987" w:type="dxa"/>
            <w:shd w:val="clear" w:color="auto" w:fill="E6F4F8"/>
            <w:vAlign w:val="center"/>
          </w:tcPr>
          <w:p w14:paraId="5318FEE5" w14:textId="77777777" w:rsidR="009F7155" w:rsidRDefault="00000000">
            <w:pPr>
              <w:spacing w:before="120"/>
              <w:rPr>
                <w:rFonts w:hint="eastAsia"/>
              </w:rPr>
            </w:pPr>
            <w:r>
              <w:rPr>
                <w:b/>
                <w:color w:val="1E3A5F"/>
                <w:sz w:val="20"/>
              </w:rPr>
              <w:t>Summary</w:t>
            </w:r>
          </w:p>
        </w:tc>
        <w:tc>
          <w:tcPr>
            <w:tcW w:w="3974" w:type="dxa"/>
            <w:shd w:val="clear" w:color="auto" w:fill="E6F4F8"/>
            <w:vAlign w:val="center"/>
          </w:tcPr>
          <w:p w14:paraId="00F76891" w14:textId="77777777" w:rsidR="009F7155" w:rsidRDefault="00000000">
            <w:pPr>
              <w:spacing w:before="120"/>
              <w:rPr>
                <w:rFonts w:hint="eastAsia"/>
              </w:rPr>
            </w:pPr>
            <w:r>
              <w:rPr>
                <w:b/>
                <w:color w:val="1E3A5F"/>
                <w:sz w:val="20"/>
              </w:rPr>
              <w:t>Reason</w:t>
            </w:r>
          </w:p>
        </w:tc>
        <w:tc>
          <w:tcPr>
            <w:tcW w:w="3974" w:type="dxa"/>
            <w:shd w:val="clear" w:color="auto" w:fill="E6F4F8"/>
            <w:vAlign w:val="center"/>
          </w:tcPr>
          <w:p w14:paraId="2E734031" w14:textId="77777777" w:rsidR="009F7155" w:rsidRDefault="00000000">
            <w:pPr>
              <w:spacing w:before="120"/>
              <w:rPr>
                <w:rFonts w:hint="eastAsia"/>
              </w:rPr>
            </w:pPr>
            <w:r>
              <w:rPr>
                <w:b/>
                <w:color w:val="1E3A5F"/>
                <w:sz w:val="20"/>
              </w:rPr>
              <w:t>Client-friendly explanation</w:t>
            </w:r>
          </w:p>
        </w:tc>
      </w:tr>
      <w:tr w:rsidR="009F7155" w14:paraId="4F1367E9" w14:textId="77777777">
        <w:trPr>
          <w:jc w:val="center"/>
        </w:trPr>
        <w:tc>
          <w:tcPr>
            <w:tcW w:w="1987" w:type="dxa"/>
          </w:tcPr>
          <w:p w14:paraId="40395558" w14:textId="77777777" w:rsidR="009F7155" w:rsidRDefault="00000000">
            <w:pPr>
              <w:spacing w:before="120"/>
              <w:rPr>
                <w:rFonts w:hint="eastAsia"/>
              </w:rPr>
            </w:pPr>
            <w:r>
              <w:rPr>
                <w:sz w:val="20"/>
              </w:rPr>
              <w:t>Better than Azure SQL DB</w:t>
            </w:r>
          </w:p>
        </w:tc>
        <w:tc>
          <w:tcPr>
            <w:tcW w:w="3974" w:type="dxa"/>
          </w:tcPr>
          <w:p w14:paraId="728BF9AE" w14:textId="77777777" w:rsidR="009F7155" w:rsidRDefault="00000000">
            <w:pPr>
              <w:spacing w:before="120"/>
              <w:rPr>
                <w:rFonts w:hint="eastAsia"/>
              </w:rPr>
            </w:pPr>
            <w:r>
              <w:rPr>
                <w:sz w:val="20"/>
              </w:rPr>
              <w:t>Azure SQL Database would likely require more rewrite work and has a known SSRS catalog limitation.</w:t>
            </w:r>
          </w:p>
        </w:tc>
        <w:tc>
          <w:tcPr>
            <w:tcW w:w="3974" w:type="dxa"/>
          </w:tcPr>
          <w:p w14:paraId="7EF66F29" w14:textId="77777777" w:rsidR="009F7155" w:rsidRDefault="00000000">
            <w:pPr>
              <w:spacing w:before="120"/>
              <w:rPr>
                <w:rFonts w:hint="eastAsia"/>
              </w:rPr>
            </w:pPr>
            <w:r>
              <w:rPr>
                <w:sz w:val="20"/>
              </w:rPr>
              <w:t>It is less suitable for the current workload because it creates more migration risk and feature gaps.</w:t>
            </w:r>
          </w:p>
        </w:tc>
      </w:tr>
      <w:tr w:rsidR="009F7155" w14:paraId="57C2029B" w14:textId="77777777">
        <w:trPr>
          <w:jc w:val="center"/>
        </w:trPr>
        <w:tc>
          <w:tcPr>
            <w:tcW w:w="1987" w:type="dxa"/>
            <w:shd w:val="clear" w:color="auto" w:fill="F8FAFC"/>
          </w:tcPr>
          <w:p w14:paraId="368644C4" w14:textId="77777777" w:rsidR="009F7155" w:rsidRDefault="00000000">
            <w:pPr>
              <w:spacing w:before="120"/>
              <w:rPr>
                <w:rFonts w:hint="eastAsia"/>
              </w:rPr>
            </w:pPr>
            <w:r>
              <w:rPr>
                <w:sz w:val="20"/>
              </w:rPr>
              <w:t>Better than staying on VM</w:t>
            </w:r>
          </w:p>
        </w:tc>
        <w:tc>
          <w:tcPr>
            <w:tcW w:w="3974" w:type="dxa"/>
            <w:shd w:val="clear" w:color="auto" w:fill="F8FAFC"/>
          </w:tcPr>
          <w:p w14:paraId="5808D4FD" w14:textId="77777777" w:rsidR="009F7155" w:rsidRDefault="00000000">
            <w:pPr>
              <w:spacing w:before="120"/>
              <w:rPr>
                <w:rFonts w:hint="eastAsia"/>
              </w:rPr>
            </w:pPr>
            <w:r>
              <w:rPr>
                <w:sz w:val="20"/>
              </w:rPr>
              <w:t>Managed Instance modernizes the main database workload while avoiding the larger Windows and SQL Server VM management burden.</w:t>
            </w:r>
          </w:p>
        </w:tc>
        <w:tc>
          <w:tcPr>
            <w:tcW w:w="3974" w:type="dxa"/>
            <w:shd w:val="clear" w:color="auto" w:fill="F8FAFC"/>
          </w:tcPr>
          <w:p w14:paraId="65DFDA2E" w14:textId="77777777" w:rsidR="009F7155" w:rsidRDefault="00000000">
            <w:pPr>
              <w:spacing w:before="120"/>
              <w:rPr>
                <w:rFonts w:hint="eastAsia"/>
              </w:rPr>
            </w:pPr>
            <w:r>
              <w:rPr>
                <w:sz w:val="20"/>
              </w:rPr>
              <w:t>The heavier SQL workload moves to a managed platform, while only a smaller and simpler reporting VM remains.</w:t>
            </w:r>
          </w:p>
        </w:tc>
      </w:tr>
      <w:tr w:rsidR="009F7155" w14:paraId="1AFD2CD1" w14:textId="77777777">
        <w:trPr>
          <w:jc w:val="center"/>
        </w:trPr>
        <w:tc>
          <w:tcPr>
            <w:tcW w:w="1987" w:type="dxa"/>
          </w:tcPr>
          <w:p w14:paraId="48EAE3BA" w14:textId="77777777" w:rsidR="009F7155" w:rsidRDefault="00000000">
            <w:pPr>
              <w:spacing w:before="120"/>
              <w:rPr>
                <w:rFonts w:hint="eastAsia"/>
              </w:rPr>
            </w:pPr>
            <w:r>
              <w:rPr>
                <w:sz w:val="20"/>
              </w:rPr>
              <w:t>Better for long-term path</w:t>
            </w:r>
          </w:p>
        </w:tc>
        <w:tc>
          <w:tcPr>
            <w:tcW w:w="3974" w:type="dxa"/>
          </w:tcPr>
          <w:p w14:paraId="762F343A" w14:textId="77777777" w:rsidR="009F7155" w:rsidRDefault="00000000">
            <w:pPr>
              <w:spacing w:before="120"/>
              <w:rPr>
                <w:rFonts w:hint="eastAsia"/>
              </w:rPr>
            </w:pPr>
            <w:r>
              <w:rPr>
                <w:sz w:val="20"/>
              </w:rPr>
              <w:t>It supports GEO migration now while leaving room for a later RMA move into the same managed environment.</w:t>
            </w:r>
          </w:p>
        </w:tc>
        <w:tc>
          <w:tcPr>
            <w:tcW w:w="3974" w:type="dxa"/>
          </w:tcPr>
          <w:p w14:paraId="0BF39739" w14:textId="77777777" w:rsidR="009F7155" w:rsidRDefault="00000000">
            <w:pPr>
              <w:spacing w:before="120"/>
              <w:rPr>
                <w:rFonts w:hint="eastAsia"/>
              </w:rPr>
            </w:pPr>
            <w:r>
              <w:rPr>
                <w:sz w:val="20"/>
              </w:rPr>
              <w:t>This creates a cleaner long-term consolidation path without forcing all migration work into one phase.</w:t>
            </w:r>
          </w:p>
        </w:tc>
      </w:tr>
    </w:tbl>
    <w:p w14:paraId="7DAD0FDC" w14:textId="77777777" w:rsidR="009F7155" w:rsidRDefault="009F7155">
      <w:pPr>
        <w:rPr>
          <w:rFonts w:hint="eastAsia"/>
        </w:rPr>
      </w:pPr>
    </w:p>
    <w:p w14:paraId="73466521" w14:textId="77777777" w:rsidR="009F7155" w:rsidRDefault="00000000">
      <w:pPr>
        <w:pStyle w:val="Heading1"/>
        <w:spacing w:before="0" w:after="160"/>
      </w:pPr>
      <w:r>
        <w:rPr>
          <w:rFonts w:ascii="Segoe UI" w:hAnsi="Segoe UI"/>
          <w:color w:val="1E3A5F"/>
          <w:sz w:val="36"/>
        </w:rPr>
        <w:t>5. Options Considered</w:t>
      </w:r>
    </w:p>
    <w:tbl>
      <w:tblPr>
        <w:tblStyle w:val="TableGrid"/>
        <w:tblW w:w="0" w:type="auto"/>
        <w:jc w:val="center"/>
        <w:tblLayout w:type="fixed"/>
        <w:tblLook w:val="04A0" w:firstRow="1" w:lastRow="0" w:firstColumn="1" w:lastColumn="0" w:noHBand="0" w:noVBand="1"/>
      </w:tblPr>
      <w:tblGrid>
        <w:gridCol w:w="2484"/>
        <w:gridCol w:w="2484"/>
        <w:gridCol w:w="2484"/>
        <w:gridCol w:w="2484"/>
      </w:tblGrid>
      <w:tr w:rsidR="009F7155" w14:paraId="143A2A73" w14:textId="77777777">
        <w:trPr>
          <w:trHeight w:val="600"/>
          <w:jc w:val="center"/>
        </w:trPr>
        <w:tc>
          <w:tcPr>
            <w:tcW w:w="2484" w:type="dxa"/>
            <w:shd w:val="clear" w:color="auto" w:fill="E6F4F8"/>
            <w:vAlign w:val="center"/>
          </w:tcPr>
          <w:p w14:paraId="6EA286B7" w14:textId="77777777" w:rsidR="009F7155" w:rsidRDefault="00000000">
            <w:pPr>
              <w:spacing w:before="120"/>
              <w:rPr>
                <w:rFonts w:hint="eastAsia"/>
              </w:rPr>
            </w:pPr>
            <w:r>
              <w:rPr>
                <w:b/>
                <w:color w:val="1E3A5F"/>
                <w:sz w:val="20"/>
              </w:rPr>
              <w:t>Option</w:t>
            </w:r>
          </w:p>
        </w:tc>
        <w:tc>
          <w:tcPr>
            <w:tcW w:w="2484" w:type="dxa"/>
            <w:shd w:val="clear" w:color="auto" w:fill="E6F4F8"/>
            <w:vAlign w:val="center"/>
          </w:tcPr>
          <w:p w14:paraId="6C1711B0" w14:textId="77777777" w:rsidR="009F7155" w:rsidRDefault="00000000">
            <w:pPr>
              <w:spacing w:before="120"/>
              <w:rPr>
                <w:rFonts w:hint="eastAsia"/>
              </w:rPr>
            </w:pPr>
            <w:r>
              <w:rPr>
                <w:b/>
                <w:color w:val="1E3A5F"/>
                <w:sz w:val="20"/>
              </w:rPr>
              <w:t>Benefits</w:t>
            </w:r>
          </w:p>
        </w:tc>
        <w:tc>
          <w:tcPr>
            <w:tcW w:w="2484" w:type="dxa"/>
            <w:shd w:val="clear" w:color="auto" w:fill="E6F4F8"/>
            <w:vAlign w:val="center"/>
          </w:tcPr>
          <w:p w14:paraId="4C0E8CD7" w14:textId="77777777" w:rsidR="009F7155" w:rsidRDefault="00000000">
            <w:pPr>
              <w:spacing w:before="120"/>
              <w:rPr>
                <w:rFonts w:hint="eastAsia"/>
              </w:rPr>
            </w:pPr>
            <w:r>
              <w:rPr>
                <w:b/>
                <w:color w:val="1E3A5F"/>
                <w:sz w:val="20"/>
              </w:rPr>
              <w:t>Tradeoffs</w:t>
            </w:r>
          </w:p>
        </w:tc>
        <w:tc>
          <w:tcPr>
            <w:tcW w:w="2484" w:type="dxa"/>
            <w:shd w:val="clear" w:color="auto" w:fill="E6F4F8"/>
            <w:vAlign w:val="center"/>
          </w:tcPr>
          <w:p w14:paraId="653DF057" w14:textId="77777777" w:rsidR="009F7155" w:rsidRDefault="00000000">
            <w:pPr>
              <w:spacing w:before="120"/>
              <w:rPr>
                <w:rFonts w:hint="eastAsia"/>
              </w:rPr>
            </w:pPr>
            <w:r>
              <w:rPr>
                <w:b/>
                <w:color w:val="1E3A5F"/>
                <w:sz w:val="20"/>
              </w:rPr>
              <w:t>Client-friendly explanation</w:t>
            </w:r>
          </w:p>
        </w:tc>
      </w:tr>
      <w:tr w:rsidR="009F7155" w14:paraId="26868BF4" w14:textId="77777777">
        <w:trPr>
          <w:jc w:val="center"/>
        </w:trPr>
        <w:tc>
          <w:tcPr>
            <w:tcW w:w="2484" w:type="dxa"/>
          </w:tcPr>
          <w:p w14:paraId="167B4663" w14:textId="77777777" w:rsidR="009F7155" w:rsidRDefault="00000000">
            <w:pPr>
              <w:spacing w:before="120"/>
              <w:rPr>
                <w:rFonts w:hint="eastAsia"/>
              </w:rPr>
            </w:pPr>
            <w:r>
              <w:rPr>
                <w:sz w:val="20"/>
              </w:rPr>
              <w:t>Option 1 — Azure SQL Managed Instance</w:t>
            </w:r>
          </w:p>
        </w:tc>
        <w:tc>
          <w:tcPr>
            <w:tcW w:w="2484" w:type="dxa"/>
          </w:tcPr>
          <w:p w14:paraId="1247F7D1" w14:textId="77777777" w:rsidR="009F7155" w:rsidRDefault="00000000">
            <w:pPr>
              <w:pStyle w:val="CellListBullet"/>
              <w:spacing w:before="120"/>
              <w:rPr>
                <w:rFonts w:hint="eastAsia"/>
              </w:rPr>
            </w:pPr>
            <w:r>
              <w:t>• High SQL Server compatibility.</w:t>
            </w:r>
          </w:p>
          <w:p w14:paraId="6DFADB13" w14:textId="77777777" w:rsidR="009F7155" w:rsidRDefault="00000000">
            <w:pPr>
              <w:pStyle w:val="CellListBullet"/>
              <w:spacing w:before="120"/>
              <w:rPr>
                <w:rFonts w:hint="eastAsia"/>
              </w:rPr>
            </w:pPr>
            <w:r>
              <w:t>• Supports SQL Agent, linked servers, and cross-database queries.</w:t>
            </w:r>
          </w:p>
          <w:p w14:paraId="4BB3530D" w14:textId="77777777" w:rsidR="009F7155" w:rsidRDefault="00000000">
            <w:pPr>
              <w:pStyle w:val="CellListBullet"/>
              <w:spacing w:before="120"/>
              <w:rPr>
                <w:rFonts w:hint="eastAsia"/>
              </w:rPr>
            </w:pPr>
            <w:r>
              <w:t>• Supports SSRS catalog databases.</w:t>
            </w:r>
          </w:p>
          <w:p w14:paraId="3985E9F9" w14:textId="77777777" w:rsidR="009F7155" w:rsidRDefault="00000000">
            <w:pPr>
              <w:pStyle w:val="CellListBullet"/>
              <w:spacing w:before="120"/>
              <w:rPr>
                <w:rFonts w:hint="eastAsia"/>
              </w:rPr>
            </w:pPr>
            <w:r>
              <w:t>• Reduces Windows Server overhead.</w:t>
            </w:r>
          </w:p>
          <w:p w14:paraId="616DBD89" w14:textId="77777777" w:rsidR="009F7155" w:rsidRDefault="00000000">
            <w:pPr>
              <w:pStyle w:val="CellListBullet"/>
              <w:spacing w:before="120"/>
              <w:rPr>
                <w:rFonts w:hint="eastAsia"/>
              </w:rPr>
            </w:pPr>
            <w:r>
              <w:t>• Includes high availability and backups.</w:t>
            </w:r>
          </w:p>
          <w:p w14:paraId="4A0D26EE" w14:textId="77777777" w:rsidR="009F7155" w:rsidRDefault="00000000">
            <w:pPr>
              <w:pStyle w:val="CellListBullet"/>
              <w:spacing w:before="120"/>
              <w:rPr>
                <w:rFonts w:hint="eastAsia"/>
              </w:rPr>
            </w:pPr>
            <w:r>
              <w:t>• Supports GEO-first migration and possible later RMA migration.</w:t>
            </w:r>
          </w:p>
        </w:tc>
        <w:tc>
          <w:tcPr>
            <w:tcW w:w="2484" w:type="dxa"/>
          </w:tcPr>
          <w:p w14:paraId="759B6375" w14:textId="77777777" w:rsidR="009F7155" w:rsidRDefault="00000000">
            <w:pPr>
              <w:pStyle w:val="CellListBullet"/>
              <w:spacing w:before="120"/>
              <w:rPr>
                <w:rFonts w:hint="eastAsia"/>
              </w:rPr>
            </w:pPr>
            <w:r>
              <w:t>• Still needs assessment before cost and sizing are trusted.</w:t>
            </w:r>
          </w:p>
          <w:p w14:paraId="65436807" w14:textId="77777777" w:rsidR="009F7155" w:rsidRDefault="00000000">
            <w:pPr>
              <w:pStyle w:val="CellListBullet"/>
              <w:spacing w:before="120"/>
              <w:rPr>
                <w:rFonts w:hint="eastAsia"/>
              </w:rPr>
            </w:pPr>
            <w:r>
              <w:t>• Some file-based procedures must be refactored.</w:t>
            </w:r>
          </w:p>
          <w:p w14:paraId="65FABD5E" w14:textId="77777777" w:rsidR="009F7155" w:rsidRDefault="00000000">
            <w:pPr>
              <w:pStyle w:val="CellListBullet"/>
              <w:spacing w:before="120"/>
              <w:rPr>
                <w:rFonts w:hint="eastAsia"/>
              </w:rPr>
            </w:pPr>
            <w:r>
              <w:t>• SSRS engine still needs separate hosting, typically on a Windows VM.</w:t>
            </w:r>
          </w:p>
        </w:tc>
        <w:tc>
          <w:tcPr>
            <w:tcW w:w="2484" w:type="dxa"/>
          </w:tcPr>
          <w:p w14:paraId="5F3F9D68" w14:textId="77777777" w:rsidR="009F7155" w:rsidRDefault="00000000">
            <w:pPr>
              <w:spacing w:before="120"/>
              <w:rPr>
                <w:rFonts w:hint="eastAsia"/>
              </w:rPr>
            </w:pPr>
            <w:r>
              <w:rPr>
                <w:sz w:val="20"/>
              </w:rPr>
              <w:t>This is the best fit for the current system because it keeps strong SQL Server compatibility while improving the long-term operating model.</w:t>
            </w:r>
          </w:p>
        </w:tc>
      </w:tr>
      <w:tr w:rsidR="009F7155" w14:paraId="5C496042" w14:textId="77777777">
        <w:trPr>
          <w:jc w:val="center"/>
        </w:trPr>
        <w:tc>
          <w:tcPr>
            <w:tcW w:w="2484" w:type="dxa"/>
            <w:shd w:val="clear" w:color="auto" w:fill="F8FAFC"/>
          </w:tcPr>
          <w:p w14:paraId="12B3DC12" w14:textId="77777777" w:rsidR="009F7155" w:rsidRDefault="00000000">
            <w:pPr>
              <w:spacing w:before="120"/>
              <w:rPr>
                <w:rFonts w:hint="eastAsia"/>
              </w:rPr>
            </w:pPr>
            <w:r>
              <w:rPr>
                <w:sz w:val="20"/>
              </w:rPr>
              <w:t xml:space="preserve">Option 2 — Azure SQL </w:t>
            </w:r>
            <w:r>
              <w:rPr>
                <w:sz w:val="20"/>
              </w:rPr>
              <w:lastRenderedPageBreak/>
              <w:t>Database</w:t>
            </w:r>
          </w:p>
        </w:tc>
        <w:tc>
          <w:tcPr>
            <w:tcW w:w="2484" w:type="dxa"/>
            <w:shd w:val="clear" w:color="auto" w:fill="F8FAFC"/>
          </w:tcPr>
          <w:p w14:paraId="190E5C82" w14:textId="77777777" w:rsidR="009F7155" w:rsidRDefault="00000000">
            <w:pPr>
              <w:pStyle w:val="CellListBullet"/>
              <w:spacing w:before="120"/>
              <w:rPr>
                <w:rFonts w:hint="eastAsia"/>
              </w:rPr>
            </w:pPr>
            <w:r>
              <w:lastRenderedPageBreak/>
              <w:t xml:space="preserve">• Managed PaaS </w:t>
            </w:r>
            <w:r>
              <w:lastRenderedPageBreak/>
              <w:t>database service.</w:t>
            </w:r>
          </w:p>
          <w:p w14:paraId="56FFA305" w14:textId="77777777" w:rsidR="009F7155" w:rsidRDefault="00000000">
            <w:pPr>
              <w:pStyle w:val="CellListBullet"/>
              <w:spacing w:before="120"/>
              <w:rPr>
                <w:rFonts w:hint="eastAsia"/>
              </w:rPr>
            </w:pPr>
            <w:r>
              <w:t>• Less infrastructure to manage than a VM.</w:t>
            </w:r>
          </w:p>
        </w:tc>
        <w:tc>
          <w:tcPr>
            <w:tcW w:w="2484" w:type="dxa"/>
            <w:shd w:val="clear" w:color="auto" w:fill="F8FAFC"/>
          </w:tcPr>
          <w:p w14:paraId="281DCEB6" w14:textId="77777777" w:rsidR="009F7155" w:rsidRDefault="00000000">
            <w:pPr>
              <w:pStyle w:val="CellListBullet"/>
              <w:spacing w:before="120"/>
              <w:rPr>
                <w:rFonts w:hint="eastAsia"/>
              </w:rPr>
            </w:pPr>
            <w:r>
              <w:lastRenderedPageBreak/>
              <w:t xml:space="preserve">• Lower SQL Server </w:t>
            </w:r>
            <w:r>
              <w:lastRenderedPageBreak/>
              <w:t>compatibility.</w:t>
            </w:r>
          </w:p>
          <w:p w14:paraId="1A8FD211" w14:textId="77777777" w:rsidR="009F7155" w:rsidRDefault="00000000">
            <w:pPr>
              <w:pStyle w:val="CellListBullet"/>
              <w:spacing w:before="120"/>
              <w:rPr>
                <w:rFonts w:hint="eastAsia"/>
              </w:rPr>
            </w:pPr>
            <w:r>
              <w:t>• Cannot host SSRS catalog databases.</w:t>
            </w:r>
          </w:p>
          <w:p w14:paraId="1A7AA7A0" w14:textId="77777777" w:rsidR="009F7155" w:rsidRDefault="00000000">
            <w:pPr>
              <w:pStyle w:val="CellListBullet"/>
              <w:spacing w:before="120"/>
              <w:rPr>
                <w:rFonts w:hint="eastAsia"/>
              </w:rPr>
            </w:pPr>
            <w:r>
              <w:t>• Likely needs more rewrite work.</w:t>
            </w:r>
          </w:p>
        </w:tc>
        <w:tc>
          <w:tcPr>
            <w:tcW w:w="2484" w:type="dxa"/>
            <w:shd w:val="clear" w:color="auto" w:fill="F8FAFC"/>
          </w:tcPr>
          <w:p w14:paraId="6E7D699B" w14:textId="77777777" w:rsidR="009F7155" w:rsidRDefault="00000000">
            <w:pPr>
              <w:spacing w:before="120"/>
              <w:rPr>
                <w:rFonts w:hint="eastAsia"/>
              </w:rPr>
            </w:pPr>
            <w:r>
              <w:rPr>
                <w:sz w:val="20"/>
              </w:rPr>
              <w:lastRenderedPageBreak/>
              <w:t xml:space="preserve">This is simpler as a pure </w:t>
            </w:r>
            <w:r>
              <w:rPr>
                <w:sz w:val="20"/>
              </w:rPr>
              <w:lastRenderedPageBreak/>
              <w:t>platform service, but it creates more migration risk for the current system.</w:t>
            </w:r>
          </w:p>
        </w:tc>
      </w:tr>
      <w:tr w:rsidR="009F7155" w14:paraId="310204B7" w14:textId="77777777">
        <w:trPr>
          <w:jc w:val="center"/>
        </w:trPr>
        <w:tc>
          <w:tcPr>
            <w:tcW w:w="2484" w:type="dxa"/>
          </w:tcPr>
          <w:p w14:paraId="05FEB50C" w14:textId="77777777" w:rsidR="009F7155" w:rsidRDefault="00000000">
            <w:pPr>
              <w:spacing w:before="120"/>
              <w:rPr>
                <w:rFonts w:hint="eastAsia"/>
              </w:rPr>
            </w:pPr>
            <w:r>
              <w:rPr>
                <w:sz w:val="20"/>
              </w:rPr>
              <w:lastRenderedPageBreak/>
              <w:t>Option 3 — New SQL Server on VM</w:t>
            </w:r>
          </w:p>
        </w:tc>
        <w:tc>
          <w:tcPr>
            <w:tcW w:w="2484" w:type="dxa"/>
          </w:tcPr>
          <w:p w14:paraId="17744482" w14:textId="77777777" w:rsidR="009F7155" w:rsidRDefault="00000000">
            <w:pPr>
              <w:pStyle w:val="CellListBullet"/>
              <w:spacing w:before="120"/>
              <w:rPr>
                <w:rFonts w:hint="eastAsia"/>
              </w:rPr>
            </w:pPr>
            <w:r>
              <w:t>• High short-term compatibility.</w:t>
            </w:r>
          </w:p>
          <w:p w14:paraId="6274FD13" w14:textId="77777777" w:rsidR="009F7155" w:rsidRDefault="00000000">
            <w:pPr>
              <w:pStyle w:val="CellListBullet"/>
              <w:spacing w:before="120"/>
              <w:rPr>
                <w:rFonts w:hint="eastAsia"/>
              </w:rPr>
            </w:pPr>
            <w:r>
              <w:t>• Easier lift-and-shift path.</w:t>
            </w:r>
          </w:p>
        </w:tc>
        <w:tc>
          <w:tcPr>
            <w:tcW w:w="2484" w:type="dxa"/>
          </w:tcPr>
          <w:p w14:paraId="3D1DB78A" w14:textId="77777777" w:rsidR="009F7155" w:rsidRDefault="00000000">
            <w:pPr>
              <w:pStyle w:val="CellListBullet"/>
              <w:spacing w:before="120"/>
              <w:rPr>
                <w:rFonts w:hint="eastAsia"/>
              </w:rPr>
            </w:pPr>
            <w:r>
              <w:t>• Keeps Windows Server overhead.</w:t>
            </w:r>
          </w:p>
          <w:p w14:paraId="381709B7" w14:textId="77777777" w:rsidR="009F7155" w:rsidRDefault="00000000">
            <w:pPr>
              <w:pStyle w:val="CellListBullet"/>
              <w:spacing w:before="120"/>
              <w:rPr>
                <w:rFonts w:hint="eastAsia"/>
              </w:rPr>
            </w:pPr>
            <w:r>
              <w:t>• Keeps more maintenance burden.</w:t>
            </w:r>
          </w:p>
          <w:p w14:paraId="66DC907D" w14:textId="77777777" w:rsidR="009F7155" w:rsidRDefault="00000000">
            <w:pPr>
              <w:pStyle w:val="CellListBullet"/>
              <w:spacing w:before="120"/>
              <w:rPr>
                <w:rFonts w:hint="eastAsia"/>
              </w:rPr>
            </w:pPr>
            <w:r>
              <w:t>• Gives less modernization benefit.</w:t>
            </w:r>
          </w:p>
        </w:tc>
        <w:tc>
          <w:tcPr>
            <w:tcW w:w="2484" w:type="dxa"/>
          </w:tcPr>
          <w:p w14:paraId="369FF18A" w14:textId="77777777" w:rsidR="009F7155" w:rsidRDefault="00000000">
            <w:pPr>
              <w:spacing w:before="120"/>
              <w:rPr>
                <w:rFonts w:hint="eastAsia"/>
              </w:rPr>
            </w:pPr>
            <w:r>
              <w:rPr>
                <w:sz w:val="20"/>
              </w:rPr>
              <w:t>This is safer short term, but weaker as a long-term platform choice.</w:t>
            </w:r>
          </w:p>
        </w:tc>
      </w:tr>
    </w:tbl>
    <w:p w14:paraId="357BA232" w14:textId="77777777" w:rsidR="009F7155" w:rsidRDefault="009F7155">
      <w:pPr>
        <w:rPr>
          <w:rFonts w:hint="eastAsia"/>
        </w:rPr>
      </w:pPr>
    </w:p>
    <w:p w14:paraId="630A171A" w14:textId="77777777" w:rsidR="009F7155" w:rsidRDefault="00000000">
      <w:pPr>
        <w:pStyle w:val="Heading1"/>
        <w:spacing w:before="0" w:after="160"/>
      </w:pPr>
      <w:r>
        <w:rPr>
          <w:rFonts w:ascii="Segoe UI" w:hAnsi="Segoe UI"/>
          <w:color w:val="1E3A5F"/>
          <w:sz w:val="36"/>
        </w:rPr>
        <w:t>6. Change Impact</w:t>
      </w:r>
    </w:p>
    <w:tbl>
      <w:tblPr>
        <w:tblStyle w:val="TableGrid"/>
        <w:tblW w:w="0" w:type="auto"/>
        <w:jc w:val="center"/>
        <w:tblLayout w:type="fixed"/>
        <w:tblLook w:val="04A0" w:firstRow="1" w:lastRow="0" w:firstColumn="1" w:lastColumn="0" w:noHBand="0" w:noVBand="1"/>
      </w:tblPr>
      <w:tblGrid>
        <w:gridCol w:w="3378"/>
        <w:gridCol w:w="6558"/>
      </w:tblGrid>
      <w:tr w:rsidR="009F7155" w14:paraId="5F3F84D3" w14:textId="77777777">
        <w:trPr>
          <w:trHeight w:val="600"/>
          <w:jc w:val="center"/>
        </w:trPr>
        <w:tc>
          <w:tcPr>
            <w:tcW w:w="3378" w:type="dxa"/>
            <w:shd w:val="clear" w:color="auto" w:fill="E6F4F8"/>
            <w:vAlign w:val="center"/>
          </w:tcPr>
          <w:p w14:paraId="15253077" w14:textId="77777777" w:rsidR="009F7155" w:rsidRDefault="00000000">
            <w:pPr>
              <w:spacing w:before="120"/>
              <w:rPr>
                <w:rFonts w:hint="eastAsia"/>
              </w:rPr>
            </w:pPr>
            <w:r>
              <w:rPr>
                <w:b/>
                <w:color w:val="1E3A5F"/>
                <w:sz w:val="20"/>
              </w:rPr>
              <w:t>Area</w:t>
            </w:r>
          </w:p>
        </w:tc>
        <w:tc>
          <w:tcPr>
            <w:tcW w:w="6558" w:type="dxa"/>
            <w:shd w:val="clear" w:color="auto" w:fill="E6F4F8"/>
            <w:vAlign w:val="center"/>
          </w:tcPr>
          <w:p w14:paraId="4EC10DE9" w14:textId="77777777" w:rsidR="009F7155" w:rsidRDefault="00000000">
            <w:pPr>
              <w:spacing w:before="120"/>
              <w:rPr>
                <w:rFonts w:hint="eastAsia"/>
              </w:rPr>
            </w:pPr>
            <w:r>
              <w:rPr>
                <w:b/>
                <w:color w:val="1E3A5F"/>
                <w:sz w:val="20"/>
              </w:rPr>
              <w:t>Impact</w:t>
            </w:r>
          </w:p>
        </w:tc>
      </w:tr>
      <w:tr w:rsidR="009F7155" w14:paraId="05B91719" w14:textId="77777777">
        <w:trPr>
          <w:jc w:val="center"/>
        </w:trPr>
        <w:tc>
          <w:tcPr>
            <w:tcW w:w="3378" w:type="dxa"/>
          </w:tcPr>
          <w:p w14:paraId="22D7830C" w14:textId="77777777" w:rsidR="009F7155" w:rsidRDefault="00000000">
            <w:pPr>
              <w:spacing w:before="120"/>
              <w:rPr>
                <w:rFonts w:hint="eastAsia"/>
              </w:rPr>
            </w:pPr>
            <w:r>
              <w:rPr>
                <w:sz w:val="20"/>
              </w:rPr>
              <w:t>Code impact</w:t>
            </w:r>
          </w:p>
        </w:tc>
        <w:tc>
          <w:tcPr>
            <w:tcW w:w="6558" w:type="dxa"/>
          </w:tcPr>
          <w:p w14:paraId="40CB2885" w14:textId="77777777" w:rsidR="009F7155" w:rsidRDefault="00000000">
            <w:pPr>
              <w:pStyle w:val="CellListBullet"/>
              <w:spacing w:before="120"/>
              <w:rPr>
                <w:rFonts w:hint="eastAsia"/>
              </w:rPr>
            </w:pPr>
            <w:r>
              <w:t>• Procedures that read or write files on local Windows disk must be refactored.</w:t>
            </w:r>
          </w:p>
          <w:p w14:paraId="4CDE42E5" w14:textId="77777777" w:rsidR="009F7155" w:rsidRDefault="00000000">
            <w:pPr>
              <w:pStyle w:val="CellListBullet"/>
              <w:spacing w:before="120"/>
              <w:rPr>
                <w:rFonts w:hint="eastAsia"/>
              </w:rPr>
            </w:pPr>
            <w:r>
              <w:t>• The cleanest approach is to move file handling into the app layer.</w:t>
            </w:r>
          </w:p>
        </w:tc>
      </w:tr>
      <w:tr w:rsidR="009F7155" w14:paraId="5912894C" w14:textId="77777777">
        <w:trPr>
          <w:jc w:val="center"/>
        </w:trPr>
        <w:tc>
          <w:tcPr>
            <w:tcW w:w="3378" w:type="dxa"/>
            <w:shd w:val="clear" w:color="auto" w:fill="F8FAFC"/>
          </w:tcPr>
          <w:p w14:paraId="28B7CDA2" w14:textId="77777777" w:rsidR="009F7155" w:rsidRDefault="00000000">
            <w:pPr>
              <w:spacing w:before="120"/>
              <w:rPr>
                <w:rFonts w:hint="eastAsia"/>
              </w:rPr>
            </w:pPr>
            <w:r>
              <w:rPr>
                <w:sz w:val="20"/>
              </w:rPr>
              <w:t>Data / schema impact</w:t>
            </w:r>
          </w:p>
        </w:tc>
        <w:tc>
          <w:tcPr>
            <w:tcW w:w="6558" w:type="dxa"/>
            <w:shd w:val="clear" w:color="auto" w:fill="F8FAFC"/>
          </w:tcPr>
          <w:p w14:paraId="2E58987E" w14:textId="77777777" w:rsidR="009F7155" w:rsidRDefault="00000000">
            <w:pPr>
              <w:pStyle w:val="CellListBullet"/>
              <w:spacing w:before="120"/>
              <w:rPr>
                <w:rFonts w:hint="eastAsia"/>
              </w:rPr>
            </w:pPr>
            <w:r>
              <w:t>• GEO database moves first.</w:t>
            </w:r>
          </w:p>
          <w:p w14:paraId="17DEEF0B" w14:textId="77777777" w:rsidR="009F7155" w:rsidRDefault="00000000">
            <w:pPr>
              <w:pStyle w:val="CellListBullet"/>
              <w:spacing w:before="120"/>
              <w:rPr>
                <w:rFonts w:hint="eastAsia"/>
              </w:rPr>
            </w:pPr>
            <w:r>
              <w:t>• SSRS catalog databases can move to Azure SQL Managed Instance.</w:t>
            </w:r>
          </w:p>
          <w:p w14:paraId="5E854798" w14:textId="77777777" w:rsidR="009F7155" w:rsidRDefault="00000000">
            <w:pPr>
              <w:pStyle w:val="CellListBullet"/>
              <w:spacing w:before="120"/>
              <w:rPr>
                <w:rFonts w:hint="eastAsia"/>
              </w:rPr>
            </w:pPr>
            <w:r>
              <w:t>• Full compatibility still needs assessment.</w:t>
            </w:r>
          </w:p>
          <w:p w14:paraId="3A1880D0" w14:textId="77777777" w:rsidR="009F7155" w:rsidRDefault="00000000">
            <w:pPr>
              <w:pStyle w:val="CellListBullet"/>
              <w:spacing w:before="120"/>
              <w:rPr>
                <w:rFonts w:hint="eastAsia"/>
              </w:rPr>
            </w:pPr>
            <w:r>
              <w:t>• The full final list of databases and services still depends on the assessment report.</w:t>
            </w:r>
          </w:p>
        </w:tc>
      </w:tr>
      <w:tr w:rsidR="009F7155" w14:paraId="7F279927" w14:textId="77777777">
        <w:trPr>
          <w:jc w:val="center"/>
        </w:trPr>
        <w:tc>
          <w:tcPr>
            <w:tcW w:w="3378" w:type="dxa"/>
          </w:tcPr>
          <w:p w14:paraId="372A0B5E" w14:textId="77777777" w:rsidR="009F7155" w:rsidRDefault="00000000">
            <w:pPr>
              <w:spacing w:before="120"/>
              <w:rPr>
                <w:rFonts w:hint="eastAsia"/>
              </w:rPr>
            </w:pPr>
            <w:r>
              <w:rPr>
                <w:sz w:val="20"/>
              </w:rPr>
              <w:t>Security impact</w:t>
            </w:r>
          </w:p>
        </w:tc>
        <w:tc>
          <w:tcPr>
            <w:tcW w:w="6558" w:type="dxa"/>
          </w:tcPr>
          <w:p w14:paraId="6302D80F" w14:textId="77777777" w:rsidR="009F7155" w:rsidRDefault="00000000">
            <w:pPr>
              <w:spacing w:before="120"/>
              <w:rPr>
                <w:rFonts w:hint="eastAsia"/>
              </w:rPr>
            </w:pPr>
            <w:r>
              <w:rPr>
                <w:sz w:val="20"/>
              </w:rPr>
              <w:t>Azure access and permissions must be coordinated to run the assessment and manage the target environment.</w:t>
            </w:r>
          </w:p>
        </w:tc>
      </w:tr>
      <w:tr w:rsidR="009F7155" w14:paraId="4DC2A735" w14:textId="77777777">
        <w:trPr>
          <w:jc w:val="center"/>
        </w:trPr>
        <w:tc>
          <w:tcPr>
            <w:tcW w:w="3378" w:type="dxa"/>
            <w:shd w:val="clear" w:color="auto" w:fill="F8FAFC"/>
          </w:tcPr>
          <w:p w14:paraId="2D2B67FA" w14:textId="77777777" w:rsidR="009F7155" w:rsidRDefault="00000000">
            <w:pPr>
              <w:spacing w:before="120"/>
              <w:rPr>
                <w:rFonts w:hint="eastAsia"/>
              </w:rPr>
            </w:pPr>
            <w:r>
              <w:rPr>
                <w:sz w:val="20"/>
              </w:rPr>
              <w:t>Performance impact</w:t>
            </w:r>
          </w:p>
        </w:tc>
        <w:tc>
          <w:tcPr>
            <w:tcW w:w="6558" w:type="dxa"/>
            <w:shd w:val="clear" w:color="auto" w:fill="F8FAFC"/>
          </w:tcPr>
          <w:p w14:paraId="7540B091" w14:textId="77777777" w:rsidR="009F7155" w:rsidRDefault="00000000">
            <w:pPr>
              <w:spacing w:before="120"/>
              <w:rPr>
                <w:rFonts w:hint="eastAsia"/>
              </w:rPr>
            </w:pPr>
            <w:r>
              <w:rPr>
                <w:sz w:val="20"/>
              </w:rPr>
              <w:t>The target should improve operations and reliability, but final sizing depends on workload data and assessment output.</w:t>
            </w:r>
          </w:p>
        </w:tc>
      </w:tr>
      <w:tr w:rsidR="009F7155" w14:paraId="47AE43A1" w14:textId="77777777">
        <w:trPr>
          <w:jc w:val="center"/>
        </w:trPr>
        <w:tc>
          <w:tcPr>
            <w:tcW w:w="3378" w:type="dxa"/>
          </w:tcPr>
          <w:p w14:paraId="3F9571E6" w14:textId="77777777" w:rsidR="009F7155" w:rsidRDefault="00000000">
            <w:pPr>
              <w:spacing w:before="120"/>
              <w:rPr>
                <w:rFonts w:hint="eastAsia"/>
              </w:rPr>
            </w:pPr>
            <w:r>
              <w:rPr>
                <w:sz w:val="20"/>
              </w:rPr>
              <w:t>Operational impact</w:t>
            </w:r>
          </w:p>
        </w:tc>
        <w:tc>
          <w:tcPr>
            <w:tcW w:w="6558" w:type="dxa"/>
          </w:tcPr>
          <w:p w14:paraId="633F4FA2" w14:textId="77777777" w:rsidR="009F7155" w:rsidRDefault="00000000">
            <w:pPr>
              <w:pStyle w:val="CellListBullet"/>
              <w:spacing w:before="120"/>
              <w:rPr>
                <w:rFonts w:hint="eastAsia"/>
              </w:rPr>
            </w:pPr>
            <w:r>
              <w:t>• The team needs Azure access or help from the client team to run the assessment.</w:t>
            </w:r>
          </w:p>
          <w:p w14:paraId="0EDED3D8" w14:textId="77777777" w:rsidR="009F7155" w:rsidRDefault="00000000">
            <w:pPr>
              <w:pStyle w:val="CellListBullet"/>
              <w:spacing w:before="120"/>
              <w:rPr>
                <w:rFonts w:hint="eastAsia"/>
              </w:rPr>
            </w:pPr>
            <w:r>
              <w:t>• The SSRS engine remains on a smaller VM for now.</w:t>
            </w:r>
          </w:p>
          <w:p w14:paraId="1571BEB8" w14:textId="77777777" w:rsidR="009F7155" w:rsidRDefault="00000000">
            <w:pPr>
              <w:pStyle w:val="CellListBullet"/>
              <w:spacing w:before="120"/>
              <w:rPr>
                <w:rFonts w:hint="eastAsia"/>
              </w:rPr>
            </w:pPr>
            <w:r>
              <w:t>• The assessment may need about one week of performance data to support better SKU recommendations.</w:t>
            </w:r>
          </w:p>
        </w:tc>
      </w:tr>
      <w:tr w:rsidR="009F7155" w14:paraId="030E0A57" w14:textId="77777777">
        <w:trPr>
          <w:jc w:val="center"/>
        </w:trPr>
        <w:tc>
          <w:tcPr>
            <w:tcW w:w="3378" w:type="dxa"/>
            <w:shd w:val="clear" w:color="auto" w:fill="F8FAFC"/>
          </w:tcPr>
          <w:p w14:paraId="03654677" w14:textId="77777777" w:rsidR="009F7155" w:rsidRDefault="00000000">
            <w:pPr>
              <w:spacing w:before="120"/>
              <w:rPr>
                <w:rFonts w:hint="eastAsia"/>
              </w:rPr>
            </w:pPr>
            <w:r>
              <w:rPr>
                <w:sz w:val="20"/>
              </w:rPr>
              <w:t>Testing impact</w:t>
            </w:r>
          </w:p>
        </w:tc>
        <w:tc>
          <w:tcPr>
            <w:tcW w:w="6558" w:type="dxa"/>
            <w:shd w:val="clear" w:color="auto" w:fill="F8FAFC"/>
          </w:tcPr>
          <w:p w14:paraId="5F4D07F0" w14:textId="77777777" w:rsidR="009F7155" w:rsidRDefault="00000000">
            <w:pPr>
              <w:pStyle w:val="CellListBullet"/>
              <w:spacing w:before="120"/>
              <w:rPr>
                <w:rFonts w:hint="eastAsia"/>
              </w:rPr>
            </w:pPr>
            <w:r>
              <w:t>• Migration needs compatibility checks.</w:t>
            </w:r>
          </w:p>
          <w:p w14:paraId="293671AF" w14:textId="77777777" w:rsidR="009F7155" w:rsidRDefault="00000000">
            <w:pPr>
              <w:pStyle w:val="CellListBullet"/>
              <w:spacing w:before="120"/>
              <w:rPr>
                <w:rFonts w:hint="eastAsia"/>
              </w:rPr>
            </w:pPr>
            <w:r>
              <w:t>• Migration needs workload checks.</w:t>
            </w:r>
          </w:p>
          <w:p w14:paraId="28B404D7" w14:textId="77777777" w:rsidR="009F7155" w:rsidRDefault="00000000">
            <w:pPr>
              <w:pStyle w:val="CellListBullet"/>
              <w:spacing w:before="120"/>
              <w:rPr>
                <w:rFonts w:hint="eastAsia"/>
              </w:rPr>
            </w:pPr>
            <w:r>
              <w:t>• Migration needs reporting checks.</w:t>
            </w:r>
          </w:p>
          <w:p w14:paraId="1D2A83C6" w14:textId="77777777" w:rsidR="009F7155" w:rsidRDefault="00000000">
            <w:pPr>
              <w:pStyle w:val="CellListBullet"/>
              <w:spacing w:before="120"/>
              <w:rPr>
                <w:rFonts w:hint="eastAsia"/>
              </w:rPr>
            </w:pPr>
            <w:r>
              <w:lastRenderedPageBreak/>
              <w:t>• Migration needs post-migration verification.</w:t>
            </w:r>
          </w:p>
        </w:tc>
      </w:tr>
    </w:tbl>
    <w:p w14:paraId="4CAF630D" w14:textId="77777777" w:rsidR="009F7155" w:rsidRDefault="009F7155">
      <w:pPr>
        <w:rPr>
          <w:rFonts w:hint="eastAsia"/>
        </w:rPr>
      </w:pPr>
    </w:p>
    <w:p w14:paraId="7F77D372" w14:textId="77777777" w:rsidR="009F7155" w:rsidRDefault="00000000">
      <w:pPr>
        <w:pStyle w:val="Heading1"/>
        <w:spacing w:before="0" w:after="160"/>
      </w:pPr>
      <w:r>
        <w:rPr>
          <w:rFonts w:ascii="Segoe UI" w:hAnsi="Segoe UI"/>
          <w:color w:val="1E3A5F"/>
          <w:sz w:val="36"/>
        </w:rPr>
        <w:t>7. Expected Outcomes</w:t>
      </w:r>
    </w:p>
    <w:tbl>
      <w:tblPr>
        <w:tblStyle w:val="TableGrid"/>
        <w:tblW w:w="0" w:type="auto"/>
        <w:jc w:val="center"/>
        <w:tblLayout w:type="fixed"/>
        <w:tblLook w:val="04A0" w:firstRow="1" w:lastRow="0" w:firstColumn="1" w:lastColumn="0" w:noHBand="0" w:noVBand="1"/>
      </w:tblPr>
      <w:tblGrid>
        <w:gridCol w:w="1987"/>
        <w:gridCol w:w="3974"/>
        <w:gridCol w:w="3974"/>
      </w:tblGrid>
      <w:tr w:rsidR="009F7155" w14:paraId="7AC6D9A0" w14:textId="77777777">
        <w:trPr>
          <w:trHeight w:val="600"/>
          <w:jc w:val="center"/>
        </w:trPr>
        <w:tc>
          <w:tcPr>
            <w:tcW w:w="1987" w:type="dxa"/>
            <w:shd w:val="clear" w:color="auto" w:fill="E6F4F8"/>
            <w:vAlign w:val="center"/>
          </w:tcPr>
          <w:p w14:paraId="32F7B892" w14:textId="77777777" w:rsidR="009F7155" w:rsidRDefault="00000000">
            <w:pPr>
              <w:spacing w:before="120"/>
              <w:rPr>
                <w:rFonts w:hint="eastAsia"/>
              </w:rPr>
            </w:pPr>
            <w:r>
              <w:rPr>
                <w:b/>
                <w:color w:val="1E3A5F"/>
                <w:sz w:val="20"/>
              </w:rPr>
              <w:t>Area</w:t>
            </w:r>
          </w:p>
        </w:tc>
        <w:tc>
          <w:tcPr>
            <w:tcW w:w="3974" w:type="dxa"/>
            <w:shd w:val="clear" w:color="auto" w:fill="E6F4F8"/>
            <w:vAlign w:val="center"/>
          </w:tcPr>
          <w:p w14:paraId="64709220" w14:textId="77777777" w:rsidR="009F7155" w:rsidRDefault="00000000">
            <w:pPr>
              <w:spacing w:before="120"/>
              <w:rPr>
                <w:rFonts w:hint="eastAsia"/>
              </w:rPr>
            </w:pPr>
            <w:r>
              <w:rPr>
                <w:b/>
                <w:color w:val="1E3A5F"/>
                <w:sz w:val="20"/>
              </w:rPr>
              <w:t>Details</w:t>
            </w:r>
          </w:p>
        </w:tc>
        <w:tc>
          <w:tcPr>
            <w:tcW w:w="3974" w:type="dxa"/>
            <w:shd w:val="clear" w:color="auto" w:fill="E6F4F8"/>
            <w:vAlign w:val="center"/>
          </w:tcPr>
          <w:p w14:paraId="4DA2D4B4" w14:textId="77777777" w:rsidR="009F7155" w:rsidRDefault="00000000">
            <w:pPr>
              <w:spacing w:before="120"/>
              <w:rPr>
                <w:rFonts w:hint="eastAsia"/>
              </w:rPr>
            </w:pPr>
            <w:r>
              <w:rPr>
                <w:b/>
                <w:color w:val="1E3A5F"/>
                <w:sz w:val="20"/>
              </w:rPr>
              <w:t>Client-friendly explanation</w:t>
            </w:r>
          </w:p>
        </w:tc>
      </w:tr>
      <w:tr w:rsidR="009F7155" w14:paraId="4BED2D99" w14:textId="77777777">
        <w:trPr>
          <w:jc w:val="center"/>
        </w:trPr>
        <w:tc>
          <w:tcPr>
            <w:tcW w:w="1987" w:type="dxa"/>
          </w:tcPr>
          <w:p w14:paraId="3997BFF8" w14:textId="77777777" w:rsidR="009F7155" w:rsidRDefault="00000000">
            <w:pPr>
              <w:spacing w:before="120"/>
              <w:rPr>
                <w:rFonts w:hint="eastAsia"/>
              </w:rPr>
            </w:pPr>
            <w:r>
              <w:rPr>
                <w:sz w:val="20"/>
              </w:rPr>
              <w:t>Benefits</w:t>
            </w:r>
          </w:p>
        </w:tc>
        <w:tc>
          <w:tcPr>
            <w:tcW w:w="3974" w:type="dxa"/>
          </w:tcPr>
          <w:p w14:paraId="0DAC55DA" w14:textId="77777777" w:rsidR="009F7155" w:rsidRDefault="00000000">
            <w:pPr>
              <w:pStyle w:val="CellListBullet"/>
              <w:spacing w:before="120"/>
              <w:rPr>
                <w:rFonts w:hint="eastAsia"/>
              </w:rPr>
            </w:pPr>
            <w:r>
              <w:t>• Clear platform direction now.</w:t>
            </w:r>
          </w:p>
          <w:p w14:paraId="27664DFC" w14:textId="77777777" w:rsidR="009F7155" w:rsidRDefault="00000000">
            <w:pPr>
              <w:pStyle w:val="CellListBullet"/>
              <w:spacing w:before="120"/>
              <w:rPr>
                <w:rFonts w:hint="eastAsia"/>
              </w:rPr>
            </w:pPr>
            <w:r>
              <w:t>• Lower long-term infrastructure overhead.</w:t>
            </w:r>
          </w:p>
          <w:p w14:paraId="1ACA8275" w14:textId="77777777" w:rsidR="009F7155" w:rsidRDefault="00000000">
            <w:pPr>
              <w:pStyle w:val="CellListBullet"/>
              <w:spacing w:before="120"/>
              <w:rPr>
                <w:rFonts w:hint="eastAsia"/>
              </w:rPr>
            </w:pPr>
            <w:r>
              <w:t>• Better SQL Server compatibility than Azure SQL Database.</w:t>
            </w:r>
          </w:p>
          <w:p w14:paraId="65FB8809" w14:textId="77777777" w:rsidR="009F7155" w:rsidRDefault="00000000">
            <w:pPr>
              <w:pStyle w:val="CellListBullet"/>
              <w:spacing w:before="120"/>
              <w:rPr>
                <w:rFonts w:hint="eastAsia"/>
              </w:rPr>
            </w:pPr>
            <w:r>
              <w:t>• Room for future GEO and RMA consolidation.</w:t>
            </w:r>
          </w:p>
        </w:tc>
        <w:tc>
          <w:tcPr>
            <w:tcW w:w="3974" w:type="dxa"/>
          </w:tcPr>
          <w:p w14:paraId="7D9EB0AF" w14:textId="77777777" w:rsidR="009F7155" w:rsidRDefault="00000000">
            <w:pPr>
              <w:spacing w:before="120"/>
              <w:rPr>
                <w:rFonts w:hint="eastAsia"/>
              </w:rPr>
            </w:pPr>
            <w:r>
              <w:rPr>
                <w:sz w:val="20"/>
              </w:rPr>
              <w:t>The team can move forward with planning now while still keeping a practical long-term direction.</w:t>
            </w:r>
          </w:p>
        </w:tc>
      </w:tr>
      <w:tr w:rsidR="009F7155" w14:paraId="7111F71D" w14:textId="77777777">
        <w:trPr>
          <w:jc w:val="center"/>
        </w:trPr>
        <w:tc>
          <w:tcPr>
            <w:tcW w:w="1987" w:type="dxa"/>
            <w:shd w:val="clear" w:color="auto" w:fill="F8FAFC"/>
          </w:tcPr>
          <w:p w14:paraId="64FB2284" w14:textId="77777777" w:rsidR="009F7155" w:rsidRDefault="00000000">
            <w:pPr>
              <w:spacing w:before="120"/>
              <w:rPr>
                <w:rFonts w:hint="eastAsia"/>
              </w:rPr>
            </w:pPr>
            <w:r>
              <w:rPr>
                <w:sz w:val="20"/>
              </w:rPr>
              <w:t>Tradeoffs</w:t>
            </w:r>
          </w:p>
        </w:tc>
        <w:tc>
          <w:tcPr>
            <w:tcW w:w="3974" w:type="dxa"/>
            <w:shd w:val="clear" w:color="auto" w:fill="F8FAFC"/>
          </w:tcPr>
          <w:p w14:paraId="11681D4A" w14:textId="77777777" w:rsidR="009F7155" w:rsidRDefault="00000000">
            <w:pPr>
              <w:pStyle w:val="CellListBullet"/>
              <w:spacing w:before="120"/>
              <w:rPr>
                <w:rFonts w:hint="eastAsia"/>
              </w:rPr>
            </w:pPr>
            <w:r>
              <w:t>• Some decisions remain open.</w:t>
            </w:r>
          </w:p>
          <w:p w14:paraId="6238529C" w14:textId="77777777" w:rsidR="009F7155" w:rsidRDefault="00000000">
            <w:pPr>
              <w:pStyle w:val="CellListBullet"/>
              <w:spacing w:before="120"/>
              <w:rPr>
                <w:rFonts w:hint="eastAsia"/>
              </w:rPr>
            </w:pPr>
            <w:r>
              <w:t>• Azure access is still a blocker.</w:t>
            </w:r>
          </w:p>
          <w:p w14:paraId="25C60364" w14:textId="77777777" w:rsidR="009F7155" w:rsidRDefault="00000000">
            <w:pPr>
              <w:pStyle w:val="CellListBullet"/>
              <w:spacing w:before="120"/>
              <w:rPr>
                <w:rFonts w:hint="eastAsia"/>
              </w:rPr>
            </w:pPr>
            <w:r>
              <w:t>• Some refactoring may be needed.</w:t>
            </w:r>
          </w:p>
          <w:p w14:paraId="387CC934" w14:textId="77777777" w:rsidR="009F7155" w:rsidRDefault="00000000">
            <w:pPr>
              <w:pStyle w:val="CellListBullet"/>
              <w:spacing w:before="120"/>
              <w:rPr>
                <w:rFonts w:hint="eastAsia"/>
              </w:rPr>
            </w:pPr>
            <w:r>
              <w:t>• The reporting engine remains on a VM in the short term.</w:t>
            </w:r>
          </w:p>
        </w:tc>
        <w:tc>
          <w:tcPr>
            <w:tcW w:w="3974" w:type="dxa"/>
            <w:shd w:val="clear" w:color="auto" w:fill="F8FAFC"/>
          </w:tcPr>
          <w:p w14:paraId="263F9A5F" w14:textId="77777777" w:rsidR="009F7155" w:rsidRDefault="00000000">
            <w:pPr>
              <w:spacing w:before="120"/>
              <w:rPr>
                <w:rFonts w:hint="eastAsia"/>
              </w:rPr>
            </w:pPr>
            <w:r>
              <w:rPr>
                <w:sz w:val="20"/>
              </w:rPr>
              <w:t>This is a strong direction, but it still depends on assessment results and a few follow-up decisions.</w:t>
            </w:r>
          </w:p>
        </w:tc>
      </w:tr>
      <w:tr w:rsidR="009F7155" w14:paraId="6E442E56" w14:textId="77777777">
        <w:trPr>
          <w:jc w:val="center"/>
        </w:trPr>
        <w:tc>
          <w:tcPr>
            <w:tcW w:w="1987" w:type="dxa"/>
          </w:tcPr>
          <w:p w14:paraId="5942141C" w14:textId="77777777" w:rsidR="009F7155" w:rsidRDefault="00000000">
            <w:pPr>
              <w:spacing w:before="120"/>
              <w:rPr>
                <w:rFonts w:hint="eastAsia"/>
              </w:rPr>
            </w:pPr>
            <w:r>
              <w:rPr>
                <w:sz w:val="20"/>
              </w:rPr>
              <w:t>Follow-up work</w:t>
            </w:r>
          </w:p>
        </w:tc>
        <w:tc>
          <w:tcPr>
            <w:tcW w:w="3974" w:type="dxa"/>
          </w:tcPr>
          <w:p w14:paraId="570A6AAF" w14:textId="77777777" w:rsidR="009F7155" w:rsidRDefault="00000000">
            <w:pPr>
              <w:pStyle w:val="CellListBullet"/>
              <w:spacing w:before="120"/>
              <w:rPr>
                <w:rFonts w:hint="eastAsia"/>
              </w:rPr>
            </w:pPr>
            <w:r>
              <w:t>• Get the first assessment report.</w:t>
            </w:r>
          </w:p>
          <w:p w14:paraId="45ABA6B9" w14:textId="77777777" w:rsidR="009F7155" w:rsidRDefault="00000000">
            <w:pPr>
              <w:pStyle w:val="CellListBullet"/>
              <w:spacing w:before="120"/>
              <w:rPr>
                <w:rFonts w:hint="eastAsia"/>
              </w:rPr>
            </w:pPr>
            <w:r>
              <w:t>• Review cost estimates.</w:t>
            </w:r>
          </w:p>
          <w:p w14:paraId="6527D74E" w14:textId="77777777" w:rsidR="009F7155" w:rsidRDefault="00000000">
            <w:pPr>
              <w:pStyle w:val="CellListBullet"/>
              <w:spacing w:before="120"/>
              <w:rPr>
                <w:rFonts w:hint="eastAsia"/>
              </w:rPr>
            </w:pPr>
            <w:r>
              <w:t>• Review SKU recommendation.</w:t>
            </w:r>
          </w:p>
          <w:p w14:paraId="447BABD8" w14:textId="77777777" w:rsidR="009F7155" w:rsidRDefault="00000000">
            <w:pPr>
              <w:pStyle w:val="CellListBullet"/>
              <w:spacing w:before="120"/>
              <w:rPr>
                <w:rFonts w:hint="eastAsia"/>
              </w:rPr>
            </w:pPr>
            <w:r>
              <w:t>• Collect about one week of performance data if possible.</w:t>
            </w:r>
          </w:p>
          <w:p w14:paraId="577C5582" w14:textId="77777777" w:rsidR="009F7155" w:rsidRDefault="00000000">
            <w:pPr>
              <w:pStyle w:val="CellListBullet"/>
              <w:spacing w:before="120"/>
              <w:rPr>
                <w:rFonts w:hint="eastAsia"/>
              </w:rPr>
            </w:pPr>
            <w:r>
              <w:t>• Align the plan with Dmitry before wider sharing.</w:t>
            </w:r>
          </w:p>
          <w:p w14:paraId="57E94679" w14:textId="77777777" w:rsidR="009F7155" w:rsidRDefault="00000000">
            <w:pPr>
              <w:pStyle w:val="CellListBullet"/>
              <w:spacing w:before="120"/>
              <w:rPr>
                <w:rFonts w:hint="eastAsia"/>
              </w:rPr>
            </w:pPr>
            <w:r>
              <w:t>• Confirm the SSRS plan.</w:t>
            </w:r>
          </w:p>
          <w:p w14:paraId="2B417F87" w14:textId="77777777" w:rsidR="009F7155" w:rsidRDefault="00000000">
            <w:pPr>
              <w:pStyle w:val="CellListBullet"/>
              <w:spacing w:before="120"/>
              <w:rPr>
                <w:rFonts w:hint="eastAsia"/>
              </w:rPr>
            </w:pPr>
            <w:r>
              <w:t>• Prepare the migration runbook.</w:t>
            </w:r>
          </w:p>
        </w:tc>
        <w:tc>
          <w:tcPr>
            <w:tcW w:w="3974" w:type="dxa"/>
          </w:tcPr>
          <w:p w14:paraId="0AC62348" w14:textId="77777777" w:rsidR="009F7155" w:rsidRDefault="00000000">
            <w:pPr>
              <w:spacing w:before="120"/>
              <w:rPr>
                <w:rFonts w:hint="eastAsia"/>
              </w:rPr>
            </w:pPr>
            <w:r>
              <w:rPr>
                <w:sz w:val="20"/>
              </w:rPr>
              <w:t>The next step is validation and planning, not immediate full execution.</w:t>
            </w:r>
          </w:p>
        </w:tc>
      </w:tr>
      <w:tr w:rsidR="009F7155" w14:paraId="75DC6DD4" w14:textId="77777777">
        <w:trPr>
          <w:jc w:val="center"/>
        </w:trPr>
        <w:tc>
          <w:tcPr>
            <w:tcW w:w="1987" w:type="dxa"/>
            <w:shd w:val="clear" w:color="auto" w:fill="F8FAFC"/>
          </w:tcPr>
          <w:p w14:paraId="48B28763" w14:textId="77777777" w:rsidR="009F7155" w:rsidRDefault="00000000">
            <w:pPr>
              <w:spacing w:before="120"/>
              <w:rPr>
                <w:rFonts w:hint="eastAsia"/>
              </w:rPr>
            </w:pPr>
            <w:r>
              <w:rPr>
                <w:sz w:val="20"/>
              </w:rPr>
              <w:t>Risks</w:t>
            </w:r>
          </w:p>
        </w:tc>
        <w:tc>
          <w:tcPr>
            <w:tcW w:w="3974" w:type="dxa"/>
            <w:shd w:val="clear" w:color="auto" w:fill="F8FAFC"/>
          </w:tcPr>
          <w:p w14:paraId="0400BB68" w14:textId="77777777" w:rsidR="009F7155" w:rsidRDefault="00000000">
            <w:pPr>
              <w:pStyle w:val="CellListBullet"/>
              <w:spacing w:before="120"/>
              <w:rPr>
                <w:rFonts w:hint="eastAsia"/>
              </w:rPr>
            </w:pPr>
            <w:r>
              <w:t>• Hidden compatibility issues may appear in the assessment.</w:t>
            </w:r>
          </w:p>
          <w:p w14:paraId="2B22417A" w14:textId="77777777" w:rsidR="009F7155" w:rsidRDefault="00000000">
            <w:pPr>
              <w:pStyle w:val="CellListBullet"/>
              <w:spacing w:before="120"/>
              <w:rPr>
                <w:rFonts w:hint="eastAsia"/>
              </w:rPr>
            </w:pPr>
            <w:r>
              <w:t>• Access delays may slow planning.</w:t>
            </w:r>
          </w:p>
          <w:p w14:paraId="5C369DBD" w14:textId="77777777" w:rsidR="009F7155" w:rsidRDefault="00000000">
            <w:pPr>
              <w:pStyle w:val="CellListBullet"/>
              <w:spacing w:before="120"/>
              <w:rPr>
                <w:rFonts w:hint="eastAsia"/>
              </w:rPr>
            </w:pPr>
            <w:r>
              <w:t>• Actual cost may change after real sizing data is available.</w:t>
            </w:r>
          </w:p>
        </w:tc>
        <w:tc>
          <w:tcPr>
            <w:tcW w:w="3974" w:type="dxa"/>
            <w:shd w:val="clear" w:color="auto" w:fill="F8FAFC"/>
          </w:tcPr>
          <w:p w14:paraId="364E533F" w14:textId="77777777" w:rsidR="009F7155" w:rsidRDefault="00000000">
            <w:pPr>
              <w:spacing w:before="120"/>
              <w:rPr>
                <w:rFonts w:hint="eastAsia"/>
              </w:rPr>
            </w:pPr>
            <w:r>
              <w:rPr>
                <w:sz w:val="20"/>
              </w:rPr>
              <w:t>The recommendation is strong, but it still needs assessment data to reduce surprise risks.</w:t>
            </w:r>
          </w:p>
        </w:tc>
      </w:tr>
    </w:tbl>
    <w:p w14:paraId="246E44F8" w14:textId="77777777" w:rsidR="009F7155" w:rsidRDefault="009F7155">
      <w:pPr>
        <w:rPr>
          <w:rFonts w:hint="eastAsia"/>
        </w:rPr>
      </w:pPr>
    </w:p>
    <w:p w14:paraId="007E3B44" w14:textId="77777777" w:rsidR="00C64FF5" w:rsidRDefault="00C64FF5">
      <w:pPr>
        <w:spacing w:after="200"/>
        <w:rPr>
          <w:rFonts w:eastAsiaTheme="majorEastAsia" w:cstheme="majorBidi"/>
          <w:b/>
          <w:bCs/>
          <w:color w:val="1E3A5F"/>
          <w:sz w:val="36"/>
          <w:szCs w:val="28"/>
        </w:rPr>
      </w:pPr>
      <w:r>
        <w:rPr>
          <w:color w:val="1E3A5F"/>
          <w:sz w:val="36"/>
        </w:rPr>
        <w:br w:type="page"/>
      </w:r>
    </w:p>
    <w:p w14:paraId="3558A7C0" w14:textId="24342BBA" w:rsidR="009F7155" w:rsidRDefault="00000000">
      <w:pPr>
        <w:pStyle w:val="Heading1"/>
        <w:spacing w:before="0" w:after="160"/>
      </w:pPr>
      <w:r>
        <w:rPr>
          <w:rFonts w:ascii="Segoe UI" w:hAnsi="Segoe UI"/>
          <w:color w:val="1E3A5F"/>
          <w:sz w:val="36"/>
        </w:rPr>
        <w:lastRenderedPageBreak/>
        <w:t>8. Pending Items</w:t>
      </w:r>
    </w:p>
    <w:tbl>
      <w:tblPr>
        <w:tblStyle w:val="TableGrid"/>
        <w:tblW w:w="0" w:type="auto"/>
        <w:jc w:val="center"/>
        <w:tblLayout w:type="fixed"/>
        <w:tblLook w:val="04A0" w:firstRow="1" w:lastRow="0" w:firstColumn="1" w:lastColumn="0" w:noHBand="0" w:noVBand="1"/>
      </w:tblPr>
      <w:tblGrid>
        <w:gridCol w:w="3378"/>
        <w:gridCol w:w="6558"/>
      </w:tblGrid>
      <w:tr w:rsidR="009F7155" w14:paraId="3634DF79" w14:textId="77777777">
        <w:trPr>
          <w:trHeight w:val="600"/>
          <w:jc w:val="center"/>
        </w:trPr>
        <w:tc>
          <w:tcPr>
            <w:tcW w:w="3378" w:type="dxa"/>
            <w:shd w:val="clear" w:color="auto" w:fill="E6F4F8"/>
            <w:vAlign w:val="center"/>
          </w:tcPr>
          <w:p w14:paraId="2528396F" w14:textId="77777777" w:rsidR="009F7155" w:rsidRDefault="00000000">
            <w:pPr>
              <w:spacing w:before="120"/>
              <w:rPr>
                <w:rFonts w:hint="eastAsia"/>
              </w:rPr>
            </w:pPr>
            <w:r>
              <w:rPr>
                <w:b/>
                <w:color w:val="1E3A5F"/>
                <w:sz w:val="20"/>
              </w:rPr>
              <w:t>Type</w:t>
            </w:r>
          </w:p>
        </w:tc>
        <w:tc>
          <w:tcPr>
            <w:tcW w:w="6558" w:type="dxa"/>
            <w:shd w:val="clear" w:color="auto" w:fill="E6F4F8"/>
            <w:vAlign w:val="center"/>
          </w:tcPr>
          <w:p w14:paraId="13301225" w14:textId="77777777" w:rsidR="009F7155" w:rsidRDefault="00000000">
            <w:pPr>
              <w:spacing w:before="120"/>
              <w:rPr>
                <w:rFonts w:hint="eastAsia"/>
              </w:rPr>
            </w:pPr>
            <w:r>
              <w:rPr>
                <w:b/>
                <w:color w:val="1E3A5F"/>
                <w:sz w:val="20"/>
              </w:rPr>
              <w:t>Details</w:t>
            </w:r>
          </w:p>
        </w:tc>
      </w:tr>
      <w:tr w:rsidR="009F7155" w14:paraId="4BF86285" w14:textId="77777777">
        <w:trPr>
          <w:jc w:val="center"/>
        </w:trPr>
        <w:tc>
          <w:tcPr>
            <w:tcW w:w="3378" w:type="dxa"/>
          </w:tcPr>
          <w:p w14:paraId="256DEA1E" w14:textId="77777777" w:rsidR="009F7155" w:rsidRDefault="00000000">
            <w:pPr>
              <w:spacing w:before="120"/>
              <w:rPr>
                <w:rFonts w:hint="eastAsia"/>
              </w:rPr>
            </w:pPr>
            <w:r>
              <w:rPr>
                <w:sz w:val="20"/>
              </w:rPr>
              <w:t>Pending validations</w:t>
            </w:r>
          </w:p>
        </w:tc>
        <w:tc>
          <w:tcPr>
            <w:tcW w:w="6558" w:type="dxa"/>
          </w:tcPr>
          <w:p w14:paraId="04BB4D7B" w14:textId="77777777" w:rsidR="009F7155" w:rsidRDefault="00000000">
            <w:pPr>
              <w:pStyle w:val="CellListBullet"/>
              <w:spacing w:before="120"/>
              <w:rPr>
                <w:rFonts w:hint="eastAsia"/>
              </w:rPr>
            </w:pPr>
            <w:r>
              <w:t>• Migration assessment report.</w:t>
            </w:r>
          </w:p>
          <w:p w14:paraId="20980D3A" w14:textId="77777777" w:rsidR="009F7155" w:rsidRDefault="00000000">
            <w:pPr>
              <w:pStyle w:val="CellListBullet"/>
              <w:spacing w:before="120"/>
              <w:rPr>
                <w:rFonts w:hint="eastAsia"/>
              </w:rPr>
            </w:pPr>
            <w:r>
              <w:t>• Compatibility blockers.</w:t>
            </w:r>
          </w:p>
          <w:p w14:paraId="04401DA0" w14:textId="77777777" w:rsidR="009F7155" w:rsidRDefault="00000000">
            <w:pPr>
              <w:pStyle w:val="CellListBullet"/>
              <w:spacing w:before="120"/>
              <w:rPr>
                <w:rFonts w:hint="eastAsia"/>
              </w:rPr>
            </w:pPr>
            <w:r>
              <w:t>• Affected objects.</w:t>
            </w:r>
          </w:p>
          <w:p w14:paraId="2ABD3567" w14:textId="77777777" w:rsidR="009F7155" w:rsidRDefault="00000000">
            <w:pPr>
              <w:pStyle w:val="CellListBullet"/>
              <w:spacing w:before="120"/>
              <w:rPr>
                <w:rFonts w:hint="eastAsia"/>
              </w:rPr>
            </w:pPr>
            <w:r>
              <w:t>• Full component inventory.</w:t>
            </w:r>
          </w:p>
          <w:p w14:paraId="37B685B0" w14:textId="77777777" w:rsidR="009F7155" w:rsidRDefault="00000000">
            <w:pPr>
              <w:pStyle w:val="CellListBullet"/>
              <w:spacing w:before="120"/>
              <w:rPr>
                <w:rFonts w:hint="eastAsia"/>
              </w:rPr>
            </w:pPr>
            <w:r>
              <w:t>• SKU recommendation.</w:t>
            </w:r>
          </w:p>
          <w:p w14:paraId="70337F89" w14:textId="77777777" w:rsidR="009F7155" w:rsidRDefault="00000000">
            <w:pPr>
              <w:pStyle w:val="CellListBullet"/>
              <w:spacing w:before="120"/>
              <w:rPr>
                <w:rFonts w:hint="eastAsia"/>
              </w:rPr>
            </w:pPr>
            <w:r>
              <w:t>• Workload-based sizing.</w:t>
            </w:r>
          </w:p>
          <w:p w14:paraId="02B0995E" w14:textId="77777777" w:rsidR="009F7155" w:rsidRDefault="00000000">
            <w:pPr>
              <w:pStyle w:val="CellListBullet"/>
              <w:spacing w:before="120"/>
              <w:rPr>
                <w:rFonts w:hint="eastAsia"/>
              </w:rPr>
            </w:pPr>
            <w:r>
              <w:t>• Cost estimates.</w:t>
            </w:r>
          </w:p>
        </w:tc>
      </w:tr>
      <w:tr w:rsidR="009F7155" w14:paraId="31D5B463" w14:textId="77777777">
        <w:trPr>
          <w:jc w:val="center"/>
        </w:trPr>
        <w:tc>
          <w:tcPr>
            <w:tcW w:w="3378" w:type="dxa"/>
            <w:shd w:val="clear" w:color="auto" w:fill="F8FAFC"/>
          </w:tcPr>
          <w:p w14:paraId="12E86B14" w14:textId="77777777" w:rsidR="009F7155" w:rsidRDefault="00000000">
            <w:pPr>
              <w:spacing w:before="120"/>
              <w:rPr>
                <w:rFonts w:hint="eastAsia"/>
              </w:rPr>
            </w:pPr>
            <w:r>
              <w:rPr>
                <w:sz w:val="20"/>
              </w:rPr>
              <w:t>Pending dependencies</w:t>
            </w:r>
          </w:p>
        </w:tc>
        <w:tc>
          <w:tcPr>
            <w:tcW w:w="6558" w:type="dxa"/>
            <w:shd w:val="clear" w:color="auto" w:fill="F8FAFC"/>
          </w:tcPr>
          <w:p w14:paraId="796091D0" w14:textId="77777777" w:rsidR="009F7155" w:rsidRDefault="00000000">
            <w:pPr>
              <w:pStyle w:val="CellListBullet"/>
              <w:spacing w:before="120"/>
              <w:rPr>
                <w:rFonts w:hint="eastAsia"/>
              </w:rPr>
            </w:pPr>
            <w:r>
              <w:t>• Azure subscription or VM-level access to register the SQL IaaS Agent extension and run the assessment.</w:t>
            </w:r>
          </w:p>
          <w:p w14:paraId="08C6D792" w14:textId="77777777" w:rsidR="009F7155" w:rsidRDefault="00000000">
            <w:pPr>
              <w:pStyle w:val="CellListBullet"/>
              <w:spacing w:before="120"/>
              <w:rPr>
                <w:rFonts w:hint="eastAsia"/>
              </w:rPr>
            </w:pPr>
            <w:r>
              <w:t>• Or the client team running it and sharing the report.</w:t>
            </w:r>
          </w:p>
          <w:p w14:paraId="4F48AB05" w14:textId="77777777" w:rsidR="009F7155" w:rsidRDefault="00000000">
            <w:pPr>
              <w:pStyle w:val="CellListBullet"/>
              <w:spacing w:before="120"/>
              <w:rPr>
                <w:rFonts w:hint="eastAsia"/>
              </w:rPr>
            </w:pPr>
            <w:r>
              <w:t>• Alignment with Dmitry before wider team sharing.</w:t>
            </w:r>
          </w:p>
        </w:tc>
      </w:tr>
      <w:tr w:rsidR="009F7155" w14:paraId="1763C7ED" w14:textId="77777777">
        <w:trPr>
          <w:jc w:val="center"/>
        </w:trPr>
        <w:tc>
          <w:tcPr>
            <w:tcW w:w="3378" w:type="dxa"/>
          </w:tcPr>
          <w:p w14:paraId="6E75FE12" w14:textId="77777777" w:rsidR="009F7155" w:rsidRDefault="00000000">
            <w:pPr>
              <w:spacing w:before="120"/>
              <w:rPr>
                <w:rFonts w:hint="eastAsia"/>
              </w:rPr>
            </w:pPr>
            <w:r>
              <w:rPr>
                <w:sz w:val="20"/>
              </w:rPr>
              <w:t>Deferred decisions</w:t>
            </w:r>
          </w:p>
        </w:tc>
        <w:tc>
          <w:tcPr>
            <w:tcW w:w="6558" w:type="dxa"/>
          </w:tcPr>
          <w:p w14:paraId="3FA0FD03" w14:textId="77777777" w:rsidR="009F7155" w:rsidRDefault="00000000">
            <w:pPr>
              <w:pStyle w:val="CellListBullet"/>
              <w:spacing w:before="120"/>
              <w:rPr>
                <w:rFonts w:hint="eastAsia"/>
              </w:rPr>
            </w:pPr>
            <w:r>
              <w:t>• Final SSRS engine hosting approach.</w:t>
            </w:r>
          </w:p>
          <w:p w14:paraId="1E173B53" w14:textId="77777777" w:rsidR="009F7155" w:rsidRDefault="00000000">
            <w:pPr>
              <w:pStyle w:val="CellListBullet"/>
              <w:spacing w:before="120"/>
              <w:rPr>
                <w:rFonts w:hint="eastAsia"/>
              </w:rPr>
            </w:pPr>
            <w:r>
              <w:t>• Final migration runbook details.</w:t>
            </w:r>
          </w:p>
          <w:p w14:paraId="7C4BB3D1" w14:textId="77777777" w:rsidR="009F7155" w:rsidRDefault="00000000">
            <w:pPr>
              <w:pStyle w:val="CellListBullet"/>
              <w:spacing w:before="120"/>
              <w:rPr>
                <w:rFonts w:hint="eastAsia"/>
              </w:rPr>
            </w:pPr>
            <w:r>
              <w:t>• Final decision on GEO and RMA sharing one managed instance.</w:t>
            </w:r>
          </w:p>
          <w:p w14:paraId="7F3E62DE" w14:textId="77777777" w:rsidR="009F7155" w:rsidRDefault="00000000">
            <w:pPr>
              <w:pStyle w:val="CellListBullet"/>
              <w:spacing w:before="120"/>
              <w:rPr>
                <w:rFonts w:hint="eastAsia"/>
              </w:rPr>
            </w:pPr>
            <w:r>
              <w:t>• Possible future move from SSRS to another reporting approach if needed.</w:t>
            </w:r>
          </w:p>
        </w:tc>
      </w:tr>
    </w:tbl>
    <w:p w14:paraId="69F98A83" w14:textId="77777777" w:rsidR="009F7155" w:rsidRDefault="009F7155">
      <w:pPr>
        <w:rPr>
          <w:rFonts w:hint="eastAsia"/>
        </w:rPr>
      </w:pPr>
    </w:p>
    <w:p w14:paraId="2543C55E" w14:textId="77777777" w:rsidR="009F7155" w:rsidRDefault="00000000">
      <w:pPr>
        <w:pStyle w:val="Heading1"/>
        <w:spacing w:before="0" w:after="160"/>
      </w:pPr>
      <w:r>
        <w:rPr>
          <w:rFonts w:ascii="Segoe UI" w:hAnsi="Segoe UI"/>
          <w:color w:val="1E3A5F"/>
          <w:sz w:val="36"/>
        </w:rPr>
        <w:t>9. Supporting Evidence</w:t>
      </w:r>
    </w:p>
    <w:p w14:paraId="33F771B4" w14:textId="77777777" w:rsidR="009F7155" w:rsidRDefault="00000000">
      <w:pPr>
        <w:pStyle w:val="ListBullet"/>
        <w:rPr>
          <w:rFonts w:hint="eastAsia"/>
        </w:rPr>
      </w:pPr>
      <w:r>
        <w:rPr>
          <w:b/>
        </w:rPr>
        <w:t>Task evidence:</w:t>
      </w:r>
      <w:r>
        <w:t xml:space="preserve"> The Jira task asks for setup guidelines and best practices for the new SQL server, with GEO moving first and RMA likely moving later to reduce the cost and effort of managing two servers at the same time.</w:t>
      </w:r>
    </w:p>
    <w:p w14:paraId="36D1D5F7" w14:textId="77777777" w:rsidR="009F7155" w:rsidRDefault="00000000">
      <w:pPr>
        <w:pStyle w:val="ListBullet"/>
        <w:rPr>
          <w:rFonts w:hint="eastAsia"/>
        </w:rPr>
      </w:pPr>
      <w:r>
        <w:rPr>
          <w:b/>
        </w:rPr>
        <w:t>Plan evidence:</w:t>
      </w:r>
      <w:r>
        <w:t xml:space="preserve"> Comments recommend Azure SQL Managed Instance over Azure SQL Database or staying on a VM because of better SQL Server compatibility, SSRS catalog support, removal of Windows Server overhead, and built-in high availability and backups.</w:t>
      </w:r>
    </w:p>
    <w:p w14:paraId="2B0A3AD3" w14:textId="77777777" w:rsidR="009F7155" w:rsidRDefault="00000000">
      <w:pPr>
        <w:pStyle w:val="ListBullet"/>
        <w:rPr>
          <w:rFonts w:hint="eastAsia"/>
        </w:rPr>
      </w:pPr>
      <w:r>
        <w:rPr>
          <w:b/>
        </w:rPr>
        <w:t>Review evidence:</w:t>
      </w:r>
      <w:r>
        <w:t xml:space="preserve"> Comments state that a migration assessment should reveal compatibility blockers, affected objects, SKU recommendation, and cost estimates. They also note that Azure access is needed to run the assessment, and that some procedures depend on local Windows disk.</w:t>
      </w:r>
    </w:p>
    <w:p w14:paraId="74DBB638" w14:textId="77777777" w:rsidR="00162FC8" w:rsidRDefault="00162FC8" w:rsidP="00162FC8">
      <w:pPr>
        <w:pStyle w:val="ListBullet"/>
        <w:numPr>
          <w:ilvl w:val="0"/>
          <w:numId w:val="0"/>
        </w:numPr>
        <w:ind w:left="360"/>
        <w:rPr>
          <w:b/>
        </w:rPr>
      </w:pPr>
    </w:p>
    <w:p w14:paraId="72A594D8" w14:textId="77777777" w:rsidR="00C64FF5" w:rsidRDefault="00C64FF5">
      <w:pPr>
        <w:spacing w:after="200"/>
        <w:rPr>
          <w:rFonts w:eastAsiaTheme="majorEastAsia" w:cstheme="majorBidi"/>
          <w:b/>
          <w:bCs/>
          <w:color w:val="1E3A5F"/>
          <w:sz w:val="24"/>
        </w:rPr>
      </w:pPr>
      <w:r>
        <w:rPr>
          <w:color w:val="1E3A5F"/>
          <w:sz w:val="24"/>
        </w:rPr>
        <w:br w:type="page"/>
      </w:r>
    </w:p>
    <w:p w14:paraId="3E807D09" w14:textId="05B45821" w:rsidR="00FC1EDE" w:rsidRDefault="00FC1EDE" w:rsidP="00FC1EDE">
      <w:pPr>
        <w:pStyle w:val="Heading3"/>
      </w:pPr>
      <w:r w:rsidRPr="00FC1EDE">
        <w:rPr>
          <w:rFonts w:ascii="Segoe UI" w:hAnsi="Segoe UI"/>
          <w:color w:val="1E3A5F"/>
          <w:sz w:val="24"/>
        </w:rPr>
        <w:lastRenderedPageBreak/>
        <w:t>External references</w:t>
      </w:r>
    </w:p>
    <w:p w14:paraId="303EC8FA" w14:textId="77777777" w:rsidR="009F7155" w:rsidRDefault="00000000">
      <w:pPr>
        <w:pStyle w:val="ListBullet"/>
        <w:rPr>
          <w:rFonts w:hint="eastAsia"/>
        </w:rPr>
      </w:pPr>
      <w:hyperlink r:id="rId7">
        <w:r>
          <w:rPr>
            <w:color w:val="0F766E"/>
            <w:u w:val="single"/>
          </w:rPr>
          <w:t>SQL Server end of support options</w:t>
        </w:r>
      </w:hyperlink>
      <w:r>
        <w:t xml:space="preserve"> — confirms SQL 2017 extended support ends 2027; recommends MI as first migration option.</w:t>
      </w:r>
    </w:p>
    <w:p w14:paraId="73B0DA50" w14:textId="77777777" w:rsidR="009F7155" w:rsidRDefault="00000000">
      <w:pPr>
        <w:pStyle w:val="ListBullet"/>
        <w:rPr>
          <w:rFonts w:hint="eastAsia"/>
        </w:rPr>
      </w:pPr>
      <w:hyperlink r:id="rId8">
        <w:r>
          <w:rPr>
            <w:color w:val="0F766E"/>
            <w:u w:val="single"/>
          </w:rPr>
          <w:t>What is Azure SQL Managed Instance?</w:t>
        </w:r>
      </w:hyperlink>
      <w:r>
        <w:t xml:space="preserve"> — confirms near-100% SQL Server compatibility, SQL Agent, linked servers, cross-database queries, automated patching/backups/HA, SSRS catalog hosting.</w:t>
      </w:r>
    </w:p>
    <w:p w14:paraId="62B41171" w14:textId="77777777" w:rsidR="009F7155" w:rsidRDefault="00000000">
      <w:pPr>
        <w:pStyle w:val="ListBullet"/>
        <w:rPr>
          <w:rFonts w:hint="eastAsia"/>
        </w:rPr>
      </w:pPr>
      <w:hyperlink r:id="rId9">
        <w:r>
          <w:rPr>
            <w:color w:val="0F766E"/>
            <w:u w:val="single"/>
          </w:rPr>
          <w:t>Features comparison: SQL DB vs SQL MI</w:t>
        </w:r>
      </w:hyperlink>
      <w:r>
        <w:t xml:space="preserve"> — confirms SQL DB lacks SQL Agent, linked servers, cross-database queries, and SSRS support that the current GEO system depends on.</w:t>
      </w:r>
    </w:p>
    <w:p w14:paraId="310E08EC" w14:textId="77777777" w:rsidR="009F7155" w:rsidRDefault="00000000">
      <w:pPr>
        <w:pStyle w:val="ListBullet"/>
        <w:rPr>
          <w:rFonts w:hint="eastAsia"/>
        </w:rPr>
      </w:pPr>
      <w:hyperlink r:id="rId10" w:anchor="business-intelligence">
        <w:r>
          <w:rPr>
            <w:color w:val="0F766E"/>
            <w:u w:val="single"/>
          </w:rPr>
          <w:t>SQL MI — Business Intelligence section</w:t>
        </w:r>
      </w:hyperlink>
      <w:r>
        <w:t xml:space="preserve"> — confirms MI can host SSRS catalog databases while SSRS engine runs on a VM.</w:t>
      </w:r>
    </w:p>
    <w:p w14:paraId="02791CA8" w14:textId="77777777" w:rsidR="009F7155" w:rsidRDefault="00000000">
      <w:pPr>
        <w:pStyle w:val="ListBullet"/>
        <w:rPr>
          <w:rFonts w:hint="eastAsia"/>
        </w:rPr>
      </w:pPr>
      <w:hyperlink r:id="rId11" w:anchor="sql-server-on-azure-vms">
        <w:r>
          <w:rPr>
            <w:color w:val="0F766E"/>
            <w:u w:val="single"/>
          </w:rPr>
          <w:t>End of support — Azure VM vs MI comparison</w:t>
        </w:r>
      </w:hyperlink>
      <w:r>
        <w:t xml:space="preserve"> — confirms VM option still requires managing both SQL Server and OS; MI option is fully managed with evergreen features.</w:t>
      </w:r>
    </w:p>
    <w:sectPr w:rsidR="009F7155"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7004727">
    <w:abstractNumId w:val="8"/>
  </w:num>
  <w:num w:numId="2" w16cid:durableId="1780955147">
    <w:abstractNumId w:val="6"/>
  </w:num>
  <w:num w:numId="3" w16cid:durableId="1639914580">
    <w:abstractNumId w:val="5"/>
  </w:num>
  <w:num w:numId="4" w16cid:durableId="922183428">
    <w:abstractNumId w:val="4"/>
  </w:num>
  <w:num w:numId="5" w16cid:durableId="1660504016">
    <w:abstractNumId w:val="7"/>
  </w:num>
  <w:num w:numId="6" w16cid:durableId="1158112162">
    <w:abstractNumId w:val="3"/>
  </w:num>
  <w:num w:numId="7" w16cid:durableId="1244338561">
    <w:abstractNumId w:val="2"/>
  </w:num>
  <w:num w:numId="8" w16cid:durableId="1944071461">
    <w:abstractNumId w:val="1"/>
  </w:num>
  <w:num w:numId="9" w16cid:durableId="13028785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2FC8"/>
    <w:rsid w:val="0029639D"/>
    <w:rsid w:val="00326F90"/>
    <w:rsid w:val="009F7155"/>
    <w:rsid w:val="00A326CE"/>
    <w:rsid w:val="00AA1D8D"/>
    <w:rsid w:val="00B47730"/>
    <w:rsid w:val="00C64FF5"/>
    <w:rsid w:val="00CB0664"/>
    <w:rsid w:val="00F077AA"/>
    <w:rsid w:val="00FC1E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BFC37C"/>
  <w14:defaultImageDpi w14:val="300"/>
  <w15:docId w15:val="{315BBDFA-7643-4651-BCB7-FA132D07C0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Segoe UI" w:hAnsi="Segoe UI"/>
      <w:color w:val="1F2937"/>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ellListBullet">
    <w:name w:val="Cell List Bullet"/>
    <w:basedOn w:val="Normal"/>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en-us/azure/azure-sql/managed-instance/sql-managed-instance-paas-over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learn.microsoft.com/en-us/sql/sql-server/end-of-support/sql-server-end-of-support-overview"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ritasa.atlassian.net/browse/RMASUP-2134" TargetMode="External"/><Relationship Id="rId11" Type="http://schemas.openxmlformats.org/officeDocument/2006/relationships/hyperlink" Target="https://learn.microsoft.com/en-us/sql/sql-server/end-of-support/sql-server-end-of-support-overview" TargetMode="External"/><Relationship Id="rId5" Type="http://schemas.openxmlformats.org/officeDocument/2006/relationships/webSettings" Target="webSettings.xml"/><Relationship Id="rId10" Type="http://schemas.openxmlformats.org/officeDocument/2006/relationships/hyperlink" Target="https://learn.microsoft.com/en-us/azure/azure-sql/managed-instance/sql-managed-instance-paas-overview" TargetMode="External"/><Relationship Id="rId4" Type="http://schemas.openxmlformats.org/officeDocument/2006/relationships/settings" Target="settings.xml"/><Relationship Id="rId9" Type="http://schemas.openxmlformats.org/officeDocument/2006/relationships/hyperlink" Target="https://learn.microsoft.com/en-us/azure/azure-sql/database/features-compari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1576</Words>
  <Characters>8988</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Quan Dao</cp:lastModifiedBy>
  <cp:revision>6</cp:revision>
  <cp:lastPrinted>2026-05-27T14:58:00Z</cp:lastPrinted>
  <dcterms:created xsi:type="dcterms:W3CDTF">2013-12-23T23:15:00Z</dcterms:created>
  <dcterms:modified xsi:type="dcterms:W3CDTF">2026-05-27T14:59:00Z</dcterms:modified>
  <cp:category/>
</cp:coreProperties>
</file>