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Stock Decision Algorithm v2</w:t>
      </w:r>
    </w:p>
    <w:p>
      <w:pPr>
        <w:spacing w:after="300"/>
      </w:pPr>
      <w:r>
        <w:rPr>
          <w:i/>
          <w:iCs/>
          <w:color w:val="444444"/>
        </w:rPr>
        <w:t xml:space="preserve">Implementation spec for stock-agent — adapting the uploaded framework to what Yahoo Finance's free data actually supports today</w:t>
      </w:r>
    </w:p>
    <w:p>
      <w:pPr>
        <w:pStyle w:val="Heading1"/>
        <w:spacing w:after="140" w:before="320"/>
      </w:pPr>
      <w:r>
        <w:t xml:space="preserve">0. What this document is</w:t>
      </w:r>
    </w:p>
    <w:p>
      <w:pPr>
        <w:spacing w:after="120"/>
      </w:pPr>
      <w:r>
        <w:t xml:space="preserve">The uploaded doc lays out an ambitious, well-reasoned framework: separate scores for business quality, valuation, growth, and entry timing, combined into an explainable BUY / ACCUMULATE / WAIT decision rather than a binary signal, with expected return and risk/reward driving the final call. This document takes that framework and turns it into something concrete and buildable in stock-agent's current architecture — every formula below references a real field the Worker already ingests from Yahoo Finance (some already used, several ingested but currently sitting unused), and every place where the source doc calls for something Yahoo's free endpoints cannot provide (true DCF, competitor comps, normalized earnings, a historical backtest dataset, ML) is called out explicitly rather than faked.</w:t>
      </w:r>
    </w:p>
    <w:p>
      <w:pPr>
        <w:spacing w:after="120"/>
      </w:pPr>
      <w:r>
        <w:t xml:space="preserve">Nothing here is implemented yet. This is the spec to review and adjust before I touch score.ts, the D1 schema, or the dashboard.</w:t>
      </w:r>
    </w:p>
    <w:p>
      <w:pPr>
        <w:pStyle w:val="Heading1"/>
        <w:spacing w:after="140" w:before="320"/>
      </w:pPr>
      <w:r>
        <w:t xml:space="preserve">1. Decision framework</w:t>
      </w:r>
    </w:p>
    <w:p>
      <w:pPr>
        <w:spacing w:after="120"/>
      </w:pPr>
      <w:r>
        <w:t xml:space="preserve">The three independent dimensions from the source doc — Business Quality, Valuation, Entry Timing — become five quantitative 0-100 scores here, because the doc's own Fundamental Opportunity Score (section 10 below) treats Growth and Financial Strength as separate inputs from Quality:</w:t>
      </w:r>
    </w:p>
    <w:p>
      <w:pPr>
        <w:pStyle w:val="ListParagraph"/>
        <w:numPr>
          <w:ilvl w:val="0"/>
          <w:numId w:val="1"/>
        </w:numPr>
        <w:spacing w:after="60"/>
      </w:pPr>
      <w:r>
        <w:t xml:space="preserve">Business Quality — is this a good business, on fixed absolute benchmarks (not compared to other tickers)</w:t>
      </w:r>
    </w:p>
    <w:p>
      <w:pPr>
        <w:pStyle w:val="ListParagraph"/>
        <w:numPr>
          <w:ilvl w:val="0"/>
          <w:numId w:val="1"/>
        </w:numPr>
        <w:spacing w:after="60"/>
      </w:pPr>
      <w:r>
        <w:t xml:space="preserve">Valuation — is the price attractive relative to this stock's own history and analyst estimates</w:t>
      </w:r>
    </w:p>
    <w:p>
      <w:pPr>
        <w:pStyle w:val="ListParagraph"/>
        <w:numPr>
          <w:ilvl w:val="0"/>
          <w:numId w:val="1"/>
        </w:numPr>
        <w:spacing w:after="60"/>
      </w:pPr>
      <w:r>
        <w:t xml:space="preserve">Growth — how fast are revenue and earnings actually growing, and is that growth priced in reasonably</w:t>
      </w:r>
    </w:p>
    <w:p>
      <w:pPr>
        <w:pStyle w:val="ListParagraph"/>
        <w:numPr>
          <w:ilvl w:val="0"/>
          <w:numId w:val="1"/>
        </w:numPr>
        <w:spacing w:after="60"/>
      </w:pPr>
      <w:r>
        <w:t xml:space="preserve">Financial Strength — balance sheet and cash-generation resilience</w:t>
      </w:r>
    </w:p>
    <w:p>
      <w:pPr>
        <w:pStyle w:val="ListParagraph"/>
        <w:numPr>
          <w:ilvl w:val="0"/>
          <w:numId w:val="1"/>
        </w:numPr>
        <w:spacing w:after="60"/>
      </w:pPr>
      <w:r>
        <w:t xml:space="preserve">Entry Timing — does today's price action suggest a good moment, independent of whether the business/valuation case is good</w:t>
      </w:r>
    </w:p>
    <w:p>
      <w:pPr>
        <w:spacing w:after="120"/>
      </w:pPr>
      <w:r>
        <w:t xml:space="preserve">These roll up into a Fundamental Opportunity Score and an Entry Score, combined into one Investment Score, which — together with an explicit value-trap check and an expected-return/risk-reward gate — drives a four-way decision: BUY / ACCUMULATE / WAIT / AVOID, replacing today's simple 0-100 "fit for this horizon" number.</w:t>
      </w:r>
    </w:p>
    <w:p>
      <w:pPr>
        <w:pStyle w:val="Heading1"/>
        <w:spacing w:after="140" w:before="320"/>
      </w:pPr>
      <w:r>
        <w:t xml:space="preserve">2. Data inventory: what's already flowing through the pipeline</w:t>
      </w:r>
    </w:p>
    <w:p>
      <w:pPr>
        <w:spacing w:after="120"/>
      </w:pPr>
      <w:r>
        <w:t xml:space="preserve">stock-agent already ingests all of this from Yahoo Finance's chart and quoteSummary endpoints. The "used today?" column is what actually feeds the current score.ts — most of the growth-relevant fields are sitting in D1, ingested every day, completely unused by the scoring logic.</w:t>
      </w:r>
    </w:p>
    <w:p>
      <w:pPr>
        <w:pStyle w:val="Heading2"/>
        <w:spacing w:after="100" w:before="220"/>
      </w:pPr>
      <w:r>
        <w:t xml:space="preserve">Fundamentals (fundamentals_snapshot)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00"/>
        <w:gridCol w:w="4550"/>
      </w:tblGrid>
      <w:tr>
        <w:trPr>
          <w:tblHeader/>
        </w:trPr>
        <w:tc>
          <w:tcPr>
            <w:tcW w:type="dxa" w:w="4800"/>
            <w:shd w:fill="E7E6E1" w:val="clear"/>
            <w:tcMar>
              <w:top w:type="dxa" w:w="60"/>
              <w:left w:type="dxa" w:w="100"/>
              <w:bottom w:type="dxa" w:w="60"/>
              <w:right w:type="dxa" w:w="100"/>
            </w:tcMar>
          </w:tcPr>
          <w:p>
            <w:r>
              <w:rPr>
                <w:b/>
                <w:bCs/>
                <w:sz w:val="20"/>
                <w:szCs w:val="20"/>
              </w:rPr>
              <w:t xml:space="preserve">Field</w:t>
            </w:r>
          </w:p>
        </w:tc>
        <w:tc>
          <w:tcPr>
            <w:tcW w:type="dxa" w:w="4550"/>
            <w:shd w:fill="E7E6E1" w:val="clear"/>
            <w:tcMar>
              <w:top w:type="dxa" w:w="60"/>
              <w:left w:type="dxa" w:w="100"/>
              <w:bottom w:type="dxa" w:w="60"/>
              <w:right w:type="dxa" w:w="100"/>
            </w:tcMar>
          </w:tcPr>
          <w:p>
            <w:r>
              <w:rPr>
                <w:b/>
                <w:bCs/>
                <w:sz w:val="20"/>
                <w:szCs w:val="20"/>
              </w:rPr>
              <w:t xml:space="preserve">Used today?</w:t>
            </w:r>
          </w:p>
        </w:tc>
      </w:tr>
      <w:tr>
        <w:tc>
          <w:tcPr>
            <w:tcW w:type="dxa" w:w="4800"/>
            <w:tcMar>
              <w:top w:type="dxa" w:w="60"/>
              <w:left w:type="dxa" w:w="100"/>
              <w:bottom w:type="dxa" w:w="60"/>
              <w:right w:type="dxa" w:w="100"/>
            </w:tcMar>
          </w:tcPr>
          <w:p>
            <w:r>
              <w:rPr>
                <w:b w:val="false"/>
                <w:bCs w:val="false"/>
                <w:sz w:val="20"/>
                <w:szCs w:val="20"/>
              </w:rPr>
              <w:t xml:space="preserve">trailingPe</w:t>
            </w:r>
          </w:p>
        </w:tc>
        <w:tc>
          <w:tcPr>
            <w:tcW w:type="dxa" w:w="4550"/>
            <w:tcMar>
              <w:top w:type="dxa" w:w="60"/>
              <w:left w:type="dxa" w:w="100"/>
              <w:bottom w:type="dxa" w:w="60"/>
              <w:right w:type="dxa" w:w="100"/>
            </w:tcMar>
          </w:tcPr>
          <w:p>
            <w:r>
              <w:rPr>
                <w:b w:val="false"/>
                <w:bCs w:val="false"/>
                <w:sz w:val="20"/>
                <w:szCs w:val="20"/>
              </w:rPr>
              <w:t xml:space="preserve">no</w:t>
            </w:r>
          </w:p>
        </w:tc>
      </w:tr>
      <w:tr>
        <w:tc>
          <w:tcPr>
            <w:tcW w:type="dxa" w:w="4800"/>
            <w:tcMar>
              <w:top w:type="dxa" w:w="60"/>
              <w:left w:type="dxa" w:w="100"/>
              <w:bottom w:type="dxa" w:w="60"/>
              <w:right w:type="dxa" w:w="100"/>
            </w:tcMar>
          </w:tcPr>
          <w:p>
            <w:r>
              <w:rPr>
                <w:b w:val="false"/>
                <w:bCs w:val="false"/>
                <w:sz w:val="20"/>
                <w:szCs w:val="20"/>
              </w:rPr>
              <w:t xml:space="preserve">forwardPe</w:t>
            </w:r>
          </w:p>
        </w:tc>
        <w:tc>
          <w:tcPr>
            <w:tcW w:type="dxa" w:w="4550"/>
            <w:tcMar>
              <w:top w:type="dxa" w:w="60"/>
              <w:left w:type="dxa" w:w="100"/>
              <w:bottom w:type="dxa" w:w="60"/>
              <w:right w:type="dxa" w:w="100"/>
            </w:tcMar>
          </w:tcPr>
          <w:p>
            <w:r>
              <w:rPr>
                <w:b w:val="false"/>
                <w:bCs w:val="false"/>
                <w:sz w:val="20"/>
                <w:szCs w:val="20"/>
              </w:rPr>
              <w:t xml:space="preserve">no — new in this spec</w:t>
            </w:r>
          </w:p>
        </w:tc>
      </w:tr>
      <w:tr>
        <w:tc>
          <w:tcPr>
            <w:tcW w:type="dxa" w:w="4800"/>
            <w:tcMar>
              <w:top w:type="dxa" w:w="60"/>
              <w:left w:type="dxa" w:w="100"/>
              <w:bottom w:type="dxa" w:w="60"/>
              <w:right w:type="dxa" w:w="100"/>
            </w:tcMar>
          </w:tcPr>
          <w:p>
            <w:r>
              <w:rPr>
                <w:b w:val="false"/>
                <w:bCs w:val="false"/>
                <w:sz w:val="20"/>
                <w:szCs w:val="20"/>
              </w:rPr>
              <w:t xml:space="preserve">priceToBook, priceToSales, evToEbitda</w:t>
            </w:r>
          </w:p>
        </w:tc>
        <w:tc>
          <w:tcPr>
            <w:tcW w:type="dxa" w:w="4550"/>
            <w:tcMar>
              <w:top w:type="dxa" w:w="60"/>
              <w:left w:type="dxa" w:w="100"/>
              <w:bottom w:type="dxa" w:w="60"/>
              <w:right w:type="dxa" w:w="100"/>
            </w:tcMar>
          </w:tcPr>
          <w:p>
            <w:r>
              <w:rPr>
                <w:b w:val="false"/>
                <w:bCs w:val="false"/>
                <w:sz w:val="20"/>
                <w:szCs w:val="20"/>
              </w:rPr>
              <w:t xml:space="preserve">no</w:t>
            </w:r>
          </w:p>
        </w:tc>
      </w:tr>
      <w:tr>
        <w:tc>
          <w:tcPr>
            <w:tcW w:type="dxa" w:w="4800"/>
            <w:tcMar>
              <w:top w:type="dxa" w:w="60"/>
              <w:left w:type="dxa" w:w="100"/>
              <w:bottom w:type="dxa" w:w="60"/>
              <w:right w:type="dxa" w:w="100"/>
            </w:tcMar>
          </w:tcPr>
          <w:p>
            <w:r>
              <w:rPr>
                <w:b w:val="false"/>
                <w:bCs w:val="false"/>
                <w:sz w:val="20"/>
                <w:szCs w:val="20"/>
              </w:rPr>
              <w:t xml:space="preserve">dividendYield</w:t>
            </w:r>
          </w:p>
        </w:tc>
        <w:tc>
          <w:tcPr>
            <w:tcW w:type="dxa" w:w="4550"/>
            <w:tcMar>
              <w:top w:type="dxa" w:w="60"/>
              <w:left w:type="dxa" w:w="100"/>
              <w:bottom w:type="dxa" w:w="60"/>
              <w:right w:type="dxa" w:w="100"/>
            </w:tcMar>
          </w:tcPr>
          <w:p>
            <w:r>
              <w:rPr>
                <w:b w:val="false"/>
                <w:bCs w:val="false"/>
                <w:sz w:val="20"/>
                <w:szCs w:val="20"/>
              </w:rPr>
              <w:t xml:space="preserve">yes (style classification)</w:t>
            </w:r>
          </w:p>
        </w:tc>
      </w:tr>
      <w:tr>
        <w:tc>
          <w:tcPr>
            <w:tcW w:type="dxa" w:w="4800"/>
            <w:tcMar>
              <w:top w:type="dxa" w:w="60"/>
              <w:left w:type="dxa" w:w="100"/>
              <w:bottom w:type="dxa" w:w="60"/>
              <w:right w:type="dxa" w:w="100"/>
            </w:tcMar>
          </w:tcPr>
          <w:p>
            <w:r>
              <w:rPr>
                <w:b w:val="false"/>
                <w:bCs w:val="false"/>
                <w:sz w:val="20"/>
                <w:szCs w:val="20"/>
              </w:rPr>
              <w:t xml:space="preserve">payoutRatio</w:t>
            </w:r>
          </w:p>
        </w:tc>
        <w:tc>
          <w:tcPr>
            <w:tcW w:type="dxa" w:w="4550"/>
            <w:tcMar>
              <w:top w:type="dxa" w:w="60"/>
              <w:left w:type="dxa" w:w="100"/>
              <w:bottom w:type="dxa" w:w="60"/>
              <w:right w:type="dxa" w:w="100"/>
            </w:tcMar>
          </w:tcPr>
          <w:p>
            <w:r>
              <w:rPr>
                <w:b w:val="false"/>
                <w:bCs w:val="false"/>
                <w:sz w:val="20"/>
                <w:szCs w:val="20"/>
              </w:rPr>
              <w:t xml:space="preserve">no</w:t>
            </w:r>
          </w:p>
        </w:tc>
      </w:tr>
      <w:tr>
        <w:tc>
          <w:tcPr>
            <w:tcW w:type="dxa" w:w="4800"/>
            <w:tcMar>
              <w:top w:type="dxa" w:w="60"/>
              <w:left w:type="dxa" w:w="100"/>
              <w:bottom w:type="dxa" w:w="60"/>
              <w:right w:type="dxa" w:w="100"/>
            </w:tcMar>
          </w:tcPr>
          <w:p>
            <w:r>
              <w:rPr>
                <w:b w:val="false"/>
                <w:bCs w:val="false"/>
                <w:sz w:val="20"/>
                <w:szCs w:val="20"/>
              </w:rPr>
              <w:t xml:space="preserve">revenueGrowthYoy, earningsGrowthYoy</w:t>
            </w:r>
          </w:p>
        </w:tc>
        <w:tc>
          <w:tcPr>
            <w:tcW w:type="dxa" w:w="4550"/>
            <w:tcMar>
              <w:top w:type="dxa" w:w="60"/>
              <w:left w:type="dxa" w:w="100"/>
              <w:bottom w:type="dxa" w:w="60"/>
              <w:right w:type="dxa" w:w="100"/>
            </w:tcMar>
          </w:tcPr>
          <w:p>
            <w:r>
              <w:rPr>
                <w:b w:val="false"/>
                <w:bCs w:val="false"/>
                <w:sz w:val="20"/>
                <w:szCs w:val="20"/>
              </w:rPr>
              <w:t xml:space="preserve">yes (quality band + style)</w:t>
            </w:r>
          </w:p>
        </w:tc>
      </w:tr>
      <w:tr>
        <w:tc>
          <w:tcPr>
            <w:tcW w:type="dxa" w:w="4800"/>
            <w:tcMar>
              <w:top w:type="dxa" w:w="60"/>
              <w:left w:type="dxa" w:w="100"/>
              <w:bottom w:type="dxa" w:w="60"/>
              <w:right w:type="dxa" w:w="100"/>
            </w:tcMar>
          </w:tcPr>
          <w:p>
            <w:r>
              <w:rPr>
                <w:b w:val="false"/>
                <w:bCs w:val="false"/>
                <w:sz w:val="20"/>
                <w:szCs w:val="20"/>
              </w:rPr>
              <w:t xml:space="preserve">grossMargin, operatingMargin, netMargin</w:t>
            </w:r>
          </w:p>
        </w:tc>
        <w:tc>
          <w:tcPr>
            <w:tcW w:type="dxa" w:w="4550"/>
            <w:tcMar>
              <w:top w:type="dxa" w:w="60"/>
              <w:left w:type="dxa" w:w="100"/>
              <w:bottom w:type="dxa" w:w="60"/>
              <w:right w:type="dxa" w:w="100"/>
            </w:tcMar>
          </w:tcPr>
          <w:p>
            <w:r>
              <w:rPr>
                <w:b w:val="false"/>
                <w:bCs w:val="false"/>
                <w:sz w:val="20"/>
                <w:szCs w:val="20"/>
              </w:rPr>
              <w:t xml:space="preserve">yes (quality band)</w:t>
            </w:r>
          </w:p>
        </w:tc>
      </w:tr>
      <w:tr>
        <w:tc>
          <w:tcPr>
            <w:tcW w:type="dxa" w:w="4800"/>
            <w:tcMar>
              <w:top w:type="dxa" w:w="60"/>
              <w:left w:type="dxa" w:w="100"/>
              <w:bottom w:type="dxa" w:w="60"/>
              <w:right w:type="dxa" w:w="100"/>
            </w:tcMar>
          </w:tcPr>
          <w:p>
            <w:r>
              <w:rPr>
                <w:b w:val="false"/>
                <w:bCs w:val="false"/>
                <w:sz w:val="20"/>
                <w:szCs w:val="20"/>
              </w:rPr>
              <w:t xml:space="preserve">returnOnEquity</w:t>
            </w:r>
          </w:p>
        </w:tc>
        <w:tc>
          <w:tcPr>
            <w:tcW w:type="dxa" w:w="4550"/>
            <w:tcMar>
              <w:top w:type="dxa" w:w="60"/>
              <w:left w:type="dxa" w:w="100"/>
              <w:bottom w:type="dxa" w:w="60"/>
              <w:right w:type="dxa" w:w="100"/>
            </w:tcMar>
          </w:tcPr>
          <w:p>
            <w:r>
              <w:rPr>
                <w:b w:val="false"/>
                <w:bCs w:val="false"/>
                <w:sz w:val="20"/>
                <w:szCs w:val="20"/>
              </w:rPr>
              <w:t xml:space="preserve">yes (quality band)</w:t>
            </w:r>
          </w:p>
        </w:tc>
      </w:tr>
      <w:tr>
        <w:tc>
          <w:tcPr>
            <w:tcW w:type="dxa" w:w="4800"/>
            <w:tcMar>
              <w:top w:type="dxa" w:w="60"/>
              <w:left w:type="dxa" w:w="100"/>
              <w:bottom w:type="dxa" w:w="60"/>
              <w:right w:type="dxa" w:w="100"/>
            </w:tcMar>
          </w:tcPr>
          <w:p>
            <w:r>
              <w:rPr>
                <w:b w:val="false"/>
                <w:bCs w:val="false"/>
                <w:sz w:val="20"/>
                <w:szCs w:val="20"/>
              </w:rPr>
              <w:t xml:space="preserve">returnOnInvestedCapital</w:t>
            </w:r>
          </w:p>
        </w:tc>
        <w:tc>
          <w:tcPr>
            <w:tcW w:type="dxa" w:w="4550"/>
            <w:tcMar>
              <w:top w:type="dxa" w:w="60"/>
              <w:left w:type="dxa" w:w="100"/>
              <w:bottom w:type="dxa" w:w="60"/>
              <w:right w:type="dxa" w:w="100"/>
            </w:tcMar>
          </w:tcPr>
          <w:p>
            <w:r>
              <w:rPr>
                <w:b w:val="false"/>
                <w:bCs w:val="false"/>
                <w:sz w:val="20"/>
                <w:szCs w:val="20"/>
              </w:rPr>
              <w:t xml:space="preserve">no — new in this spec</w:t>
            </w:r>
          </w:p>
        </w:tc>
      </w:tr>
      <w:tr>
        <w:tc>
          <w:tcPr>
            <w:tcW w:type="dxa" w:w="4800"/>
            <w:tcMar>
              <w:top w:type="dxa" w:w="60"/>
              <w:left w:type="dxa" w:w="100"/>
              <w:bottom w:type="dxa" w:w="60"/>
              <w:right w:type="dxa" w:w="100"/>
            </w:tcMar>
          </w:tcPr>
          <w:p>
            <w:r>
              <w:rPr>
                <w:b w:val="false"/>
                <w:bCs w:val="false"/>
                <w:sz w:val="20"/>
                <w:szCs w:val="20"/>
              </w:rPr>
              <w:t xml:space="preserve">debtToEquity</w:t>
            </w:r>
          </w:p>
        </w:tc>
        <w:tc>
          <w:tcPr>
            <w:tcW w:type="dxa" w:w="4550"/>
            <w:tcMar>
              <w:top w:type="dxa" w:w="60"/>
              <w:left w:type="dxa" w:w="100"/>
              <w:bottom w:type="dxa" w:w="60"/>
              <w:right w:type="dxa" w:w="100"/>
            </w:tcMar>
          </w:tcPr>
          <w:p>
            <w:r>
              <w:rPr>
                <w:b w:val="false"/>
                <w:bCs w:val="false"/>
                <w:sz w:val="20"/>
                <w:szCs w:val="20"/>
              </w:rPr>
              <w:t xml:space="preserve">yes (quality band)</w:t>
            </w:r>
          </w:p>
        </w:tc>
      </w:tr>
      <w:tr>
        <w:tc>
          <w:tcPr>
            <w:tcW w:type="dxa" w:w="4800"/>
            <w:tcMar>
              <w:top w:type="dxa" w:w="60"/>
              <w:left w:type="dxa" w:w="100"/>
              <w:bottom w:type="dxa" w:w="60"/>
              <w:right w:type="dxa" w:w="100"/>
            </w:tcMar>
          </w:tcPr>
          <w:p>
            <w:r>
              <w:rPr>
                <w:b w:val="false"/>
                <w:bCs w:val="false"/>
                <w:sz w:val="20"/>
                <w:szCs w:val="20"/>
              </w:rPr>
              <w:t xml:space="preserve">freeCashFlow</w:t>
            </w:r>
          </w:p>
        </w:tc>
        <w:tc>
          <w:tcPr>
            <w:tcW w:type="dxa" w:w="4550"/>
            <w:tcMar>
              <w:top w:type="dxa" w:w="60"/>
              <w:left w:type="dxa" w:w="100"/>
              <w:bottom w:type="dxa" w:w="60"/>
              <w:right w:type="dxa" w:w="100"/>
            </w:tcMar>
          </w:tcPr>
          <w:p>
            <w:r>
              <w:rPr>
                <w:b w:val="false"/>
                <w:bCs w:val="false"/>
                <w:sz w:val="20"/>
                <w:szCs w:val="20"/>
              </w:rPr>
              <w:t xml:space="preserve">no — new in this spec</w:t>
            </w:r>
          </w:p>
        </w:tc>
      </w:tr>
      <w:tr>
        <w:tc>
          <w:tcPr>
            <w:tcW w:type="dxa" w:w="4800"/>
            <w:tcMar>
              <w:top w:type="dxa" w:w="60"/>
              <w:left w:type="dxa" w:w="100"/>
              <w:bottom w:type="dxa" w:w="60"/>
              <w:right w:type="dxa" w:w="100"/>
            </w:tcMar>
          </w:tcPr>
          <w:p>
            <w:r>
              <w:rPr>
                <w:b w:val="false"/>
                <w:bCs w:val="false"/>
                <w:sz w:val="20"/>
                <w:szCs w:val="20"/>
              </w:rPr>
              <w:t xml:space="preserve">fcfYield</w:t>
            </w:r>
          </w:p>
        </w:tc>
        <w:tc>
          <w:tcPr>
            <w:tcW w:type="dxa" w:w="4550"/>
            <w:tcMar>
              <w:top w:type="dxa" w:w="60"/>
              <w:left w:type="dxa" w:w="100"/>
              <w:bottom w:type="dxa" w:w="60"/>
              <w:right w:type="dxa" w:w="100"/>
            </w:tcMar>
          </w:tcPr>
          <w:p>
            <w:r>
              <w:rPr>
                <w:b w:val="false"/>
                <w:bCs w:val="false"/>
                <w:sz w:val="20"/>
                <w:szCs w:val="20"/>
              </w:rPr>
              <w:t xml:space="preserve">no — new in this spec</w:t>
            </w:r>
          </w:p>
        </w:tc>
      </w:tr>
      <w:tr>
        <w:tc>
          <w:tcPr>
            <w:tcW w:type="dxa" w:w="4800"/>
            <w:tcMar>
              <w:top w:type="dxa" w:w="60"/>
              <w:left w:type="dxa" w:w="100"/>
              <w:bottom w:type="dxa" w:w="60"/>
              <w:right w:type="dxa" w:w="100"/>
            </w:tcMar>
          </w:tcPr>
          <w:p>
            <w:r>
              <w:rPr>
                <w:b w:val="false"/>
                <w:bCs w:val="false"/>
                <w:sz w:val="20"/>
                <w:szCs w:val="20"/>
              </w:rPr>
              <w:t xml:space="preserve">marketCap</w:t>
            </w:r>
          </w:p>
        </w:tc>
        <w:tc>
          <w:tcPr>
            <w:tcW w:type="dxa" w:w="4550"/>
            <w:tcMar>
              <w:top w:type="dxa" w:w="60"/>
              <w:left w:type="dxa" w:w="100"/>
              <w:bottom w:type="dxa" w:w="60"/>
              <w:right w:type="dxa" w:w="100"/>
            </w:tcMar>
          </w:tcPr>
          <w:p>
            <w:r>
              <w:rPr>
                <w:b w:val="false"/>
                <w:bCs w:val="false"/>
                <w:sz w:val="20"/>
                <w:szCs w:val="20"/>
              </w:rPr>
              <w:t xml:space="preserve">no</w:t>
            </w:r>
          </w:p>
        </w:tc>
      </w:tr>
      <w:tr>
        <w:tc>
          <w:tcPr>
            <w:tcW w:type="dxa" w:w="4800"/>
            <w:tcMar>
              <w:top w:type="dxa" w:w="60"/>
              <w:left w:type="dxa" w:w="100"/>
              <w:bottom w:type="dxa" w:w="60"/>
              <w:right w:type="dxa" w:w="100"/>
            </w:tcMar>
          </w:tcPr>
          <w:p>
            <w:r>
              <w:rPr>
                <w:b w:val="false"/>
                <w:bCs w:val="false"/>
                <w:sz w:val="20"/>
                <w:szCs w:val="20"/>
              </w:rPr>
              <w:t xml:space="preserve">pegRatio</w:t>
            </w:r>
          </w:p>
        </w:tc>
        <w:tc>
          <w:tcPr>
            <w:tcW w:type="dxa" w:w="4550"/>
            <w:tcMar>
              <w:top w:type="dxa" w:w="60"/>
              <w:left w:type="dxa" w:w="100"/>
              <w:bottom w:type="dxa" w:w="60"/>
              <w:right w:type="dxa" w:w="100"/>
            </w:tcMar>
          </w:tcPr>
          <w:p>
            <w:r>
              <w:rPr>
                <w:b w:val="false"/>
                <w:bCs w:val="false"/>
                <w:sz w:val="20"/>
                <w:szCs w:val="20"/>
              </w:rPr>
              <w:t xml:space="preserve">no — new in this spec</w:t>
            </w:r>
          </w:p>
        </w:tc>
      </w:tr>
    </w:tbl>
    <w:p>
      <w:pPr>
        <w:pStyle w:val="Heading2"/>
        <w:spacing w:after="100" w:before="220"/>
      </w:pPr>
      <w:r>
        <w:t xml:space="preserve">Valuation (valuation_estimates)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00"/>
        <w:gridCol w:w="4550"/>
      </w:tblGrid>
      <w:tr>
        <w:trPr>
          <w:tblHeader/>
        </w:trPr>
        <w:tc>
          <w:tcPr>
            <w:tcW w:type="dxa" w:w="4800"/>
            <w:shd w:fill="E7E6E1" w:val="clear"/>
            <w:tcMar>
              <w:top w:type="dxa" w:w="60"/>
              <w:left w:type="dxa" w:w="100"/>
              <w:bottom w:type="dxa" w:w="60"/>
              <w:right w:type="dxa" w:w="100"/>
            </w:tcMar>
          </w:tcPr>
          <w:p>
            <w:r>
              <w:rPr>
                <w:b/>
                <w:bCs/>
                <w:sz w:val="20"/>
                <w:szCs w:val="20"/>
              </w:rPr>
              <w:t xml:space="preserve">Field</w:t>
            </w:r>
          </w:p>
        </w:tc>
        <w:tc>
          <w:tcPr>
            <w:tcW w:type="dxa" w:w="4550"/>
            <w:shd w:fill="E7E6E1" w:val="clear"/>
            <w:tcMar>
              <w:top w:type="dxa" w:w="60"/>
              <w:left w:type="dxa" w:w="100"/>
              <w:bottom w:type="dxa" w:w="60"/>
              <w:right w:type="dxa" w:w="100"/>
            </w:tcMar>
          </w:tcPr>
          <w:p>
            <w:r>
              <w:rPr>
                <w:b/>
                <w:bCs/>
                <w:sz w:val="20"/>
                <w:szCs w:val="20"/>
              </w:rPr>
              <w:t xml:space="preserve">Used today?</w:t>
            </w:r>
          </w:p>
        </w:tc>
      </w:tr>
      <w:tr>
        <w:tc>
          <w:tcPr>
            <w:tcW w:type="dxa" w:w="4800"/>
            <w:tcMar>
              <w:top w:type="dxa" w:w="60"/>
              <w:left w:type="dxa" w:w="100"/>
              <w:bottom w:type="dxa" w:w="60"/>
              <w:right w:type="dxa" w:w="100"/>
            </w:tcMar>
          </w:tcPr>
          <w:p>
            <w:r>
              <w:rPr>
                <w:b w:val="false"/>
                <w:bCs w:val="false"/>
                <w:sz w:val="20"/>
                <w:szCs w:val="20"/>
              </w:rPr>
              <w:t xml:space="preserve">fairValue</w:t>
            </w:r>
          </w:p>
        </w:tc>
        <w:tc>
          <w:tcPr>
            <w:tcW w:type="dxa" w:w="4550"/>
            <w:tcMar>
              <w:top w:type="dxa" w:w="60"/>
              <w:left w:type="dxa" w:w="100"/>
              <w:bottom w:type="dxa" w:w="60"/>
              <w:right w:type="dxa" w:w="100"/>
            </w:tcMar>
          </w:tcPr>
          <w:p>
            <w:r>
              <w:rPr>
                <w:b w:val="false"/>
                <w:bCs w:val="false"/>
                <w:sz w:val="20"/>
                <w:szCs w:val="20"/>
              </w:rPr>
              <w:t xml:space="preserve">yes (valuation gap)</w:t>
            </w:r>
          </w:p>
        </w:tc>
      </w:tr>
      <w:tr>
        <w:tc>
          <w:tcPr>
            <w:tcW w:type="dxa" w:w="4800"/>
            <w:tcMar>
              <w:top w:type="dxa" w:w="60"/>
              <w:left w:type="dxa" w:w="100"/>
              <w:bottom w:type="dxa" w:w="60"/>
              <w:right w:type="dxa" w:w="100"/>
            </w:tcMar>
          </w:tcPr>
          <w:p>
            <w:r>
              <w:rPr>
                <w:b w:val="false"/>
                <w:bCs w:val="false"/>
                <w:sz w:val="20"/>
                <w:szCs w:val="20"/>
              </w:rPr>
              <w:t xml:space="preserve">targetPrice</w:t>
            </w:r>
          </w:p>
        </w:tc>
        <w:tc>
          <w:tcPr>
            <w:tcW w:type="dxa" w:w="4550"/>
            <w:tcMar>
              <w:top w:type="dxa" w:w="60"/>
              <w:left w:type="dxa" w:w="100"/>
              <w:bottom w:type="dxa" w:w="60"/>
              <w:right w:type="dxa" w:w="100"/>
            </w:tcMar>
          </w:tcPr>
          <w:p>
            <w:r>
              <w:rPr>
                <w:b w:val="false"/>
                <w:bCs w:val="false"/>
                <w:sz w:val="20"/>
                <w:szCs w:val="20"/>
              </w:rPr>
              <w:t xml:space="preserve">no</w:t>
            </w:r>
          </w:p>
        </w:tc>
      </w:tr>
      <w:tr>
        <w:tc>
          <w:tcPr>
            <w:tcW w:type="dxa" w:w="4800"/>
            <w:tcMar>
              <w:top w:type="dxa" w:w="60"/>
              <w:left w:type="dxa" w:w="100"/>
              <w:bottom w:type="dxa" w:w="60"/>
              <w:right w:type="dxa" w:w="100"/>
            </w:tcMar>
          </w:tcPr>
          <w:p>
            <w:r>
              <w:rPr>
                <w:b w:val="false"/>
                <w:bCs w:val="false"/>
                <w:sz w:val="20"/>
                <w:szCs w:val="20"/>
              </w:rPr>
              <w:t xml:space="preserve">targetLow, targetHigh</w:t>
            </w:r>
          </w:p>
        </w:tc>
        <w:tc>
          <w:tcPr>
            <w:tcW w:type="dxa" w:w="4550"/>
            <w:tcMar>
              <w:top w:type="dxa" w:w="60"/>
              <w:left w:type="dxa" w:w="100"/>
              <w:bottom w:type="dxa" w:w="60"/>
              <w:right w:type="dxa" w:w="100"/>
            </w:tcMar>
          </w:tcPr>
          <w:p>
            <w:r>
              <w:rPr>
                <w:b w:val="false"/>
                <w:bCs w:val="false"/>
                <w:sz w:val="20"/>
                <w:szCs w:val="20"/>
              </w:rPr>
              <w:t xml:space="preserve">no — new in this spec (expected return)</w:t>
            </w:r>
          </w:p>
        </w:tc>
      </w:tr>
      <w:tr>
        <w:tc>
          <w:tcPr>
            <w:tcW w:type="dxa" w:w="4800"/>
            <w:tcMar>
              <w:top w:type="dxa" w:w="60"/>
              <w:left w:type="dxa" w:w="100"/>
              <w:bottom w:type="dxa" w:w="60"/>
              <w:right w:type="dxa" w:w="100"/>
            </w:tcMar>
          </w:tcPr>
          <w:p>
            <w:r>
              <w:rPr>
                <w:b w:val="false"/>
                <w:bCs w:val="false"/>
                <w:sz w:val="20"/>
                <w:szCs w:val="20"/>
              </w:rPr>
              <w:t xml:space="preserve">rating</w:t>
            </w:r>
          </w:p>
        </w:tc>
        <w:tc>
          <w:tcPr>
            <w:tcW w:type="dxa" w:w="4550"/>
            <w:tcMar>
              <w:top w:type="dxa" w:w="60"/>
              <w:left w:type="dxa" w:w="100"/>
              <w:bottom w:type="dxa" w:w="60"/>
              <w:right w:type="dxa" w:w="100"/>
            </w:tcMar>
          </w:tcPr>
          <w:p>
            <w:r>
              <w:rPr>
                <w:b w:val="false"/>
                <w:bCs w:val="false"/>
                <w:sz w:val="20"/>
                <w:szCs w:val="20"/>
              </w:rPr>
              <w:t xml:space="preserve">no</w:t>
            </w:r>
          </w:p>
        </w:tc>
      </w:tr>
      <w:tr>
        <w:tc>
          <w:tcPr>
            <w:tcW w:type="dxa" w:w="4800"/>
            <w:tcMar>
              <w:top w:type="dxa" w:w="60"/>
              <w:left w:type="dxa" w:w="100"/>
              <w:bottom w:type="dxa" w:w="60"/>
              <w:right w:type="dxa" w:w="100"/>
            </w:tcMar>
          </w:tcPr>
          <w:p>
            <w:r>
              <w:rPr>
                <w:b w:val="false"/>
                <w:bCs w:val="false"/>
                <w:sz w:val="20"/>
                <w:szCs w:val="20"/>
              </w:rPr>
              <w:t xml:space="preserve">numAnalysts</w:t>
            </w:r>
          </w:p>
        </w:tc>
        <w:tc>
          <w:tcPr>
            <w:tcW w:type="dxa" w:w="4550"/>
            <w:tcMar>
              <w:top w:type="dxa" w:w="60"/>
              <w:left w:type="dxa" w:w="100"/>
              <w:bottom w:type="dxa" w:w="60"/>
              <w:right w:type="dxa" w:w="100"/>
            </w:tcMar>
          </w:tcPr>
          <w:p>
            <w:r>
              <w:rPr>
                <w:b w:val="false"/>
                <w:bCs w:val="false"/>
                <w:sz w:val="20"/>
                <w:szCs w:val="20"/>
              </w:rPr>
              <w:t xml:space="preserve">displayed only</w:t>
            </w:r>
          </w:p>
        </w:tc>
      </w:tr>
    </w:tbl>
    <w:p>
      <w:pPr>
        <w:pStyle w:val="Heading2"/>
        <w:spacing w:after="100" w:before="220"/>
      </w:pPr>
      <w:r>
        <w:t xml:space="preserve">Technicals (technical_snapshot)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00"/>
        <w:gridCol w:w="4550"/>
      </w:tblGrid>
      <w:tr>
        <w:trPr>
          <w:tblHeader/>
        </w:trPr>
        <w:tc>
          <w:tcPr>
            <w:tcW w:type="dxa" w:w="4800"/>
            <w:shd w:fill="E7E6E1" w:val="clear"/>
            <w:tcMar>
              <w:top w:type="dxa" w:w="60"/>
              <w:left w:type="dxa" w:w="100"/>
              <w:bottom w:type="dxa" w:w="60"/>
              <w:right w:type="dxa" w:w="100"/>
            </w:tcMar>
          </w:tcPr>
          <w:p>
            <w:r>
              <w:rPr>
                <w:b/>
                <w:bCs/>
                <w:sz w:val="20"/>
                <w:szCs w:val="20"/>
              </w:rPr>
              <w:t xml:space="preserve">Field</w:t>
            </w:r>
          </w:p>
        </w:tc>
        <w:tc>
          <w:tcPr>
            <w:tcW w:type="dxa" w:w="4550"/>
            <w:shd w:fill="E7E6E1" w:val="clear"/>
            <w:tcMar>
              <w:top w:type="dxa" w:w="60"/>
              <w:left w:type="dxa" w:w="100"/>
              <w:bottom w:type="dxa" w:w="60"/>
              <w:right w:type="dxa" w:w="100"/>
            </w:tcMar>
          </w:tcPr>
          <w:p>
            <w:r>
              <w:rPr>
                <w:b/>
                <w:bCs/>
                <w:sz w:val="20"/>
                <w:szCs w:val="20"/>
              </w:rPr>
              <w:t xml:space="preserve">Used today?</w:t>
            </w:r>
          </w:p>
        </w:tc>
      </w:tr>
      <w:tr>
        <w:tc>
          <w:tcPr>
            <w:tcW w:type="dxa" w:w="4800"/>
            <w:tcMar>
              <w:top w:type="dxa" w:w="60"/>
              <w:left w:type="dxa" w:w="100"/>
              <w:bottom w:type="dxa" w:w="60"/>
              <w:right w:type="dxa" w:w="100"/>
            </w:tcMar>
          </w:tcPr>
          <w:p>
            <w:r>
              <w:rPr>
                <w:b w:val="false"/>
                <w:bCs w:val="false"/>
                <w:sz w:val="20"/>
                <w:szCs w:val="20"/>
              </w:rPr>
              <w:t xml:space="preserve">rsi14</w:t>
            </w:r>
          </w:p>
        </w:tc>
        <w:tc>
          <w:tcPr>
            <w:tcW w:type="dxa" w:w="4550"/>
            <w:tcMar>
              <w:top w:type="dxa" w:w="60"/>
              <w:left w:type="dxa" w:w="100"/>
              <w:bottom w:type="dxa" w:w="60"/>
              <w:right w:type="dxa" w:w="100"/>
            </w:tcMar>
          </w:tcPr>
          <w:p>
            <w:r>
              <w:rPr>
                <w:b w:val="false"/>
                <w:bCs w:val="false"/>
                <w:sz w:val="20"/>
                <w:szCs w:val="20"/>
              </w:rPr>
              <w:t xml:space="preserve">yes</w:t>
            </w:r>
          </w:p>
        </w:tc>
      </w:tr>
      <w:tr>
        <w:tc>
          <w:tcPr>
            <w:tcW w:type="dxa" w:w="4800"/>
            <w:tcMar>
              <w:top w:type="dxa" w:w="60"/>
              <w:left w:type="dxa" w:w="100"/>
              <w:bottom w:type="dxa" w:w="60"/>
              <w:right w:type="dxa" w:w="100"/>
            </w:tcMar>
          </w:tcPr>
          <w:p>
            <w:r>
              <w:rPr>
                <w:b w:val="false"/>
                <w:bCs w:val="false"/>
                <w:sz w:val="20"/>
                <w:szCs w:val="20"/>
              </w:rPr>
              <w:t xml:space="preserve">macd, macdSignal</w:t>
            </w:r>
          </w:p>
        </w:tc>
        <w:tc>
          <w:tcPr>
            <w:tcW w:type="dxa" w:w="4550"/>
            <w:tcMar>
              <w:top w:type="dxa" w:w="60"/>
              <w:left w:type="dxa" w:w="100"/>
              <w:bottom w:type="dxa" w:w="60"/>
              <w:right w:type="dxa" w:w="100"/>
            </w:tcMar>
          </w:tcPr>
          <w:p>
            <w:r>
              <w:rPr>
                <w:b w:val="false"/>
                <w:bCs w:val="false"/>
                <w:sz w:val="20"/>
                <w:szCs w:val="20"/>
              </w:rPr>
              <w:t xml:space="preserve">no — new in this spec</w:t>
            </w:r>
          </w:p>
        </w:tc>
      </w:tr>
      <w:tr>
        <w:tc>
          <w:tcPr>
            <w:tcW w:type="dxa" w:w="4800"/>
            <w:tcMar>
              <w:top w:type="dxa" w:w="60"/>
              <w:left w:type="dxa" w:w="100"/>
              <w:bottom w:type="dxa" w:w="60"/>
              <w:right w:type="dxa" w:w="100"/>
            </w:tcMar>
          </w:tcPr>
          <w:p>
            <w:r>
              <w:rPr>
                <w:b w:val="false"/>
                <w:bCs w:val="false"/>
                <w:sz w:val="20"/>
                <w:szCs w:val="20"/>
              </w:rPr>
              <w:t xml:space="preserve">sma50, sma100, sma200</w:t>
            </w:r>
          </w:p>
        </w:tc>
        <w:tc>
          <w:tcPr>
            <w:tcW w:type="dxa" w:w="4550"/>
            <w:tcMar>
              <w:top w:type="dxa" w:w="60"/>
              <w:left w:type="dxa" w:w="100"/>
              <w:bottom w:type="dxa" w:w="60"/>
              <w:right w:type="dxa" w:w="100"/>
            </w:tcMar>
          </w:tcPr>
          <w:p>
            <w:r>
              <w:rPr>
                <w:b w:val="false"/>
                <w:bCs w:val="false"/>
                <w:sz w:val="20"/>
                <w:szCs w:val="20"/>
              </w:rPr>
              <w:t xml:space="preserve">indirectly, via trendState</w:t>
            </w:r>
          </w:p>
        </w:tc>
      </w:tr>
      <w:tr>
        <w:tc>
          <w:tcPr>
            <w:tcW w:type="dxa" w:w="4800"/>
            <w:tcMar>
              <w:top w:type="dxa" w:w="60"/>
              <w:left w:type="dxa" w:w="100"/>
              <w:bottom w:type="dxa" w:w="60"/>
              <w:right w:type="dxa" w:w="100"/>
            </w:tcMar>
          </w:tcPr>
          <w:p>
            <w:r>
              <w:rPr>
                <w:b w:val="false"/>
                <w:bCs w:val="false"/>
                <w:sz w:val="20"/>
                <w:szCs w:val="20"/>
              </w:rPr>
              <w:t xml:space="preserve">priceVsSma50, priceVsSma200</w:t>
            </w:r>
          </w:p>
        </w:tc>
        <w:tc>
          <w:tcPr>
            <w:tcW w:type="dxa" w:w="4550"/>
            <w:tcMar>
              <w:top w:type="dxa" w:w="60"/>
              <w:left w:type="dxa" w:w="100"/>
              <w:bottom w:type="dxa" w:w="60"/>
              <w:right w:type="dxa" w:w="100"/>
            </w:tcMar>
          </w:tcPr>
          <w:p>
            <w:r>
              <w:rPr>
                <w:b w:val="false"/>
                <w:bCs w:val="false"/>
                <w:sz w:val="20"/>
                <w:szCs w:val="20"/>
              </w:rPr>
              <w:t xml:space="preserve">no</w:t>
            </w:r>
          </w:p>
        </w:tc>
      </w:tr>
      <w:tr>
        <w:tc>
          <w:tcPr>
            <w:tcW w:type="dxa" w:w="4800"/>
            <w:tcMar>
              <w:top w:type="dxa" w:w="60"/>
              <w:left w:type="dxa" w:w="100"/>
              <w:bottom w:type="dxa" w:w="60"/>
              <w:right w:type="dxa" w:w="100"/>
            </w:tcMar>
          </w:tcPr>
          <w:p>
            <w:r>
              <w:rPr>
                <w:b w:val="false"/>
                <w:bCs w:val="false"/>
                <w:sz w:val="20"/>
                <w:szCs w:val="20"/>
              </w:rPr>
              <w:t xml:space="preserve">volatility30d</w:t>
            </w:r>
          </w:p>
        </w:tc>
        <w:tc>
          <w:tcPr>
            <w:tcW w:type="dxa" w:w="4550"/>
            <w:tcMar>
              <w:top w:type="dxa" w:w="60"/>
              <w:left w:type="dxa" w:w="100"/>
              <w:bottom w:type="dxa" w:w="60"/>
              <w:right w:type="dxa" w:w="100"/>
            </w:tcMar>
          </w:tcPr>
          <w:p>
            <w:r>
              <w:rPr>
                <w:b w:val="false"/>
                <w:bCs w:val="false"/>
                <w:sz w:val="20"/>
                <w:szCs w:val="20"/>
              </w:rPr>
              <w:t xml:space="preserve">yes (style classification only)</w:t>
            </w:r>
          </w:p>
        </w:tc>
      </w:tr>
      <w:tr>
        <w:tc>
          <w:tcPr>
            <w:tcW w:type="dxa" w:w="4800"/>
            <w:tcMar>
              <w:top w:type="dxa" w:w="60"/>
              <w:left w:type="dxa" w:w="100"/>
              <w:bottom w:type="dxa" w:w="60"/>
              <w:right w:type="dxa" w:w="100"/>
            </w:tcMar>
          </w:tcPr>
          <w:p>
            <w:r>
              <w:rPr>
                <w:b w:val="false"/>
                <w:bCs w:val="false"/>
                <w:sz w:val="20"/>
                <w:szCs w:val="20"/>
              </w:rPr>
              <w:t xml:space="preserve">volumeTrend20d</w:t>
            </w:r>
          </w:p>
        </w:tc>
        <w:tc>
          <w:tcPr>
            <w:tcW w:type="dxa" w:w="4550"/>
            <w:tcMar>
              <w:top w:type="dxa" w:w="60"/>
              <w:left w:type="dxa" w:w="100"/>
              <w:bottom w:type="dxa" w:w="60"/>
              <w:right w:type="dxa" w:w="100"/>
            </w:tcMar>
          </w:tcPr>
          <w:p>
            <w:r>
              <w:rPr>
                <w:b w:val="false"/>
                <w:bCs w:val="false"/>
                <w:sz w:val="20"/>
                <w:szCs w:val="20"/>
              </w:rPr>
              <w:t xml:space="preserve">no — new in this spec</w:t>
            </w:r>
          </w:p>
        </w:tc>
      </w:tr>
      <w:tr>
        <w:tc>
          <w:tcPr>
            <w:tcW w:type="dxa" w:w="4800"/>
            <w:tcMar>
              <w:top w:type="dxa" w:w="60"/>
              <w:left w:type="dxa" w:w="100"/>
              <w:bottom w:type="dxa" w:w="60"/>
              <w:right w:type="dxa" w:w="100"/>
            </w:tcMar>
          </w:tcPr>
          <w:p>
            <w:r>
              <w:rPr>
                <w:b w:val="false"/>
                <w:bCs w:val="false"/>
                <w:sz w:val="20"/>
                <w:szCs w:val="20"/>
              </w:rPr>
              <w:t xml:space="preserve">priceRangePercentile, distFromHighPct, distFromLowPct</w:t>
            </w:r>
          </w:p>
        </w:tc>
        <w:tc>
          <w:tcPr>
            <w:tcW w:type="dxa" w:w="4550"/>
            <w:tcMar>
              <w:top w:type="dxa" w:w="60"/>
              <w:left w:type="dxa" w:w="100"/>
              <w:bottom w:type="dxa" w:w="60"/>
              <w:right w:type="dxa" w:w="100"/>
            </w:tcMar>
          </w:tcPr>
          <w:p>
            <w:r>
              <w:rPr>
                <w:b w:val="false"/>
                <w:bCs w:val="false"/>
                <w:sz w:val="20"/>
                <w:szCs w:val="20"/>
              </w:rPr>
              <w:t xml:space="preserve">yes</w:t>
            </w:r>
          </w:p>
        </w:tc>
      </w:tr>
      <w:tr>
        <w:tc>
          <w:tcPr>
            <w:tcW w:type="dxa" w:w="4800"/>
            <w:tcMar>
              <w:top w:type="dxa" w:w="60"/>
              <w:left w:type="dxa" w:w="100"/>
              <w:bottom w:type="dxa" w:w="60"/>
              <w:right w:type="dxa" w:w="100"/>
            </w:tcMar>
          </w:tcPr>
          <w:p>
            <w:r>
              <w:rPr>
                <w:b w:val="false"/>
                <w:bCs w:val="false"/>
                <w:sz w:val="20"/>
                <w:szCs w:val="20"/>
              </w:rPr>
              <w:t xml:space="preserve">trendState</w:t>
            </w:r>
          </w:p>
        </w:tc>
        <w:tc>
          <w:tcPr>
            <w:tcW w:type="dxa" w:w="4550"/>
            <w:tcMar>
              <w:top w:type="dxa" w:w="60"/>
              <w:left w:type="dxa" w:w="100"/>
              <w:bottom w:type="dxa" w:w="60"/>
              <w:right w:type="dxa" w:w="100"/>
            </w:tcMar>
          </w:tcPr>
          <w:p>
            <w:r>
              <w:rPr>
                <w:b w:val="false"/>
                <w:bCs w:val="false"/>
                <w:sz w:val="20"/>
                <w:szCs w:val="20"/>
              </w:rPr>
              <w:t xml:space="preserve">yes</w:t>
            </w:r>
          </w:p>
        </w:tc>
      </w:tr>
    </w:tbl>
    <w:p>
      <w:pPr>
        <w:pStyle w:val="Heading2"/>
        <w:spacing w:after="100" w:before="220"/>
      </w:pPr>
      <w:r>
        <w:t xml:space="preserve">Not available from Yahoo's free endpoints today</w:t>
      </w:r>
    </w:p>
    <w:p>
      <w:pPr>
        <w:pStyle w:val="ListParagraph"/>
        <w:numPr>
          <w:ilvl w:val="0"/>
          <w:numId w:val="1"/>
        </w:numPr>
        <w:spacing w:after="60"/>
      </w:pPr>
      <w:r>
        <w:t xml:space="preserve">True multi-year discounted-cash-flow model (needs a forecast + discount-rate assumption stock-agent has no basis to generate)</w:t>
      </w:r>
    </w:p>
    <w:p>
      <w:pPr>
        <w:pStyle w:val="ListParagraph"/>
        <w:numPr>
          <w:ilvl w:val="0"/>
          <w:numId w:val="1"/>
        </w:numPr>
        <w:spacing w:after="60"/>
      </w:pPr>
      <w:r>
        <w:t xml:space="preserve">Sector / competitor relative valuation (no peer-group data source is ingested)</w:t>
      </w:r>
    </w:p>
    <w:p>
      <w:pPr>
        <w:pStyle w:val="ListParagraph"/>
        <w:numPr>
          <w:ilvl w:val="0"/>
          <w:numId w:val="1"/>
        </w:numPr>
        <w:spacing w:after="60"/>
      </w:pPr>
      <w:r>
        <w:t xml:space="preserve">GAAP-to-normalized earnings adjustment (needs income-statement line-item detail — one-off gains, restructuring charges — not in the current ingestion)</w:t>
      </w:r>
    </w:p>
    <w:p>
      <w:pPr>
        <w:pStyle w:val="ListParagraph"/>
        <w:numPr>
          <w:ilvl w:val="0"/>
          <w:numId w:val="1"/>
        </w:numPr>
        <w:spacing w:after="60"/>
      </w:pPr>
      <w:r>
        <w:t xml:space="preserve">CapEx as its own line item (needs the cash-flow-statement quoteSummary module, not currently pulled)</w:t>
      </w:r>
    </w:p>
    <w:p>
      <w:pPr>
        <w:pStyle w:val="ListParagraph"/>
        <w:numPr>
          <w:ilvl w:val="0"/>
          <w:numId w:val="1"/>
        </w:numPr>
        <w:spacing w:after="60"/>
      </w:pPr>
      <w:r>
        <w:t xml:space="preserve">A historical backtesting dataset (the source doc's own "Version 2") and qualitative catalyst detection (AWS-growth-style news reading)</w:t>
      </w:r>
    </w:p>
    <w:p>
      <w:pPr>
        <w:pBdr>
          <w:left w:val="single" w:color="AAAAAA" w:sz="12" w:space="8"/>
        </w:pBdr>
        <w:spacing w:after="160"/>
        <w:ind w:left="200"/>
      </w:pPr>
      <w:r>
        <w:rPr>
          <w:i/>
          <w:iCs/>
          <w:color w:val="666666"/>
          <w:sz w:val="20"/>
          <w:szCs w:val="20"/>
        </w:rPr>
        <w:t xml:space="preserve">Each of these is addressed in section 15 below with either a quantifiable proxy or an explicit deferral — never silently skipped.</w:t>
      </w:r>
    </w:p>
    <w:p>
      <w:pPr>
        <w:pStyle w:val="Heading1"/>
        <w:spacing w:after="140" w:before="320"/>
      </w:pPr>
      <w:r>
        <w:t xml:space="preserve">3. Score 1 — Business Quality (0-100)</w:t>
      </w:r>
    </w:p>
    <w:p>
      <w:pPr>
        <w:spacing w:after="120"/>
      </w:pPr>
      <w:r>
        <w:t xml:space="preserve">Same mechanic as the current implementation (banded 0 / 0.5 / 1 per metric, weighted average, rescaled to 0-100), extended to activate ROIC, which is already ingested and currently unused: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850"/>
        <w:gridCol w:w="1850"/>
        <w:gridCol w:w="1850"/>
      </w:tblGrid>
      <w:tr>
        <w:trPr>
          <w:tblHeader/>
        </w:trPr>
        <w:tc>
          <w:tcPr>
            <w:tcW w:type="dxa" w:w="3800"/>
            <w:shd w:fill="E7E6E1" w:val="clear"/>
            <w:tcMar>
              <w:top w:type="dxa" w:w="60"/>
              <w:left w:type="dxa" w:w="100"/>
              <w:bottom w:type="dxa" w:w="60"/>
              <w:right w:type="dxa" w:w="100"/>
            </w:tcMar>
          </w:tcPr>
          <w:p>
            <w:r>
              <w:rPr>
                <w:b/>
                <w:bCs/>
                <w:sz w:val="20"/>
                <w:szCs w:val="20"/>
              </w:rPr>
              <w:t xml:space="preserve">Metric</w:t>
            </w:r>
          </w:p>
        </w:tc>
        <w:tc>
          <w:tcPr>
            <w:tcW w:type="dxa" w:w="1850"/>
            <w:shd w:fill="E7E6E1" w:val="clear"/>
            <w:tcMar>
              <w:top w:type="dxa" w:w="60"/>
              <w:left w:type="dxa" w:w="100"/>
              <w:bottom w:type="dxa" w:w="60"/>
              <w:right w:type="dxa" w:w="100"/>
            </w:tcMar>
          </w:tcPr>
          <w:p>
            <w:r>
              <w:rPr>
                <w:b/>
                <w:bCs/>
                <w:sz w:val="20"/>
                <w:szCs w:val="20"/>
              </w:rPr>
              <w:t xml:space="preserve">Weak</w:t>
            </w:r>
          </w:p>
        </w:tc>
        <w:tc>
          <w:tcPr>
            <w:tcW w:type="dxa" w:w="1850"/>
            <w:shd w:fill="E7E6E1" w:val="clear"/>
            <w:tcMar>
              <w:top w:type="dxa" w:w="60"/>
              <w:left w:type="dxa" w:w="100"/>
              <w:bottom w:type="dxa" w:w="60"/>
              <w:right w:type="dxa" w:w="100"/>
            </w:tcMar>
          </w:tcPr>
          <w:p>
            <w:r>
              <w:rPr>
                <w:b/>
                <w:bCs/>
                <w:sz w:val="20"/>
                <w:szCs w:val="20"/>
              </w:rPr>
              <w:t xml:space="preserve">Strong</w:t>
            </w:r>
          </w:p>
        </w:tc>
        <w:tc>
          <w:tcPr>
            <w:tcW w:type="dxa" w:w="1850"/>
            <w:shd w:fill="E7E6E1" w:val="clear"/>
            <w:tcMar>
              <w:top w:type="dxa" w:w="60"/>
              <w:left w:type="dxa" w:w="100"/>
              <w:bottom w:type="dxa" w:w="60"/>
              <w:right w:type="dxa" w:w="100"/>
            </w:tcMar>
          </w:tcPr>
          <w:p>
            <w:r>
              <w:rPr>
                <w:b/>
                <w:bCs/>
                <w:sz w:val="20"/>
                <w:szCs w:val="20"/>
              </w:rPr>
              <w:t xml:space="preserve">Weight</w:t>
            </w:r>
          </w:p>
        </w:tc>
      </w:tr>
      <w:tr>
        <w:tc>
          <w:tcPr>
            <w:tcW w:type="dxa" w:w="3800"/>
            <w:tcMar>
              <w:top w:type="dxa" w:w="60"/>
              <w:left w:type="dxa" w:w="100"/>
              <w:bottom w:type="dxa" w:w="60"/>
              <w:right w:type="dxa" w:w="100"/>
            </w:tcMar>
          </w:tcPr>
          <w:p>
            <w:r>
              <w:rPr>
                <w:b w:val="false"/>
                <w:bCs w:val="false"/>
                <w:sz w:val="20"/>
                <w:szCs w:val="20"/>
              </w:rPr>
              <w:t xml:space="preserve">Gross margin</w:t>
            </w:r>
          </w:p>
        </w:tc>
        <w:tc>
          <w:tcPr>
            <w:tcW w:type="dxa" w:w="1850"/>
            <w:tcMar>
              <w:top w:type="dxa" w:w="60"/>
              <w:left w:type="dxa" w:w="100"/>
              <w:bottom w:type="dxa" w:w="60"/>
              <w:right w:type="dxa" w:w="100"/>
            </w:tcMar>
          </w:tcPr>
          <w:p>
            <w:r>
              <w:rPr>
                <w:b w:val="false"/>
                <w:bCs w:val="false"/>
                <w:sz w:val="20"/>
                <w:szCs w:val="20"/>
              </w:rPr>
              <w:t xml:space="preserve">20%</w:t>
            </w:r>
          </w:p>
        </w:tc>
        <w:tc>
          <w:tcPr>
            <w:tcW w:type="dxa" w:w="1850"/>
            <w:tcMar>
              <w:top w:type="dxa" w:w="60"/>
              <w:left w:type="dxa" w:w="100"/>
              <w:bottom w:type="dxa" w:w="60"/>
              <w:right w:type="dxa" w:w="100"/>
            </w:tcMar>
          </w:tcPr>
          <w:p>
            <w:r>
              <w:rPr>
                <w:b w:val="false"/>
                <w:bCs w:val="false"/>
                <w:sz w:val="20"/>
                <w:szCs w:val="20"/>
              </w:rPr>
              <w:t xml:space="preserve">40%</w:t>
            </w:r>
          </w:p>
        </w:tc>
        <w:tc>
          <w:tcPr>
            <w:tcW w:type="dxa" w:w="1850"/>
            <w:tcMar>
              <w:top w:type="dxa" w:w="60"/>
              <w:left w:type="dxa" w:w="100"/>
              <w:bottom w:type="dxa" w:w="60"/>
              <w:right w:type="dxa" w:w="100"/>
            </w:tcMar>
          </w:tcPr>
          <w:p>
            <w:r>
              <w:rPr>
                <w:b w:val="false"/>
                <w:bCs w:val="false"/>
                <w:sz w:val="20"/>
                <w:szCs w:val="20"/>
              </w:rPr>
              <w:t xml:space="preserve">15%</w:t>
            </w:r>
          </w:p>
        </w:tc>
      </w:tr>
      <w:tr>
        <w:tc>
          <w:tcPr>
            <w:tcW w:type="dxa" w:w="3800"/>
            <w:tcMar>
              <w:top w:type="dxa" w:w="60"/>
              <w:left w:type="dxa" w:w="100"/>
              <w:bottom w:type="dxa" w:w="60"/>
              <w:right w:type="dxa" w:w="100"/>
            </w:tcMar>
          </w:tcPr>
          <w:p>
            <w:r>
              <w:rPr>
                <w:b w:val="false"/>
                <w:bCs w:val="false"/>
                <w:sz w:val="20"/>
                <w:szCs w:val="20"/>
              </w:rPr>
              <w:t xml:space="preserve">Operating margin</w:t>
            </w:r>
          </w:p>
        </w:tc>
        <w:tc>
          <w:tcPr>
            <w:tcW w:type="dxa" w:w="1850"/>
            <w:tcMar>
              <w:top w:type="dxa" w:w="60"/>
              <w:left w:type="dxa" w:w="100"/>
              <w:bottom w:type="dxa" w:w="60"/>
              <w:right w:type="dxa" w:w="100"/>
            </w:tcMar>
          </w:tcPr>
          <w:p>
            <w:r>
              <w:rPr>
                <w:b w:val="false"/>
                <w:bCs w:val="false"/>
                <w:sz w:val="20"/>
                <w:szCs w:val="20"/>
              </w:rPr>
              <w:t xml:space="preserve">5%</w:t>
            </w:r>
          </w:p>
        </w:tc>
        <w:tc>
          <w:tcPr>
            <w:tcW w:type="dxa" w:w="1850"/>
            <w:tcMar>
              <w:top w:type="dxa" w:w="60"/>
              <w:left w:type="dxa" w:w="100"/>
              <w:bottom w:type="dxa" w:w="60"/>
              <w:right w:type="dxa" w:w="100"/>
            </w:tcMar>
          </w:tcPr>
          <w:p>
            <w:r>
              <w:rPr>
                <w:b w:val="false"/>
                <w:bCs w:val="false"/>
                <w:sz w:val="20"/>
                <w:szCs w:val="20"/>
              </w:rPr>
              <w:t xml:space="preserve">15%</w:t>
            </w:r>
          </w:p>
        </w:tc>
        <w:tc>
          <w:tcPr>
            <w:tcW w:type="dxa" w:w="1850"/>
            <w:tcMar>
              <w:top w:type="dxa" w:w="60"/>
              <w:left w:type="dxa" w:w="100"/>
              <w:bottom w:type="dxa" w:w="60"/>
              <w:right w:type="dxa" w:w="100"/>
            </w:tcMar>
          </w:tcPr>
          <w:p>
            <w:r>
              <w:rPr>
                <w:b w:val="false"/>
                <w:bCs w:val="false"/>
                <w:sz w:val="20"/>
                <w:szCs w:val="20"/>
              </w:rPr>
              <w:t xml:space="preserve">15%</w:t>
            </w:r>
          </w:p>
        </w:tc>
      </w:tr>
      <w:tr>
        <w:tc>
          <w:tcPr>
            <w:tcW w:type="dxa" w:w="3800"/>
            <w:tcMar>
              <w:top w:type="dxa" w:w="60"/>
              <w:left w:type="dxa" w:w="100"/>
              <w:bottom w:type="dxa" w:w="60"/>
              <w:right w:type="dxa" w:w="100"/>
            </w:tcMar>
          </w:tcPr>
          <w:p>
            <w:r>
              <w:rPr>
                <w:b w:val="false"/>
                <w:bCs w:val="false"/>
                <w:sz w:val="20"/>
                <w:szCs w:val="20"/>
              </w:rPr>
              <w:t xml:space="preserve">Net margin</w:t>
            </w:r>
          </w:p>
        </w:tc>
        <w:tc>
          <w:tcPr>
            <w:tcW w:type="dxa" w:w="1850"/>
            <w:tcMar>
              <w:top w:type="dxa" w:w="60"/>
              <w:left w:type="dxa" w:w="100"/>
              <w:bottom w:type="dxa" w:w="60"/>
              <w:right w:type="dxa" w:w="100"/>
            </w:tcMar>
          </w:tcPr>
          <w:p>
            <w:r>
              <w:rPr>
                <w:b w:val="false"/>
                <w:bCs w:val="false"/>
                <w:sz w:val="20"/>
                <w:szCs w:val="20"/>
              </w:rPr>
              <w:t xml:space="preserve">3%</w:t>
            </w:r>
          </w:p>
        </w:tc>
        <w:tc>
          <w:tcPr>
            <w:tcW w:type="dxa" w:w="1850"/>
            <w:tcMar>
              <w:top w:type="dxa" w:w="60"/>
              <w:left w:type="dxa" w:w="100"/>
              <w:bottom w:type="dxa" w:w="60"/>
              <w:right w:type="dxa" w:w="100"/>
            </w:tcMar>
          </w:tcPr>
          <w:p>
            <w:r>
              <w:rPr>
                <w:b w:val="false"/>
                <w:bCs w:val="false"/>
                <w:sz w:val="20"/>
                <w:szCs w:val="20"/>
              </w:rPr>
              <w:t xml:space="preserve">10%</w:t>
            </w:r>
          </w:p>
        </w:tc>
        <w:tc>
          <w:tcPr>
            <w:tcW w:type="dxa" w:w="1850"/>
            <w:tcMar>
              <w:top w:type="dxa" w:w="60"/>
              <w:left w:type="dxa" w:w="100"/>
              <w:bottom w:type="dxa" w:w="60"/>
              <w:right w:type="dxa" w:w="100"/>
            </w:tcMar>
          </w:tcPr>
          <w:p>
            <w:r>
              <w:rPr>
                <w:b w:val="false"/>
                <w:bCs w:val="false"/>
                <w:sz w:val="20"/>
                <w:szCs w:val="20"/>
              </w:rPr>
              <w:t xml:space="preserve">10%</w:t>
            </w:r>
          </w:p>
        </w:tc>
      </w:tr>
      <w:tr>
        <w:tc>
          <w:tcPr>
            <w:tcW w:type="dxa" w:w="3800"/>
            <w:tcMar>
              <w:top w:type="dxa" w:w="60"/>
              <w:left w:type="dxa" w:w="100"/>
              <w:bottom w:type="dxa" w:w="60"/>
              <w:right w:type="dxa" w:w="100"/>
            </w:tcMar>
          </w:tcPr>
          <w:p>
            <w:r>
              <w:rPr>
                <w:b w:val="false"/>
                <w:bCs w:val="false"/>
                <w:sz w:val="20"/>
                <w:szCs w:val="20"/>
              </w:rPr>
              <w:t xml:space="preserve">Return on equity</w:t>
            </w:r>
          </w:p>
        </w:tc>
        <w:tc>
          <w:tcPr>
            <w:tcW w:type="dxa" w:w="1850"/>
            <w:tcMar>
              <w:top w:type="dxa" w:w="60"/>
              <w:left w:type="dxa" w:w="100"/>
              <w:bottom w:type="dxa" w:w="60"/>
              <w:right w:type="dxa" w:w="100"/>
            </w:tcMar>
          </w:tcPr>
          <w:p>
            <w:r>
              <w:rPr>
                <w:b w:val="false"/>
                <w:bCs w:val="false"/>
                <w:sz w:val="20"/>
                <w:szCs w:val="20"/>
              </w:rPr>
              <w:t xml:space="preserve">8%</w:t>
            </w:r>
          </w:p>
        </w:tc>
        <w:tc>
          <w:tcPr>
            <w:tcW w:type="dxa" w:w="1850"/>
            <w:tcMar>
              <w:top w:type="dxa" w:w="60"/>
              <w:left w:type="dxa" w:w="100"/>
              <w:bottom w:type="dxa" w:w="60"/>
              <w:right w:type="dxa" w:w="100"/>
            </w:tcMar>
          </w:tcPr>
          <w:p>
            <w:r>
              <w:rPr>
                <w:b w:val="false"/>
                <w:bCs w:val="false"/>
                <w:sz w:val="20"/>
                <w:szCs w:val="20"/>
              </w:rPr>
              <w:t xml:space="preserve">15%</w:t>
            </w:r>
          </w:p>
        </w:tc>
        <w:tc>
          <w:tcPr>
            <w:tcW w:type="dxa" w:w="1850"/>
            <w:tcMar>
              <w:top w:type="dxa" w:w="60"/>
              <w:left w:type="dxa" w:w="100"/>
              <w:bottom w:type="dxa" w:w="60"/>
              <w:right w:type="dxa" w:w="100"/>
            </w:tcMar>
          </w:tcPr>
          <w:p>
            <w:r>
              <w:rPr>
                <w:b w:val="false"/>
                <w:bCs w:val="false"/>
                <w:sz w:val="20"/>
                <w:szCs w:val="20"/>
              </w:rPr>
              <w:t xml:space="preserve">15%</w:t>
            </w:r>
          </w:p>
        </w:tc>
      </w:tr>
      <w:tr>
        <w:tc>
          <w:tcPr>
            <w:tcW w:type="dxa" w:w="3800"/>
            <w:tcMar>
              <w:top w:type="dxa" w:w="60"/>
              <w:left w:type="dxa" w:w="100"/>
              <w:bottom w:type="dxa" w:w="60"/>
              <w:right w:type="dxa" w:w="100"/>
            </w:tcMar>
          </w:tcPr>
          <w:p>
            <w:r>
              <w:rPr>
                <w:b w:val="false"/>
                <w:bCs w:val="false"/>
                <w:sz w:val="20"/>
                <w:szCs w:val="20"/>
              </w:rPr>
              <w:t xml:space="preserve">Return on invested capital (NEW)</w:t>
            </w:r>
          </w:p>
        </w:tc>
        <w:tc>
          <w:tcPr>
            <w:tcW w:type="dxa" w:w="1850"/>
            <w:tcMar>
              <w:top w:type="dxa" w:w="60"/>
              <w:left w:type="dxa" w:w="100"/>
              <w:bottom w:type="dxa" w:w="60"/>
              <w:right w:type="dxa" w:w="100"/>
            </w:tcMar>
          </w:tcPr>
          <w:p>
            <w:r>
              <w:rPr>
                <w:b w:val="false"/>
                <w:bCs w:val="false"/>
                <w:sz w:val="20"/>
                <w:szCs w:val="20"/>
              </w:rPr>
              <w:t xml:space="preserve">6%</w:t>
            </w:r>
          </w:p>
        </w:tc>
        <w:tc>
          <w:tcPr>
            <w:tcW w:type="dxa" w:w="1850"/>
            <w:tcMar>
              <w:top w:type="dxa" w:w="60"/>
              <w:left w:type="dxa" w:w="100"/>
              <w:bottom w:type="dxa" w:w="60"/>
              <w:right w:type="dxa" w:w="100"/>
            </w:tcMar>
          </w:tcPr>
          <w:p>
            <w:r>
              <w:rPr>
                <w:b w:val="false"/>
                <w:bCs w:val="false"/>
                <w:sz w:val="20"/>
                <w:szCs w:val="20"/>
              </w:rPr>
              <w:t xml:space="preserve">12%</w:t>
            </w:r>
          </w:p>
        </w:tc>
        <w:tc>
          <w:tcPr>
            <w:tcW w:type="dxa" w:w="1850"/>
            <w:tcMar>
              <w:top w:type="dxa" w:w="60"/>
              <w:left w:type="dxa" w:w="100"/>
              <w:bottom w:type="dxa" w:w="60"/>
              <w:right w:type="dxa" w:w="100"/>
            </w:tcMar>
          </w:tcPr>
          <w:p>
            <w:r>
              <w:rPr>
                <w:b w:val="false"/>
                <w:bCs w:val="false"/>
                <w:sz w:val="20"/>
                <w:szCs w:val="20"/>
              </w:rPr>
              <w:t xml:space="preserve">15%</w:t>
            </w:r>
          </w:p>
        </w:tc>
      </w:tr>
      <w:tr>
        <w:tc>
          <w:tcPr>
            <w:tcW w:type="dxa" w:w="3800"/>
            <w:tcMar>
              <w:top w:type="dxa" w:w="60"/>
              <w:left w:type="dxa" w:w="100"/>
              <w:bottom w:type="dxa" w:w="60"/>
              <w:right w:type="dxa" w:w="100"/>
            </w:tcMar>
          </w:tcPr>
          <w:p>
            <w:r>
              <w:rPr>
                <w:b w:val="false"/>
                <w:bCs w:val="false"/>
                <w:sz w:val="20"/>
                <w:szCs w:val="20"/>
              </w:rPr>
              <w:t xml:space="preserve">Debt / equity (lower better)</w:t>
            </w:r>
          </w:p>
        </w:tc>
        <w:tc>
          <w:tcPr>
            <w:tcW w:type="dxa" w:w="1850"/>
            <w:tcMar>
              <w:top w:type="dxa" w:w="60"/>
              <w:left w:type="dxa" w:w="100"/>
              <w:bottom w:type="dxa" w:w="60"/>
              <w:right w:type="dxa" w:w="100"/>
            </w:tcMar>
          </w:tcPr>
          <w:p>
            <w:r>
              <w:rPr>
                <w:b w:val="false"/>
                <w:bCs w:val="false"/>
                <w:sz w:val="20"/>
                <w:szCs w:val="20"/>
              </w:rPr>
              <w:t xml:space="preserve">1.5</w:t>
            </w:r>
          </w:p>
        </w:tc>
        <w:tc>
          <w:tcPr>
            <w:tcW w:type="dxa" w:w="1850"/>
            <w:tcMar>
              <w:top w:type="dxa" w:w="60"/>
              <w:left w:type="dxa" w:w="100"/>
              <w:bottom w:type="dxa" w:w="60"/>
              <w:right w:type="dxa" w:w="100"/>
            </w:tcMar>
          </w:tcPr>
          <w:p>
            <w:r>
              <w:rPr>
                <w:b w:val="false"/>
                <w:bCs w:val="false"/>
                <w:sz w:val="20"/>
                <w:szCs w:val="20"/>
              </w:rPr>
              <w:t xml:space="preserve">0.5</w:t>
            </w:r>
          </w:p>
        </w:tc>
        <w:tc>
          <w:tcPr>
            <w:tcW w:type="dxa" w:w="1850"/>
            <w:tcMar>
              <w:top w:type="dxa" w:w="60"/>
              <w:left w:type="dxa" w:w="100"/>
              <w:bottom w:type="dxa" w:w="60"/>
              <w:right w:type="dxa" w:w="100"/>
            </w:tcMar>
          </w:tcPr>
          <w:p>
            <w:r>
              <w:rPr>
                <w:b w:val="false"/>
                <w:bCs w:val="false"/>
                <w:sz w:val="20"/>
                <w:szCs w:val="20"/>
              </w:rPr>
              <w:t xml:space="preserve">10%</w:t>
            </w:r>
          </w:p>
        </w:tc>
      </w:tr>
      <w:tr>
        <w:tc>
          <w:tcPr>
            <w:tcW w:type="dxa" w:w="3800"/>
            <w:tcMar>
              <w:top w:type="dxa" w:w="60"/>
              <w:left w:type="dxa" w:w="100"/>
              <w:bottom w:type="dxa" w:w="60"/>
              <w:right w:type="dxa" w:w="100"/>
            </w:tcMar>
          </w:tcPr>
          <w:p>
            <w:r>
              <w:rPr>
                <w:b w:val="false"/>
                <w:bCs w:val="false"/>
                <w:sz w:val="20"/>
                <w:szCs w:val="20"/>
              </w:rPr>
              <w:t xml:space="preserve">Revenue growth yoy</w:t>
            </w:r>
          </w:p>
        </w:tc>
        <w:tc>
          <w:tcPr>
            <w:tcW w:type="dxa" w:w="1850"/>
            <w:tcMar>
              <w:top w:type="dxa" w:w="60"/>
              <w:left w:type="dxa" w:w="100"/>
              <w:bottom w:type="dxa" w:w="60"/>
              <w:right w:type="dxa" w:w="100"/>
            </w:tcMar>
          </w:tcPr>
          <w:p>
            <w:r>
              <w:rPr>
                <w:b w:val="false"/>
                <w:bCs w:val="false"/>
                <w:sz w:val="20"/>
                <w:szCs w:val="20"/>
              </w:rPr>
              <w:t xml:space="preserve">0%</w:t>
            </w:r>
          </w:p>
        </w:tc>
        <w:tc>
          <w:tcPr>
            <w:tcW w:type="dxa" w:w="1850"/>
            <w:tcMar>
              <w:top w:type="dxa" w:w="60"/>
              <w:left w:type="dxa" w:w="100"/>
              <w:bottom w:type="dxa" w:w="60"/>
              <w:right w:type="dxa" w:w="100"/>
            </w:tcMar>
          </w:tcPr>
          <w:p>
            <w:r>
              <w:rPr>
                <w:b w:val="false"/>
                <w:bCs w:val="false"/>
                <w:sz w:val="20"/>
                <w:szCs w:val="20"/>
              </w:rPr>
              <w:t xml:space="preserve">8%</w:t>
            </w:r>
          </w:p>
        </w:tc>
        <w:tc>
          <w:tcPr>
            <w:tcW w:type="dxa" w:w="1850"/>
            <w:tcMar>
              <w:top w:type="dxa" w:w="60"/>
              <w:left w:type="dxa" w:w="100"/>
              <w:bottom w:type="dxa" w:w="60"/>
              <w:right w:type="dxa" w:w="100"/>
            </w:tcMar>
          </w:tcPr>
          <w:p>
            <w:r>
              <w:rPr>
                <w:b w:val="false"/>
                <w:bCs w:val="false"/>
                <w:sz w:val="20"/>
                <w:szCs w:val="20"/>
              </w:rPr>
              <w:t xml:space="preserve">10%</w:t>
            </w:r>
          </w:p>
        </w:tc>
      </w:tr>
      <w:tr>
        <w:tc>
          <w:tcPr>
            <w:tcW w:type="dxa" w:w="3800"/>
            <w:tcMar>
              <w:top w:type="dxa" w:w="60"/>
              <w:left w:type="dxa" w:w="100"/>
              <w:bottom w:type="dxa" w:w="60"/>
              <w:right w:type="dxa" w:w="100"/>
            </w:tcMar>
          </w:tcPr>
          <w:p>
            <w:r>
              <w:rPr>
                <w:b w:val="false"/>
                <w:bCs w:val="false"/>
                <w:sz w:val="20"/>
                <w:szCs w:val="20"/>
              </w:rPr>
              <w:t xml:space="preserve">Earnings growth yoy</w:t>
            </w:r>
          </w:p>
        </w:tc>
        <w:tc>
          <w:tcPr>
            <w:tcW w:type="dxa" w:w="1850"/>
            <w:tcMar>
              <w:top w:type="dxa" w:w="60"/>
              <w:left w:type="dxa" w:w="100"/>
              <w:bottom w:type="dxa" w:w="60"/>
              <w:right w:type="dxa" w:w="100"/>
            </w:tcMar>
          </w:tcPr>
          <w:p>
            <w:r>
              <w:rPr>
                <w:b w:val="false"/>
                <w:bCs w:val="false"/>
                <w:sz w:val="20"/>
                <w:szCs w:val="20"/>
              </w:rPr>
              <w:t xml:space="preserve">0%</w:t>
            </w:r>
          </w:p>
        </w:tc>
        <w:tc>
          <w:tcPr>
            <w:tcW w:type="dxa" w:w="1850"/>
            <w:tcMar>
              <w:top w:type="dxa" w:w="60"/>
              <w:left w:type="dxa" w:w="100"/>
              <w:bottom w:type="dxa" w:w="60"/>
              <w:right w:type="dxa" w:w="100"/>
            </w:tcMar>
          </w:tcPr>
          <w:p>
            <w:r>
              <w:rPr>
                <w:b w:val="false"/>
                <w:bCs w:val="false"/>
                <w:sz w:val="20"/>
                <w:szCs w:val="20"/>
              </w:rPr>
              <w:t xml:space="preserve">8%</w:t>
            </w:r>
          </w:p>
        </w:tc>
        <w:tc>
          <w:tcPr>
            <w:tcW w:type="dxa" w:w="1850"/>
            <w:tcMar>
              <w:top w:type="dxa" w:w="60"/>
              <w:left w:type="dxa" w:w="100"/>
              <w:bottom w:type="dxa" w:w="60"/>
              <w:right w:type="dxa" w:w="100"/>
            </w:tcMar>
          </w:tcPr>
          <w:p>
            <w:r>
              <w:rPr>
                <w:b w:val="false"/>
                <w:bCs w:val="false"/>
                <w:sz w:val="20"/>
                <w:szCs w:val="20"/>
              </w:rPr>
              <w:t xml:space="preserve">10%</w:t>
            </w:r>
          </w:p>
        </w:tc>
      </w:tr>
    </w:tbl>
    <w:p>
      <w:pPr>
        <w:spacing w:after="120"/>
      </w:pPr>
      <w:r>
        <w:t xml:space="preserve">Label: ≥70 strong, ≥40 adequate, else weak — unchanged from today.</w:t>
      </w:r>
    </w:p>
    <w:p>
      <w:pPr>
        <w:pStyle w:val="Heading1"/>
        <w:spacing w:after="140" w:before="320"/>
      </w:pPr>
      <w:r>
        <w:t xml:space="preserve">4. Score 2 — Valuation (0-100)</w:t>
      </w:r>
    </w:p>
    <w:p>
      <w:pPr>
        <w:spacing w:after="120"/>
      </w:pPr>
      <w:r>
        <w:t xml:space="preserve">Three self-relative signals — nothing compares this stock to any other ticker in the universe: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50"/>
      </w:tblGrid>
      <w:tr>
        <w:trPr>
          <w:tblHeader/>
        </w:trPr>
        <w:tc>
          <w:tcPr>
            <w:tcW w:type="dxa" w:w="3400"/>
            <w:shd w:fill="E7E6E1" w:val="clear"/>
            <w:tcMar>
              <w:top w:type="dxa" w:w="60"/>
              <w:left w:type="dxa" w:w="100"/>
              <w:bottom w:type="dxa" w:w="60"/>
              <w:right w:type="dxa" w:w="100"/>
            </w:tcMar>
          </w:tcPr>
          <w:p>
            <w:r>
              <w:rPr>
                <w:b/>
                <w:bCs/>
                <w:sz w:val="20"/>
                <w:szCs w:val="20"/>
              </w:rPr>
              <w:t xml:space="preserve">Signal</w:t>
            </w:r>
          </w:p>
        </w:tc>
        <w:tc>
          <w:tcPr>
            <w:tcW w:type="dxa" w:w="1400"/>
            <w:shd w:fill="E7E6E1" w:val="clear"/>
            <w:tcMar>
              <w:top w:type="dxa" w:w="60"/>
              <w:left w:type="dxa" w:w="100"/>
              <w:bottom w:type="dxa" w:w="60"/>
              <w:right w:type="dxa" w:w="100"/>
            </w:tcMar>
          </w:tcPr>
          <w:p>
            <w:r>
              <w:rPr>
                <w:b/>
                <w:bCs/>
                <w:sz w:val="20"/>
                <w:szCs w:val="20"/>
              </w:rPr>
              <w:t xml:space="preserve">Weight</w:t>
            </w:r>
          </w:p>
        </w:tc>
        <w:tc>
          <w:tcPr>
            <w:tcW w:type="dxa" w:w="4550"/>
            <w:shd w:fill="E7E6E1" w:val="clear"/>
            <w:tcMar>
              <w:top w:type="dxa" w:w="60"/>
              <w:left w:type="dxa" w:w="100"/>
              <w:bottom w:type="dxa" w:w="60"/>
              <w:right w:type="dxa" w:w="100"/>
            </w:tcMar>
          </w:tcPr>
          <w:p>
            <w:r>
              <w:rPr>
                <w:b/>
                <w:bCs/>
                <w:sz w:val="20"/>
                <w:szCs w:val="20"/>
              </w:rPr>
              <w:t xml:space="preserve">What it measures</w:t>
            </w:r>
          </w:p>
        </w:tc>
      </w:tr>
      <w:tr>
        <w:tc>
          <w:tcPr>
            <w:tcW w:type="dxa" w:w="3400"/>
            <w:tcMar>
              <w:top w:type="dxa" w:w="60"/>
              <w:left w:type="dxa" w:w="100"/>
              <w:bottom w:type="dxa" w:w="60"/>
              <w:right w:type="dxa" w:w="100"/>
            </w:tcMar>
          </w:tcPr>
          <w:p>
            <w:r>
              <w:rPr>
                <w:b w:val="false"/>
                <w:bCs w:val="false"/>
                <w:sz w:val="20"/>
                <w:szCs w:val="20"/>
              </w:rPr>
              <w:t xml:space="preserve">Price-range percentile (existing)</w:t>
            </w:r>
          </w:p>
        </w:tc>
        <w:tc>
          <w:tcPr>
            <w:tcW w:type="dxa" w:w="1400"/>
            <w:tcMar>
              <w:top w:type="dxa" w:w="60"/>
              <w:left w:type="dxa" w:w="100"/>
              <w:bottom w:type="dxa" w:w="60"/>
              <w:right w:type="dxa" w:w="100"/>
            </w:tcMar>
          </w:tcPr>
          <w:p>
            <w:r>
              <w:rPr>
                <w:b w:val="false"/>
                <w:bCs w:val="false"/>
                <w:sz w:val="20"/>
                <w:szCs w:val="20"/>
              </w:rPr>
              <w:t xml:space="preserve">40%</w:t>
            </w:r>
          </w:p>
        </w:tc>
        <w:tc>
          <w:tcPr>
            <w:tcW w:type="dxa" w:w="4550"/>
            <w:tcMar>
              <w:top w:type="dxa" w:w="60"/>
              <w:left w:type="dxa" w:w="100"/>
              <w:bottom w:type="dxa" w:w="60"/>
              <w:right w:type="dxa" w:w="100"/>
            </w:tcMar>
          </w:tcPr>
          <w:p>
            <w:r>
              <w:rPr>
                <w:b w:val="false"/>
                <w:bCs w:val="false"/>
                <w:sz w:val="20"/>
                <w:szCs w:val="20"/>
              </w:rPr>
              <w:t xml:space="preserve">where today's close sits in this stock's own ~5y range</w:t>
            </w:r>
          </w:p>
        </w:tc>
      </w:tr>
      <w:tr>
        <w:tc>
          <w:tcPr>
            <w:tcW w:type="dxa" w:w="3400"/>
            <w:tcMar>
              <w:top w:type="dxa" w:w="60"/>
              <w:left w:type="dxa" w:w="100"/>
              <w:bottom w:type="dxa" w:w="60"/>
              <w:right w:type="dxa" w:w="100"/>
            </w:tcMar>
          </w:tcPr>
          <w:p>
            <w:r>
              <w:rPr>
                <w:b w:val="false"/>
                <w:bCs w:val="false"/>
                <w:sz w:val="20"/>
                <w:szCs w:val="20"/>
              </w:rPr>
              <w:t xml:space="preserve">Analyst fair-value gap (existing)</w:t>
            </w:r>
          </w:p>
        </w:tc>
        <w:tc>
          <w:tcPr>
            <w:tcW w:type="dxa" w:w="1400"/>
            <w:tcMar>
              <w:top w:type="dxa" w:w="60"/>
              <w:left w:type="dxa" w:w="100"/>
              <w:bottom w:type="dxa" w:w="60"/>
              <w:right w:type="dxa" w:w="100"/>
            </w:tcMar>
          </w:tcPr>
          <w:p>
            <w:r>
              <w:rPr>
                <w:b w:val="false"/>
                <w:bCs w:val="false"/>
                <w:sz w:val="20"/>
                <w:szCs w:val="20"/>
              </w:rPr>
              <w:t xml:space="preserve">40%</w:t>
            </w:r>
          </w:p>
        </w:tc>
        <w:tc>
          <w:tcPr>
            <w:tcW w:type="dxa" w:w="4550"/>
            <w:tcMar>
              <w:top w:type="dxa" w:w="60"/>
              <w:left w:type="dxa" w:w="100"/>
              <w:bottom w:type="dxa" w:w="60"/>
              <w:right w:type="dxa" w:w="100"/>
            </w:tcMar>
          </w:tcPr>
          <w:p>
            <w:r>
              <w:rPr>
                <w:b w:val="false"/>
                <w:bCs w:val="false"/>
                <w:sz w:val="20"/>
                <w:szCs w:val="20"/>
              </w:rPr>
              <w:t xml:space="preserve">price vs. average analyst fair value — this IS the margin of safety, see below</w:t>
            </w:r>
          </w:p>
        </w:tc>
      </w:tr>
      <w:tr>
        <w:tc>
          <w:tcPr>
            <w:tcW w:type="dxa" w:w="3400"/>
            <w:tcMar>
              <w:top w:type="dxa" w:w="60"/>
              <w:left w:type="dxa" w:w="100"/>
              <w:bottom w:type="dxa" w:w="60"/>
              <w:right w:type="dxa" w:w="100"/>
            </w:tcMar>
          </w:tcPr>
          <w:p>
            <w:r>
              <w:rPr>
                <w:b w:val="false"/>
                <w:bCs w:val="false"/>
                <w:sz w:val="20"/>
                <w:szCs w:val="20"/>
              </w:rPr>
              <w:t xml:space="preserve">Forward/trailing P/E spread (NEW)</w:t>
            </w:r>
          </w:p>
        </w:tc>
        <w:tc>
          <w:tcPr>
            <w:tcW w:type="dxa" w:w="1400"/>
            <w:tcMar>
              <w:top w:type="dxa" w:w="60"/>
              <w:left w:type="dxa" w:w="100"/>
              <w:bottom w:type="dxa" w:w="60"/>
              <w:right w:type="dxa" w:w="100"/>
            </w:tcMar>
          </w:tcPr>
          <w:p>
            <w:r>
              <w:rPr>
                <w:b w:val="false"/>
                <w:bCs w:val="false"/>
                <w:sz w:val="20"/>
                <w:szCs w:val="20"/>
              </w:rPr>
              <w:t xml:space="preserve">20%</w:t>
            </w:r>
          </w:p>
        </w:tc>
        <w:tc>
          <w:tcPr>
            <w:tcW w:type="dxa" w:w="4550"/>
            <w:tcMar>
              <w:top w:type="dxa" w:w="60"/>
              <w:left w:type="dxa" w:w="100"/>
              <w:bottom w:type="dxa" w:w="60"/>
              <w:right w:type="dxa" w:w="100"/>
            </w:tcMar>
          </w:tcPr>
          <w:p>
            <w:r>
              <w:rPr>
                <w:b w:val="false"/>
                <w:bCs w:val="false"/>
                <w:sz w:val="20"/>
                <w:szCs w:val="20"/>
              </w:rPr>
              <w:t xml:space="preserve">if forwardPe is meaningfully below trailingPe, the market already expects earnings growth — today's multiple is cheaper than it looks</w:t>
            </w:r>
          </w:p>
        </w:tc>
      </w:tr>
    </w:tbl>
    <w:p>
      <w:pPr>
        <w:spacing w:after="120"/>
      </w:pPr>
      <w:r>
        <w:t xml:space="preserve">Margin of Safety, displayed explicitly (not just embedded in the score): </w:t>
      </w:r>
      <w:r>
        <w:rPr>
          <w:i/>
          <w:iCs/>
        </w:rPr>
        <w:t xml:space="preserve">MoS = (fairValue − price) / fairValue</w:t>
      </w:r>
      <w:r>
        <w:t xml:space="preserve"> — the same number driving the fair-value-gap signal above, surfaced as its own labeled stat in the explainable output (section 14), matching the source doc's section 7 example.</w:t>
      </w:r>
    </w:p>
    <w:p>
      <w:pPr>
        <w:pStyle w:val="Heading1"/>
        <w:spacing w:after="140" w:before="320"/>
      </w:pPr>
      <w:r>
        <w:t xml:space="preserve">5. Score 3 — Growth Potential (0-100) — new dimension</w:t>
      </w:r>
    </w:p>
    <w:p>
      <w:pPr>
        <w:spacing w:after="120"/>
      </w:pPr>
      <w:r>
        <w:t xml:space="preserve">The source doc treats growth as a separate score from quality (section 8). Splitting it out here, using fields already ingested but currently unused: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850"/>
        <w:gridCol w:w="1850"/>
        <w:gridCol w:w="1850"/>
      </w:tblGrid>
      <w:tr>
        <w:trPr>
          <w:tblHeader/>
        </w:trPr>
        <w:tc>
          <w:tcPr>
            <w:tcW w:type="dxa" w:w="3800"/>
            <w:shd w:fill="E7E6E1" w:val="clear"/>
            <w:tcMar>
              <w:top w:type="dxa" w:w="60"/>
              <w:left w:type="dxa" w:w="100"/>
              <w:bottom w:type="dxa" w:w="60"/>
              <w:right w:type="dxa" w:w="100"/>
            </w:tcMar>
          </w:tcPr>
          <w:p>
            <w:r>
              <w:rPr>
                <w:b/>
                <w:bCs/>
                <w:sz w:val="20"/>
                <w:szCs w:val="20"/>
              </w:rPr>
              <w:t xml:space="preserve">Metric</w:t>
            </w:r>
          </w:p>
        </w:tc>
        <w:tc>
          <w:tcPr>
            <w:tcW w:type="dxa" w:w="1850"/>
            <w:shd w:fill="E7E6E1" w:val="clear"/>
            <w:tcMar>
              <w:top w:type="dxa" w:w="60"/>
              <w:left w:type="dxa" w:w="100"/>
              <w:bottom w:type="dxa" w:w="60"/>
              <w:right w:type="dxa" w:w="100"/>
            </w:tcMar>
          </w:tcPr>
          <w:p>
            <w:r>
              <w:rPr>
                <w:b/>
                <w:bCs/>
                <w:sz w:val="20"/>
                <w:szCs w:val="20"/>
              </w:rPr>
              <w:t xml:space="preserve">Weak</w:t>
            </w:r>
          </w:p>
        </w:tc>
        <w:tc>
          <w:tcPr>
            <w:tcW w:type="dxa" w:w="1850"/>
            <w:shd w:fill="E7E6E1" w:val="clear"/>
            <w:tcMar>
              <w:top w:type="dxa" w:w="60"/>
              <w:left w:type="dxa" w:w="100"/>
              <w:bottom w:type="dxa" w:w="60"/>
              <w:right w:type="dxa" w:w="100"/>
            </w:tcMar>
          </w:tcPr>
          <w:p>
            <w:r>
              <w:rPr>
                <w:b/>
                <w:bCs/>
                <w:sz w:val="20"/>
                <w:szCs w:val="20"/>
              </w:rPr>
              <w:t xml:space="preserve">Strong</w:t>
            </w:r>
          </w:p>
        </w:tc>
        <w:tc>
          <w:tcPr>
            <w:tcW w:type="dxa" w:w="1850"/>
            <w:shd w:fill="E7E6E1" w:val="clear"/>
            <w:tcMar>
              <w:top w:type="dxa" w:w="60"/>
              <w:left w:type="dxa" w:w="100"/>
              <w:bottom w:type="dxa" w:w="60"/>
              <w:right w:type="dxa" w:w="100"/>
            </w:tcMar>
          </w:tcPr>
          <w:p>
            <w:r>
              <w:rPr>
                <w:b/>
                <w:bCs/>
                <w:sz w:val="20"/>
                <w:szCs w:val="20"/>
              </w:rPr>
              <w:t xml:space="preserve">Weight</w:t>
            </w:r>
          </w:p>
        </w:tc>
      </w:tr>
      <w:tr>
        <w:tc>
          <w:tcPr>
            <w:tcW w:type="dxa" w:w="3800"/>
            <w:tcMar>
              <w:top w:type="dxa" w:w="60"/>
              <w:left w:type="dxa" w:w="100"/>
              <w:bottom w:type="dxa" w:w="60"/>
              <w:right w:type="dxa" w:w="100"/>
            </w:tcMar>
          </w:tcPr>
          <w:p>
            <w:r>
              <w:rPr>
                <w:b w:val="false"/>
                <w:bCs w:val="false"/>
                <w:sz w:val="20"/>
                <w:szCs w:val="20"/>
              </w:rPr>
              <w:t xml:space="preserve">Revenue growth yoy</w:t>
            </w:r>
          </w:p>
        </w:tc>
        <w:tc>
          <w:tcPr>
            <w:tcW w:type="dxa" w:w="1850"/>
            <w:tcMar>
              <w:top w:type="dxa" w:w="60"/>
              <w:left w:type="dxa" w:w="100"/>
              <w:bottom w:type="dxa" w:w="60"/>
              <w:right w:type="dxa" w:w="100"/>
            </w:tcMar>
          </w:tcPr>
          <w:p>
            <w:r>
              <w:rPr>
                <w:b w:val="false"/>
                <w:bCs w:val="false"/>
                <w:sz w:val="20"/>
                <w:szCs w:val="20"/>
              </w:rPr>
              <w:t xml:space="preserve">0%</w:t>
            </w:r>
          </w:p>
        </w:tc>
        <w:tc>
          <w:tcPr>
            <w:tcW w:type="dxa" w:w="1850"/>
            <w:tcMar>
              <w:top w:type="dxa" w:w="60"/>
              <w:left w:type="dxa" w:w="100"/>
              <w:bottom w:type="dxa" w:w="60"/>
              <w:right w:type="dxa" w:w="100"/>
            </w:tcMar>
          </w:tcPr>
          <w:p>
            <w:r>
              <w:rPr>
                <w:b w:val="false"/>
                <w:bCs w:val="false"/>
                <w:sz w:val="20"/>
                <w:szCs w:val="20"/>
              </w:rPr>
              <w:t xml:space="preserve">15%</w:t>
            </w:r>
          </w:p>
        </w:tc>
        <w:tc>
          <w:tcPr>
            <w:tcW w:type="dxa" w:w="1850"/>
            <w:tcMar>
              <w:top w:type="dxa" w:w="60"/>
              <w:left w:type="dxa" w:w="100"/>
              <w:bottom w:type="dxa" w:w="60"/>
              <w:right w:type="dxa" w:w="100"/>
            </w:tcMar>
          </w:tcPr>
          <w:p>
            <w:r>
              <w:rPr>
                <w:b w:val="false"/>
                <w:bCs w:val="false"/>
                <w:sz w:val="20"/>
                <w:szCs w:val="20"/>
              </w:rPr>
              <w:t xml:space="preserve">35%</w:t>
            </w:r>
          </w:p>
        </w:tc>
      </w:tr>
      <w:tr>
        <w:tc>
          <w:tcPr>
            <w:tcW w:type="dxa" w:w="3800"/>
            <w:tcMar>
              <w:top w:type="dxa" w:w="60"/>
              <w:left w:type="dxa" w:w="100"/>
              <w:bottom w:type="dxa" w:w="60"/>
              <w:right w:type="dxa" w:w="100"/>
            </w:tcMar>
          </w:tcPr>
          <w:p>
            <w:r>
              <w:rPr>
                <w:b w:val="false"/>
                <w:bCs w:val="false"/>
                <w:sz w:val="20"/>
                <w:szCs w:val="20"/>
              </w:rPr>
              <w:t xml:space="preserve">Earnings growth yoy</w:t>
            </w:r>
          </w:p>
        </w:tc>
        <w:tc>
          <w:tcPr>
            <w:tcW w:type="dxa" w:w="1850"/>
            <w:tcMar>
              <w:top w:type="dxa" w:w="60"/>
              <w:left w:type="dxa" w:w="100"/>
              <w:bottom w:type="dxa" w:w="60"/>
              <w:right w:type="dxa" w:w="100"/>
            </w:tcMar>
          </w:tcPr>
          <w:p>
            <w:r>
              <w:rPr>
                <w:b w:val="false"/>
                <w:bCs w:val="false"/>
                <w:sz w:val="20"/>
                <w:szCs w:val="20"/>
              </w:rPr>
              <w:t xml:space="preserve">0%</w:t>
            </w:r>
          </w:p>
        </w:tc>
        <w:tc>
          <w:tcPr>
            <w:tcW w:type="dxa" w:w="1850"/>
            <w:tcMar>
              <w:top w:type="dxa" w:w="60"/>
              <w:left w:type="dxa" w:w="100"/>
              <w:bottom w:type="dxa" w:w="60"/>
              <w:right w:type="dxa" w:w="100"/>
            </w:tcMar>
          </w:tcPr>
          <w:p>
            <w:r>
              <w:rPr>
                <w:b w:val="false"/>
                <w:bCs w:val="false"/>
                <w:sz w:val="20"/>
                <w:szCs w:val="20"/>
              </w:rPr>
              <w:t xml:space="preserve">15%</w:t>
            </w:r>
          </w:p>
        </w:tc>
        <w:tc>
          <w:tcPr>
            <w:tcW w:type="dxa" w:w="1850"/>
            <w:tcMar>
              <w:top w:type="dxa" w:w="60"/>
              <w:left w:type="dxa" w:w="100"/>
              <w:bottom w:type="dxa" w:w="60"/>
              <w:right w:type="dxa" w:w="100"/>
            </w:tcMar>
          </w:tcPr>
          <w:p>
            <w:r>
              <w:rPr>
                <w:b w:val="false"/>
                <w:bCs w:val="false"/>
                <w:sz w:val="20"/>
                <w:szCs w:val="20"/>
              </w:rPr>
              <w:t xml:space="preserve">35%</w:t>
            </w:r>
          </w:p>
        </w:tc>
      </w:tr>
      <w:tr>
        <w:tc>
          <w:tcPr>
            <w:tcW w:type="dxa" w:w="3800"/>
            <w:tcMar>
              <w:top w:type="dxa" w:w="60"/>
              <w:left w:type="dxa" w:w="100"/>
              <w:bottom w:type="dxa" w:w="60"/>
              <w:right w:type="dxa" w:w="100"/>
            </w:tcMar>
          </w:tcPr>
          <w:p>
            <w:r>
              <w:rPr>
                <w:b w:val="false"/>
                <w:bCs w:val="false"/>
                <w:sz w:val="20"/>
                <w:szCs w:val="20"/>
              </w:rPr>
              <w:t xml:space="preserve">PEG ratio (lower better) (NEW)</w:t>
            </w:r>
          </w:p>
        </w:tc>
        <w:tc>
          <w:tcPr>
            <w:tcW w:type="dxa" w:w="1850"/>
            <w:tcMar>
              <w:top w:type="dxa" w:w="60"/>
              <w:left w:type="dxa" w:w="100"/>
              <w:bottom w:type="dxa" w:w="60"/>
              <w:right w:type="dxa" w:w="100"/>
            </w:tcMar>
          </w:tcPr>
          <w:p>
            <w:r>
              <w:rPr>
                <w:b w:val="false"/>
                <w:bCs w:val="false"/>
                <w:sz w:val="20"/>
                <w:szCs w:val="20"/>
              </w:rPr>
              <w:t xml:space="preserve">2.5</w:t>
            </w:r>
          </w:p>
        </w:tc>
        <w:tc>
          <w:tcPr>
            <w:tcW w:type="dxa" w:w="1850"/>
            <w:tcMar>
              <w:top w:type="dxa" w:w="60"/>
              <w:left w:type="dxa" w:w="100"/>
              <w:bottom w:type="dxa" w:w="60"/>
              <w:right w:type="dxa" w:w="100"/>
            </w:tcMar>
          </w:tcPr>
          <w:p>
            <w:r>
              <w:rPr>
                <w:b w:val="false"/>
                <w:bCs w:val="false"/>
                <w:sz w:val="20"/>
                <w:szCs w:val="20"/>
              </w:rPr>
              <w:t xml:space="preserve">1.0</w:t>
            </w:r>
          </w:p>
        </w:tc>
        <w:tc>
          <w:tcPr>
            <w:tcW w:type="dxa" w:w="1850"/>
            <w:tcMar>
              <w:top w:type="dxa" w:w="60"/>
              <w:left w:type="dxa" w:w="100"/>
              <w:bottom w:type="dxa" w:w="60"/>
              <w:right w:type="dxa" w:w="100"/>
            </w:tcMar>
          </w:tcPr>
          <w:p>
            <w:r>
              <w:rPr>
                <w:b w:val="false"/>
                <w:bCs w:val="false"/>
                <w:sz w:val="20"/>
                <w:szCs w:val="20"/>
              </w:rPr>
              <w:t xml:space="preserve">30%</w:t>
            </w:r>
          </w:p>
        </w:tc>
      </w:tr>
    </w:tbl>
    <w:p>
      <w:pPr>
        <w:pBdr>
          <w:left w:val="single" w:color="AAAAAA" w:sz="12" w:space="8"/>
        </w:pBdr>
        <w:spacing w:after="160"/>
        <w:ind w:left="200"/>
      </w:pPr>
      <w:r>
        <w:rPr>
          <w:i/>
          <w:iCs/>
          <w:color w:val="666666"/>
          <w:sz w:val="20"/>
          <w:szCs w:val="20"/>
        </w:rPr>
        <w:t xml:space="preserve">PEG ratio (P/E divided by growth rate) is the closest quantifiable proxy Yahoo's data supports for the source doc's Company-A-vs-Company-B example in section 4 — "is this growth cheap relative to the price paid," not just "is growth happening."</w:t>
      </w:r>
    </w:p>
    <w:p>
      <w:pPr>
        <w:pStyle w:val="Heading1"/>
        <w:spacing w:after="140" w:before="320"/>
      </w:pPr>
      <w:r>
        <w:t xml:space="preserve">6. Score 4 — Entry Timing (0-100)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50"/>
      </w:tblGrid>
      <w:tr>
        <w:trPr>
          <w:tblHeader/>
        </w:trPr>
        <w:tc>
          <w:tcPr>
            <w:tcW w:type="dxa" w:w="3800"/>
            <w:shd w:fill="E7E6E1" w:val="clear"/>
            <w:tcMar>
              <w:top w:type="dxa" w:w="60"/>
              <w:left w:type="dxa" w:w="100"/>
              <w:bottom w:type="dxa" w:w="60"/>
              <w:right w:type="dxa" w:w="100"/>
            </w:tcMar>
          </w:tcPr>
          <w:p>
            <w:r>
              <w:rPr>
                <w:b/>
                <w:bCs/>
                <w:sz w:val="20"/>
                <w:szCs w:val="20"/>
              </w:rPr>
              <w:t xml:space="preserve">Signal</w:t>
            </w:r>
          </w:p>
        </w:tc>
        <w:tc>
          <w:tcPr>
            <w:tcW w:type="dxa" w:w="1400"/>
            <w:shd w:fill="E7E6E1" w:val="clear"/>
            <w:tcMar>
              <w:top w:type="dxa" w:w="60"/>
              <w:left w:type="dxa" w:w="100"/>
              <w:bottom w:type="dxa" w:w="60"/>
              <w:right w:type="dxa" w:w="100"/>
            </w:tcMar>
          </w:tcPr>
          <w:p>
            <w:r>
              <w:rPr>
                <w:b/>
                <w:bCs/>
                <w:sz w:val="20"/>
                <w:szCs w:val="20"/>
              </w:rPr>
              <w:t xml:space="preserve">Weight</w:t>
            </w:r>
          </w:p>
        </w:tc>
        <w:tc>
          <w:tcPr>
            <w:tcW w:type="dxa" w:w="4150"/>
            <w:shd w:fill="E7E6E1" w:val="clear"/>
            <w:tcMar>
              <w:top w:type="dxa" w:w="60"/>
              <w:left w:type="dxa" w:w="100"/>
              <w:bottom w:type="dxa" w:w="60"/>
              <w:right w:type="dxa" w:w="100"/>
            </w:tcMar>
          </w:tcPr>
          <w:p>
            <w:r>
              <w:rPr>
                <w:b/>
                <w:bCs/>
                <w:sz w:val="20"/>
                <w:szCs w:val="20"/>
              </w:rPr>
              <w:t xml:space="preserve">Status</w:t>
            </w:r>
          </w:p>
        </w:tc>
      </w:tr>
      <w:tr>
        <w:tc>
          <w:tcPr>
            <w:tcW w:type="dxa" w:w="3800"/>
            <w:tcMar>
              <w:top w:type="dxa" w:w="60"/>
              <w:left w:type="dxa" w:w="100"/>
              <w:bottom w:type="dxa" w:w="60"/>
              <w:right w:type="dxa" w:w="100"/>
            </w:tcMar>
          </w:tcPr>
          <w:p>
            <w:r>
              <w:rPr>
                <w:b w:val="false"/>
                <w:bCs w:val="false"/>
                <w:sz w:val="20"/>
                <w:szCs w:val="20"/>
              </w:rPr>
              <w:t xml:space="preserve">Trend state (existing)</w:t>
            </w:r>
          </w:p>
        </w:tc>
        <w:tc>
          <w:tcPr>
            <w:tcW w:type="dxa" w:w="1400"/>
            <w:tcMar>
              <w:top w:type="dxa" w:w="60"/>
              <w:left w:type="dxa" w:w="100"/>
              <w:bottom w:type="dxa" w:w="60"/>
              <w:right w:type="dxa" w:w="100"/>
            </w:tcMar>
          </w:tcPr>
          <w:p>
            <w:r>
              <w:rPr>
                <w:b w:val="false"/>
                <w:bCs w:val="false"/>
                <w:sz w:val="20"/>
                <w:szCs w:val="20"/>
              </w:rPr>
              <w:t xml:space="preserve">40%</w:t>
            </w:r>
          </w:p>
        </w:tc>
        <w:tc>
          <w:tcPr>
            <w:tcW w:type="dxa" w:w="4150"/>
            <w:tcMar>
              <w:top w:type="dxa" w:w="60"/>
              <w:left w:type="dxa" w:w="100"/>
              <w:bottom w:type="dxa" w:w="60"/>
              <w:right w:type="dxa" w:w="100"/>
            </w:tcMar>
          </w:tcPr>
          <w:p>
            <w:r>
              <w:rPr>
                <w:b w:val="false"/>
                <w:bCs w:val="false"/>
                <w:sz w:val="20"/>
                <w:szCs w:val="20"/>
              </w:rPr>
              <w:t xml:space="preserve">pullback-in-uptrend / near-highs / downtrend / neutral</w:t>
            </w:r>
          </w:p>
        </w:tc>
      </w:tr>
      <w:tr>
        <w:tc>
          <w:tcPr>
            <w:tcW w:type="dxa" w:w="3800"/>
            <w:tcMar>
              <w:top w:type="dxa" w:w="60"/>
              <w:left w:type="dxa" w:w="100"/>
              <w:bottom w:type="dxa" w:w="60"/>
              <w:right w:type="dxa" w:w="100"/>
            </w:tcMar>
          </w:tcPr>
          <w:p>
            <w:r>
              <w:rPr>
                <w:b w:val="false"/>
                <w:bCs w:val="false"/>
                <w:sz w:val="20"/>
                <w:szCs w:val="20"/>
              </w:rPr>
              <w:t xml:space="preserve">RSI proximity to neutral (existing)</w:t>
            </w:r>
          </w:p>
        </w:tc>
        <w:tc>
          <w:tcPr>
            <w:tcW w:type="dxa" w:w="1400"/>
            <w:tcMar>
              <w:top w:type="dxa" w:w="60"/>
              <w:left w:type="dxa" w:w="100"/>
              <w:bottom w:type="dxa" w:w="60"/>
              <w:right w:type="dxa" w:w="100"/>
            </w:tcMar>
          </w:tcPr>
          <w:p>
            <w:r>
              <w:rPr>
                <w:b w:val="false"/>
                <w:bCs w:val="false"/>
                <w:sz w:val="20"/>
                <w:szCs w:val="20"/>
              </w:rPr>
              <w:t xml:space="preserve">20%</w:t>
            </w:r>
          </w:p>
        </w:tc>
        <w:tc>
          <w:tcPr>
            <w:tcW w:type="dxa" w:w="4150"/>
            <w:tcMar>
              <w:top w:type="dxa" w:w="60"/>
              <w:left w:type="dxa" w:w="100"/>
              <w:bottom w:type="dxa" w:w="60"/>
              <w:right w:type="dxa" w:w="100"/>
            </w:tcMar>
          </w:tcPr>
          <w:p>
            <w:r>
              <w:rPr>
                <w:b w:val="false"/>
                <w:bCs w:val="false"/>
                <w:sz w:val="20"/>
                <w:szCs w:val="20"/>
              </w:rPr>
              <w:t xml:space="preserve">already implemented</w:t>
            </w:r>
          </w:p>
        </w:tc>
      </w:tr>
      <w:tr>
        <w:tc>
          <w:tcPr>
            <w:tcW w:type="dxa" w:w="3800"/>
            <w:tcMar>
              <w:top w:type="dxa" w:w="60"/>
              <w:left w:type="dxa" w:w="100"/>
              <w:bottom w:type="dxa" w:w="60"/>
              <w:right w:type="dxa" w:w="100"/>
            </w:tcMar>
          </w:tcPr>
          <w:p>
            <w:r>
              <w:rPr>
                <w:b w:val="false"/>
                <w:bCs w:val="false"/>
                <w:sz w:val="20"/>
                <w:szCs w:val="20"/>
              </w:rPr>
              <w:t xml:space="preserve">MACD crossover direction (NEW)</w:t>
            </w:r>
          </w:p>
        </w:tc>
        <w:tc>
          <w:tcPr>
            <w:tcW w:type="dxa" w:w="1400"/>
            <w:tcMar>
              <w:top w:type="dxa" w:w="60"/>
              <w:left w:type="dxa" w:w="100"/>
              <w:bottom w:type="dxa" w:w="60"/>
              <w:right w:type="dxa" w:w="100"/>
            </w:tcMar>
          </w:tcPr>
          <w:p>
            <w:r>
              <w:rPr>
                <w:b w:val="false"/>
                <w:bCs w:val="false"/>
                <w:sz w:val="20"/>
                <w:szCs w:val="20"/>
              </w:rPr>
              <w:t xml:space="preserve">20%</w:t>
            </w:r>
          </w:p>
        </w:tc>
        <w:tc>
          <w:tcPr>
            <w:tcW w:type="dxa" w:w="4150"/>
            <w:tcMar>
              <w:top w:type="dxa" w:w="60"/>
              <w:left w:type="dxa" w:w="100"/>
              <w:bottom w:type="dxa" w:w="60"/>
              <w:right w:type="dxa" w:w="100"/>
            </w:tcMar>
          </w:tcPr>
          <w:p>
            <w:r>
              <w:rPr>
                <w:b w:val="false"/>
                <w:bCs w:val="false"/>
                <w:sz w:val="20"/>
                <w:szCs w:val="20"/>
              </w:rPr>
              <w:t xml:space="preserve">macd above macdSignal = bullish confirmation; ingested, unused today</w:t>
            </w:r>
          </w:p>
        </w:tc>
      </w:tr>
      <w:tr>
        <w:tc>
          <w:tcPr>
            <w:tcW w:type="dxa" w:w="3800"/>
            <w:tcMar>
              <w:top w:type="dxa" w:w="60"/>
              <w:left w:type="dxa" w:w="100"/>
              <w:bottom w:type="dxa" w:w="60"/>
              <w:right w:type="dxa" w:w="100"/>
            </w:tcMar>
          </w:tcPr>
          <w:p>
            <w:r>
              <w:rPr>
                <w:b w:val="false"/>
                <w:bCs w:val="false"/>
                <w:sz w:val="20"/>
                <w:szCs w:val="20"/>
              </w:rPr>
              <w:t xml:space="preserve">Volatility, lower = steadier entry (NEW)</w:t>
            </w:r>
          </w:p>
        </w:tc>
        <w:tc>
          <w:tcPr>
            <w:tcW w:type="dxa" w:w="1400"/>
            <w:tcMar>
              <w:top w:type="dxa" w:w="60"/>
              <w:left w:type="dxa" w:w="100"/>
              <w:bottom w:type="dxa" w:w="60"/>
              <w:right w:type="dxa" w:w="100"/>
            </w:tcMar>
          </w:tcPr>
          <w:p>
            <w:r>
              <w:rPr>
                <w:b w:val="false"/>
                <w:bCs w:val="false"/>
                <w:sz w:val="20"/>
                <w:szCs w:val="20"/>
              </w:rPr>
              <w:t xml:space="preserve">10%</w:t>
            </w:r>
          </w:p>
        </w:tc>
        <w:tc>
          <w:tcPr>
            <w:tcW w:type="dxa" w:w="4150"/>
            <w:tcMar>
              <w:top w:type="dxa" w:w="60"/>
              <w:left w:type="dxa" w:w="100"/>
              <w:bottom w:type="dxa" w:w="60"/>
              <w:right w:type="dxa" w:w="100"/>
            </w:tcMar>
          </w:tcPr>
          <w:p>
            <w:r>
              <w:rPr>
                <w:b w:val="false"/>
                <w:bCs w:val="false"/>
                <w:sz w:val="20"/>
                <w:szCs w:val="20"/>
              </w:rPr>
              <w:t xml:space="preserve">ingested for style classification only today</w:t>
            </w:r>
          </w:p>
        </w:tc>
      </w:tr>
      <w:tr>
        <w:tc>
          <w:tcPr>
            <w:tcW w:type="dxa" w:w="3800"/>
            <w:tcMar>
              <w:top w:type="dxa" w:w="60"/>
              <w:left w:type="dxa" w:w="100"/>
              <w:bottom w:type="dxa" w:w="60"/>
              <w:right w:type="dxa" w:w="100"/>
            </w:tcMar>
          </w:tcPr>
          <w:p>
            <w:r>
              <w:rPr>
                <w:b w:val="false"/>
                <w:bCs w:val="false"/>
                <w:sz w:val="20"/>
                <w:szCs w:val="20"/>
              </w:rPr>
              <w:t xml:space="preserve">Volume trend on the move (NEW)</w:t>
            </w:r>
          </w:p>
        </w:tc>
        <w:tc>
          <w:tcPr>
            <w:tcW w:type="dxa" w:w="1400"/>
            <w:tcMar>
              <w:top w:type="dxa" w:w="60"/>
              <w:left w:type="dxa" w:w="100"/>
              <w:bottom w:type="dxa" w:w="60"/>
              <w:right w:type="dxa" w:w="100"/>
            </w:tcMar>
          </w:tcPr>
          <w:p>
            <w:r>
              <w:rPr>
                <w:b w:val="false"/>
                <w:bCs w:val="false"/>
                <w:sz w:val="20"/>
                <w:szCs w:val="20"/>
              </w:rPr>
              <w:t xml:space="preserve">10%</w:t>
            </w:r>
          </w:p>
        </w:tc>
        <w:tc>
          <w:tcPr>
            <w:tcW w:type="dxa" w:w="4150"/>
            <w:tcMar>
              <w:top w:type="dxa" w:w="60"/>
              <w:left w:type="dxa" w:w="100"/>
              <w:bottom w:type="dxa" w:w="60"/>
              <w:right w:type="dxa" w:w="100"/>
            </w:tcMar>
          </w:tcPr>
          <w:p>
            <w:r>
              <w:rPr>
                <w:b w:val="false"/>
                <w:bCs w:val="false"/>
                <w:sz w:val="20"/>
                <w:szCs w:val="20"/>
              </w:rPr>
              <w:t xml:space="preserve">ingested, unused today</w:t>
            </w:r>
          </w:p>
        </w:tc>
      </w:tr>
    </w:tbl>
    <w:p>
      <w:pPr>
        <w:pStyle w:val="Heading1"/>
        <w:spacing w:after="140" w:before="320"/>
      </w:pPr>
      <w:r>
        <w:t xml:space="preserve">7. Financial Strength (0-100) — new dimension</w:t>
      </w:r>
    </w:p>
    <w:p>
      <w:pPr>
        <w:spacing w:after="120"/>
      </w:pPr>
      <w:r>
        <w:t xml:space="preserve">Split out of Quality per the source doc's own FOS breakdown (section 10 there):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25"/>
        <w:gridCol w:w="2325"/>
      </w:tblGrid>
      <w:tr>
        <w:trPr>
          <w:tblHeader/>
        </w:trPr>
        <w:tc>
          <w:tcPr>
            <w:tcW w:type="dxa" w:w="7025"/>
            <w:shd w:fill="E7E6E1" w:val="clear"/>
            <w:tcMar>
              <w:top w:type="dxa" w:w="60"/>
              <w:left w:type="dxa" w:w="100"/>
              <w:bottom w:type="dxa" w:w="60"/>
              <w:right w:type="dxa" w:w="100"/>
            </w:tcMar>
          </w:tcPr>
          <w:p>
            <w:r>
              <w:rPr>
                <w:b/>
                <w:bCs/>
                <w:sz w:val="20"/>
                <w:szCs w:val="20"/>
              </w:rPr>
              <w:t xml:space="preserve">Metric</w:t>
            </w:r>
          </w:p>
        </w:tc>
        <w:tc>
          <w:tcPr>
            <w:tcW w:type="dxa" w:w="2325"/>
            <w:shd w:fill="E7E6E1" w:val="clear"/>
            <w:tcMar>
              <w:top w:type="dxa" w:w="60"/>
              <w:left w:type="dxa" w:w="100"/>
              <w:bottom w:type="dxa" w:w="60"/>
              <w:right w:type="dxa" w:w="100"/>
            </w:tcMar>
          </w:tcPr>
          <w:p>
            <w:r>
              <w:rPr>
                <w:b/>
                <w:bCs/>
                <w:sz w:val="20"/>
                <w:szCs w:val="20"/>
              </w:rPr>
              <w:t xml:space="preserve">Weight</w:t>
            </w:r>
          </w:p>
        </w:tc>
      </w:tr>
      <w:tr>
        <w:tc>
          <w:tcPr>
            <w:tcW w:type="dxa" w:w="7025"/>
            <w:tcMar>
              <w:top w:type="dxa" w:w="60"/>
              <w:left w:type="dxa" w:w="100"/>
              <w:bottom w:type="dxa" w:w="60"/>
              <w:right w:type="dxa" w:w="100"/>
            </w:tcMar>
          </w:tcPr>
          <w:p>
            <w:r>
              <w:rPr>
                <w:b w:val="false"/>
                <w:bCs w:val="false"/>
                <w:sz w:val="20"/>
                <w:szCs w:val="20"/>
              </w:rPr>
              <w:t xml:space="preserve">Debt / equity</w:t>
            </w:r>
          </w:p>
        </w:tc>
        <w:tc>
          <w:tcPr>
            <w:tcW w:type="dxa" w:w="2325"/>
            <w:tcMar>
              <w:top w:type="dxa" w:w="60"/>
              <w:left w:type="dxa" w:w="100"/>
              <w:bottom w:type="dxa" w:w="60"/>
              <w:right w:type="dxa" w:w="100"/>
            </w:tcMar>
          </w:tcPr>
          <w:p>
            <w:r>
              <w:rPr>
                <w:b w:val="false"/>
                <w:bCs w:val="false"/>
                <w:sz w:val="20"/>
                <w:szCs w:val="20"/>
              </w:rPr>
              <w:t xml:space="preserve">40%</w:t>
            </w:r>
          </w:p>
        </w:tc>
      </w:tr>
      <w:tr>
        <w:tc>
          <w:tcPr>
            <w:tcW w:type="dxa" w:w="7025"/>
            <w:tcMar>
              <w:top w:type="dxa" w:w="60"/>
              <w:left w:type="dxa" w:w="100"/>
              <w:bottom w:type="dxa" w:w="60"/>
              <w:right w:type="dxa" w:w="100"/>
            </w:tcMar>
          </w:tcPr>
          <w:p>
            <w:r>
              <w:rPr>
                <w:b w:val="false"/>
                <w:bCs w:val="false"/>
                <w:sz w:val="20"/>
                <w:szCs w:val="20"/>
              </w:rPr>
              <w:t xml:space="preserve">FCF yield (NEW — ingested, unused)</w:t>
            </w:r>
          </w:p>
        </w:tc>
        <w:tc>
          <w:tcPr>
            <w:tcW w:type="dxa" w:w="2325"/>
            <w:tcMar>
              <w:top w:type="dxa" w:w="60"/>
              <w:left w:type="dxa" w:w="100"/>
              <w:bottom w:type="dxa" w:w="60"/>
              <w:right w:type="dxa" w:w="100"/>
            </w:tcMar>
          </w:tcPr>
          <w:p>
            <w:r>
              <w:rPr>
                <w:b w:val="false"/>
                <w:bCs w:val="false"/>
                <w:sz w:val="20"/>
                <w:szCs w:val="20"/>
              </w:rPr>
              <w:t xml:space="preserve">35%</w:t>
            </w:r>
          </w:p>
        </w:tc>
      </w:tr>
      <w:tr>
        <w:tc>
          <w:tcPr>
            <w:tcW w:type="dxa" w:w="7025"/>
            <w:tcMar>
              <w:top w:type="dxa" w:w="60"/>
              <w:left w:type="dxa" w:w="100"/>
              <w:bottom w:type="dxa" w:w="60"/>
              <w:right w:type="dxa" w:w="100"/>
            </w:tcMar>
          </w:tcPr>
          <w:p>
            <w:r>
              <w:rPr>
                <w:b w:val="false"/>
                <w:bCs w:val="false"/>
                <w:sz w:val="20"/>
                <w:szCs w:val="20"/>
              </w:rPr>
              <w:t xml:space="preserve">Free cash flow sign (positive/negative) (NEW)</w:t>
            </w:r>
          </w:p>
        </w:tc>
        <w:tc>
          <w:tcPr>
            <w:tcW w:type="dxa" w:w="2325"/>
            <w:tcMar>
              <w:top w:type="dxa" w:w="60"/>
              <w:left w:type="dxa" w:w="100"/>
              <w:bottom w:type="dxa" w:w="60"/>
              <w:right w:type="dxa" w:w="100"/>
            </w:tcMar>
          </w:tcPr>
          <w:p>
            <w:r>
              <w:rPr>
                <w:b w:val="false"/>
                <w:bCs w:val="false"/>
                <w:sz w:val="20"/>
                <w:szCs w:val="20"/>
              </w:rPr>
              <w:t xml:space="preserve">25%</w:t>
            </w:r>
          </w:p>
        </w:tc>
      </w:tr>
    </w:tbl>
    <w:p>
      <w:pPr>
        <w:pBdr>
          <w:left w:val="single" w:color="AAAAAA" w:sz="12" w:space="8"/>
        </w:pBdr>
        <w:spacing w:after="160"/>
        <w:ind w:left="200"/>
      </w:pPr>
      <w:r>
        <w:rPr>
          <w:i/>
          <w:iCs/>
          <w:color w:val="666666"/>
          <w:sz w:val="20"/>
          <w:szCs w:val="20"/>
        </w:rPr>
        <w:t xml:space="preserve">A true multi-period debt/FCF trend ("is leverage rising") needs longer fundamentals history than the current 30-day retention window keeps — see the V1.5 roadmap item in section 16. V1 checks the current level only, not its direction.</w:t>
      </w:r>
    </w:p>
    <w:p>
      <w:pPr>
        <w:pStyle w:val="Heading1"/>
        <w:spacing w:after="140" w:before="320"/>
      </w:pPr>
      <w:r>
        <w:t xml:space="preserve">8. Fundamental Opportunity Score (FOS)</w:t>
      </w:r>
    </w:p>
    <w:p>
      <w:pPr>
        <w:spacing w:after="120"/>
      </w:pPr>
      <w:r>
        <w:t xml:space="preserve">Matching the source doc's section 10 weighting exactly, with a concrete stand-in for "Future Catalysts" since Yahoo's data has no qualitative-news signal: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25"/>
        <w:gridCol w:w="2325"/>
      </w:tblGrid>
      <w:tr>
        <w:trPr>
          <w:tblHeader/>
        </w:trPr>
        <w:tc>
          <w:tcPr>
            <w:tcW w:type="dxa" w:w="7025"/>
            <w:shd w:fill="E7E6E1" w:val="clear"/>
            <w:tcMar>
              <w:top w:type="dxa" w:w="60"/>
              <w:left w:type="dxa" w:w="100"/>
              <w:bottom w:type="dxa" w:w="60"/>
              <w:right w:type="dxa" w:w="100"/>
            </w:tcMar>
          </w:tcPr>
          <w:p>
            <w:r>
              <w:rPr>
                <w:b/>
                <w:bCs/>
                <w:sz w:val="20"/>
                <w:szCs w:val="20"/>
              </w:rPr>
              <w:t xml:space="preserve">Component</w:t>
            </w:r>
          </w:p>
        </w:tc>
        <w:tc>
          <w:tcPr>
            <w:tcW w:type="dxa" w:w="2325"/>
            <w:shd w:fill="E7E6E1" w:val="clear"/>
            <w:tcMar>
              <w:top w:type="dxa" w:w="60"/>
              <w:left w:type="dxa" w:w="100"/>
              <w:bottom w:type="dxa" w:w="60"/>
              <w:right w:type="dxa" w:w="100"/>
            </w:tcMar>
          </w:tcPr>
          <w:p>
            <w:r>
              <w:rPr>
                <w:b/>
                <w:bCs/>
                <w:sz w:val="20"/>
                <w:szCs w:val="20"/>
              </w:rPr>
              <w:t xml:space="preserve">Weight</w:t>
            </w:r>
          </w:p>
        </w:tc>
      </w:tr>
      <w:tr>
        <w:tc>
          <w:tcPr>
            <w:tcW w:type="dxa" w:w="7025"/>
            <w:tcMar>
              <w:top w:type="dxa" w:w="60"/>
              <w:left w:type="dxa" w:w="100"/>
              <w:bottom w:type="dxa" w:w="60"/>
              <w:right w:type="dxa" w:w="100"/>
            </w:tcMar>
          </w:tcPr>
          <w:p>
            <w:r>
              <w:rPr>
                <w:b w:val="false"/>
                <w:bCs w:val="false"/>
                <w:sz w:val="20"/>
                <w:szCs w:val="20"/>
              </w:rPr>
              <w:t xml:space="preserve">Valuation</w:t>
            </w:r>
          </w:p>
        </w:tc>
        <w:tc>
          <w:tcPr>
            <w:tcW w:type="dxa" w:w="2325"/>
            <w:tcMar>
              <w:top w:type="dxa" w:w="60"/>
              <w:left w:type="dxa" w:w="100"/>
              <w:bottom w:type="dxa" w:w="60"/>
              <w:right w:type="dxa" w:w="100"/>
            </w:tcMar>
          </w:tcPr>
          <w:p>
            <w:r>
              <w:rPr>
                <w:b w:val="false"/>
                <w:bCs w:val="false"/>
                <w:sz w:val="20"/>
                <w:szCs w:val="20"/>
              </w:rPr>
              <w:t xml:space="preserve">25%</w:t>
            </w:r>
          </w:p>
        </w:tc>
      </w:tr>
      <w:tr>
        <w:tc>
          <w:tcPr>
            <w:tcW w:type="dxa" w:w="7025"/>
            <w:tcMar>
              <w:top w:type="dxa" w:w="60"/>
              <w:left w:type="dxa" w:w="100"/>
              <w:bottom w:type="dxa" w:w="60"/>
              <w:right w:type="dxa" w:w="100"/>
            </w:tcMar>
          </w:tcPr>
          <w:p>
            <w:r>
              <w:rPr>
                <w:b w:val="false"/>
                <w:bCs w:val="false"/>
                <w:sz w:val="20"/>
                <w:szCs w:val="20"/>
              </w:rPr>
              <w:t xml:space="preserve">Growth</w:t>
            </w:r>
          </w:p>
        </w:tc>
        <w:tc>
          <w:tcPr>
            <w:tcW w:type="dxa" w:w="2325"/>
            <w:tcMar>
              <w:top w:type="dxa" w:w="60"/>
              <w:left w:type="dxa" w:w="100"/>
              <w:bottom w:type="dxa" w:w="60"/>
              <w:right w:type="dxa" w:w="100"/>
            </w:tcMar>
          </w:tcPr>
          <w:p>
            <w:r>
              <w:rPr>
                <w:b w:val="false"/>
                <w:bCs w:val="false"/>
                <w:sz w:val="20"/>
                <w:szCs w:val="20"/>
              </w:rPr>
              <w:t xml:space="preserve">25%</w:t>
            </w:r>
          </w:p>
        </w:tc>
      </w:tr>
      <w:tr>
        <w:tc>
          <w:tcPr>
            <w:tcW w:type="dxa" w:w="7025"/>
            <w:tcMar>
              <w:top w:type="dxa" w:w="60"/>
              <w:left w:type="dxa" w:w="100"/>
              <w:bottom w:type="dxa" w:w="60"/>
              <w:right w:type="dxa" w:w="100"/>
            </w:tcMar>
          </w:tcPr>
          <w:p>
            <w:r>
              <w:rPr>
                <w:b w:val="false"/>
                <w:bCs w:val="false"/>
                <w:sz w:val="20"/>
                <w:szCs w:val="20"/>
              </w:rPr>
              <w:t xml:space="preserve">Business Quality</w:t>
            </w:r>
          </w:p>
        </w:tc>
        <w:tc>
          <w:tcPr>
            <w:tcW w:type="dxa" w:w="2325"/>
            <w:tcMar>
              <w:top w:type="dxa" w:w="60"/>
              <w:left w:type="dxa" w:w="100"/>
              <w:bottom w:type="dxa" w:w="60"/>
              <w:right w:type="dxa" w:w="100"/>
            </w:tcMar>
          </w:tcPr>
          <w:p>
            <w:r>
              <w:rPr>
                <w:b w:val="false"/>
                <w:bCs w:val="false"/>
                <w:sz w:val="20"/>
                <w:szCs w:val="20"/>
              </w:rPr>
              <w:t xml:space="preserve">20%</w:t>
            </w:r>
          </w:p>
        </w:tc>
      </w:tr>
      <w:tr>
        <w:tc>
          <w:tcPr>
            <w:tcW w:type="dxa" w:w="7025"/>
            <w:tcMar>
              <w:top w:type="dxa" w:w="60"/>
              <w:left w:type="dxa" w:w="100"/>
              <w:bottom w:type="dxa" w:w="60"/>
              <w:right w:type="dxa" w:w="100"/>
            </w:tcMar>
          </w:tcPr>
          <w:p>
            <w:r>
              <w:rPr>
                <w:b w:val="false"/>
                <w:bCs w:val="false"/>
                <w:sz w:val="20"/>
                <w:szCs w:val="20"/>
              </w:rPr>
              <w:t xml:space="preserve">Financial Strength</w:t>
            </w:r>
          </w:p>
        </w:tc>
        <w:tc>
          <w:tcPr>
            <w:tcW w:type="dxa" w:w="2325"/>
            <w:tcMar>
              <w:top w:type="dxa" w:w="60"/>
              <w:left w:type="dxa" w:w="100"/>
              <w:bottom w:type="dxa" w:w="60"/>
              <w:right w:type="dxa" w:w="100"/>
            </w:tcMar>
          </w:tcPr>
          <w:p>
            <w:r>
              <w:rPr>
                <w:b w:val="false"/>
                <w:bCs w:val="false"/>
                <w:sz w:val="20"/>
                <w:szCs w:val="20"/>
              </w:rPr>
              <w:t xml:space="preserve">15%</w:t>
            </w:r>
          </w:p>
        </w:tc>
      </w:tr>
      <w:tr>
        <w:tc>
          <w:tcPr>
            <w:tcW w:type="dxa" w:w="7025"/>
            <w:tcMar>
              <w:top w:type="dxa" w:w="60"/>
              <w:left w:type="dxa" w:w="100"/>
              <w:bottom w:type="dxa" w:w="60"/>
              <w:right w:type="dxa" w:w="100"/>
            </w:tcMar>
          </w:tcPr>
          <w:p>
            <w:r>
              <w:rPr>
                <w:b w:val="false"/>
                <w:bCs w:val="false"/>
                <w:sz w:val="20"/>
                <w:szCs w:val="20"/>
              </w:rPr>
              <w:t xml:space="preserve">Catalyst proxy (NEW)</w:t>
            </w:r>
          </w:p>
        </w:tc>
        <w:tc>
          <w:tcPr>
            <w:tcW w:type="dxa" w:w="2325"/>
            <w:tcMar>
              <w:top w:type="dxa" w:w="60"/>
              <w:left w:type="dxa" w:w="100"/>
              <w:bottom w:type="dxa" w:w="60"/>
              <w:right w:type="dxa" w:w="100"/>
            </w:tcMar>
          </w:tcPr>
          <w:p>
            <w:r>
              <w:rPr>
                <w:b w:val="false"/>
                <w:bCs w:val="false"/>
                <w:sz w:val="20"/>
                <w:szCs w:val="20"/>
              </w:rPr>
              <w:t xml:space="preserve">15%</w:t>
            </w:r>
          </w:p>
        </w:tc>
      </w:tr>
    </w:tbl>
    <w:p>
      <w:pPr>
        <w:spacing w:after="120"/>
      </w:pPr>
      <w:r>
        <w:t xml:space="preserve">Catalyst proxy = </w:t>
      </w:r>
      <w:r>
        <w:rPr>
          <w:i/>
          <w:iCs/>
        </w:rPr>
        <w:t xml:space="preserve">earnings growth yoy − revenue growth yoy</w:t>
      </w:r>
      <w:r>
        <w:t xml:space="preserve"> (margin expansion). It's the one quantifiable signal Yahoo's data supports that resembles “what's driving future upside” without reading earnings-call transcripts — a positive spread means profitability is improving faster than the top line, which is usually evidence of a real operating catalyst (mix shift, cost discipline, a scaling high-margin segment).</w:t>
      </w:r>
    </w:p>
    <w:p>
      <w:pPr>
        <w:pStyle w:val="Heading1"/>
        <w:spacing w:after="140" w:before="320"/>
      </w:pPr>
      <w:r>
        <w:t xml:space="preserve">9. Entry Score (ES)</w:t>
      </w:r>
    </w:p>
    <w:p>
      <w:pPr>
        <w:spacing w:after="120"/>
      </w:pPr>
      <w:r>
        <w:t xml:space="preserve">The source doc's section 11 breakdown, with “market conditions” (10%) redistributed into volatility since stock-agent doesn't currently ingest a broad-market reference series (see the V1.5 roadmap item for adding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25"/>
        <w:gridCol w:w="2325"/>
      </w:tblGrid>
      <w:tr>
        <w:trPr>
          <w:tblHeader/>
        </w:trPr>
        <w:tc>
          <w:tcPr>
            <w:tcW w:type="dxa" w:w="7025"/>
            <w:shd w:fill="E7E6E1" w:val="clear"/>
            <w:tcMar>
              <w:top w:type="dxa" w:w="60"/>
              <w:left w:type="dxa" w:w="100"/>
              <w:bottom w:type="dxa" w:w="60"/>
              <w:right w:type="dxa" w:w="100"/>
            </w:tcMar>
          </w:tcPr>
          <w:p>
            <w:r>
              <w:rPr>
                <w:b/>
                <w:bCs/>
                <w:sz w:val="20"/>
                <w:szCs w:val="20"/>
              </w:rPr>
              <w:t xml:space="preserve">Component</w:t>
            </w:r>
          </w:p>
        </w:tc>
        <w:tc>
          <w:tcPr>
            <w:tcW w:type="dxa" w:w="2325"/>
            <w:shd w:fill="E7E6E1" w:val="clear"/>
            <w:tcMar>
              <w:top w:type="dxa" w:w="60"/>
              <w:left w:type="dxa" w:w="100"/>
              <w:bottom w:type="dxa" w:w="60"/>
              <w:right w:type="dxa" w:w="100"/>
            </w:tcMar>
          </w:tcPr>
          <w:p>
            <w:r>
              <w:rPr>
                <w:b/>
                <w:bCs/>
                <w:sz w:val="20"/>
                <w:szCs w:val="20"/>
              </w:rPr>
              <w:t xml:space="preserve">Weight</w:t>
            </w:r>
          </w:p>
        </w:tc>
      </w:tr>
      <w:tr>
        <w:tc>
          <w:tcPr>
            <w:tcW w:type="dxa" w:w="7025"/>
            <w:tcMar>
              <w:top w:type="dxa" w:w="60"/>
              <w:left w:type="dxa" w:w="100"/>
              <w:bottom w:type="dxa" w:w="60"/>
              <w:right w:type="dxa" w:w="100"/>
            </w:tcMar>
          </w:tcPr>
          <w:p>
            <w:r>
              <w:rPr>
                <w:b w:val="false"/>
                <w:bCs w:val="false"/>
                <w:sz w:val="20"/>
                <w:szCs w:val="20"/>
              </w:rPr>
              <w:t xml:space="preserve">Trend</w:t>
            </w:r>
          </w:p>
        </w:tc>
        <w:tc>
          <w:tcPr>
            <w:tcW w:type="dxa" w:w="2325"/>
            <w:tcMar>
              <w:top w:type="dxa" w:w="60"/>
              <w:left w:type="dxa" w:w="100"/>
              <w:bottom w:type="dxa" w:w="60"/>
              <w:right w:type="dxa" w:w="100"/>
            </w:tcMar>
          </w:tcPr>
          <w:p>
            <w:r>
              <w:rPr>
                <w:b w:val="false"/>
                <w:bCs w:val="false"/>
                <w:sz w:val="20"/>
                <w:szCs w:val="20"/>
              </w:rPr>
              <w:t xml:space="preserve">25%</w:t>
            </w:r>
          </w:p>
        </w:tc>
      </w:tr>
      <w:tr>
        <w:tc>
          <w:tcPr>
            <w:tcW w:type="dxa" w:w="7025"/>
            <w:tcMar>
              <w:top w:type="dxa" w:w="60"/>
              <w:left w:type="dxa" w:w="100"/>
              <w:bottom w:type="dxa" w:w="60"/>
              <w:right w:type="dxa" w:w="100"/>
            </w:tcMar>
          </w:tcPr>
          <w:p>
            <w:r>
              <w:rPr>
                <w:b w:val="false"/>
                <w:bCs w:val="false"/>
                <w:sz w:val="20"/>
                <w:szCs w:val="20"/>
              </w:rPr>
              <w:t xml:space="preserve">Momentum (MACD)</w:t>
            </w:r>
          </w:p>
        </w:tc>
        <w:tc>
          <w:tcPr>
            <w:tcW w:type="dxa" w:w="2325"/>
            <w:tcMar>
              <w:top w:type="dxa" w:w="60"/>
              <w:left w:type="dxa" w:w="100"/>
              <w:bottom w:type="dxa" w:w="60"/>
              <w:right w:type="dxa" w:w="100"/>
            </w:tcMar>
          </w:tcPr>
          <w:p>
            <w:r>
              <w:rPr>
                <w:b w:val="false"/>
                <w:bCs w:val="false"/>
                <w:sz w:val="20"/>
                <w:szCs w:val="20"/>
              </w:rPr>
              <w:t xml:space="preserve">20%</w:t>
            </w:r>
          </w:p>
        </w:tc>
      </w:tr>
      <w:tr>
        <w:tc>
          <w:tcPr>
            <w:tcW w:type="dxa" w:w="7025"/>
            <w:tcMar>
              <w:top w:type="dxa" w:w="60"/>
              <w:left w:type="dxa" w:w="100"/>
              <w:bottom w:type="dxa" w:w="60"/>
              <w:right w:type="dxa" w:w="100"/>
            </w:tcMar>
          </w:tcPr>
          <w:p>
            <w:r>
              <w:rPr>
                <w:b w:val="false"/>
                <w:bCs w:val="false"/>
                <w:sz w:val="20"/>
                <w:szCs w:val="20"/>
              </w:rPr>
              <w:t xml:space="preserve">RSI</w:t>
            </w:r>
          </w:p>
        </w:tc>
        <w:tc>
          <w:tcPr>
            <w:tcW w:type="dxa" w:w="2325"/>
            <w:tcMar>
              <w:top w:type="dxa" w:w="60"/>
              <w:left w:type="dxa" w:w="100"/>
              <w:bottom w:type="dxa" w:w="60"/>
              <w:right w:type="dxa" w:w="100"/>
            </w:tcMar>
          </w:tcPr>
          <w:p>
            <w:r>
              <w:rPr>
                <w:b w:val="false"/>
                <w:bCs w:val="false"/>
                <w:sz w:val="20"/>
                <w:szCs w:val="20"/>
              </w:rPr>
              <w:t xml:space="preserve">20%</w:t>
            </w:r>
          </w:p>
        </w:tc>
      </w:tr>
      <w:tr>
        <w:tc>
          <w:tcPr>
            <w:tcW w:type="dxa" w:w="7025"/>
            <w:tcMar>
              <w:top w:type="dxa" w:w="60"/>
              <w:left w:type="dxa" w:w="100"/>
              <w:bottom w:type="dxa" w:w="60"/>
              <w:right w:type="dxa" w:w="100"/>
            </w:tcMar>
          </w:tcPr>
          <w:p>
            <w:r>
              <w:rPr>
                <w:b w:val="false"/>
                <w:bCs w:val="false"/>
                <w:sz w:val="20"/>
                <w:szCs w:val="20"/>
              </w:rPr>
              <w:t xml:space="preserve">Support/resistance proxy (distance from own recent high/low)</w:t>
            </w:r>
          </w:p>
        </w:tc>
        <w:tc>
          <w:tcPr>
            <w:tcW w:type="dxa" w:w="2325"/>
            <w:tcMar>
              <w:top w:type="dxa" w:w="60"/>
              <w:left w:type="dxa" w:w="100"/>
              <w:bottom w:type="dxa" w:w="60"/>
              <w:right w:type="dxa" w:w="100"/>
            </w:tcMar>
          </w:tcPr>
          <w:p>
            <w:r>
              <w:rPr>
                <w:b w:val="false"/>
                <w:bCs w:val="false"/>
                <w:sz w:val="20"/>
                <w:szCs w:val="20"/>
              </w:rPr>
              <w:t xml:space="preserve">15%</w:t>
            </w:r>
          </w:p>
        </w:tc>
      </w:tr>
      <w:tr>
        <w:tc>
          <w:tcPr>
            <w:tcW w:type="dxa" w:w="7025"/>
            <w:tcMar>
              <w:top w:type="dxa" w:w="60"/>
              <w:left w:type="dxa" w:w="100"/>
              <w:bottom w:type="dxa" w:w="60"/>
              <w:right w:type="dxa" w:w="100"/>
            </w:tcMar>
          </w:tcPr>
          <w:p>
            <w:r>
              <w:rPr>
                <w:b w:val="false"/>
                <w:bCs w:val="false"/>
                <w:sz w:val="20"/>
                <w:szCs w:val="20"/>
              </w:rPr>
              <w:t xml:space="preserve">Volatility</w:t>
            </w:r>
          </w:p>
        </w:tc>
        <w:tc>
          <w:tcPr>
            <w:tcW w:type="dxa" w:w="2325"/>
            <w:tcMar>
              <w:top w:type="dxa" w:w="60"/>
              <w:left w:type="dxa" w:w="100"/>
              <w:bottom w:type="dxa" w:w="60"/>
              <w:right w:type="dxa" w:w="100"/>
            </w:tcMar>
          </w:tcPr>
          <w:p>
            <w:r>
              <w:rPr>
                <w:b w:val="false"/>
                <w:bCs w:val="false"/>
                <w:sz w:val="20"/>
                <w:szCs w:val="20"/>
              </w:rPr>
              <w:t xml:space="preserve">20%</w:t>
            </w:r>
          </w:p>
        </w:tc>
      </w:tr>
    </w:tbl>
    <w:p>
      <w:pPr>
        <w:pStyle w:val="Heading1"/>
        <w:spacing w:after="140" w:before="320"/>
      </w:pPr>
      <w:r>
        <w:t xml:space="preserve">10. Combined Investment Score</w:t>
      </w:r>
    </w:p>
    <w:p>
      <w:pPr>
        <w:spacing w:after="120"/>
      </w:pPr>
      <w:r>
        <w:rPr>
          <w:b/>
          <w:bCs/>
        </w:rPr>
        <w:t xml:space="preserve">Investment Score = 0.70 × FOS + 0.30 × ES</w:t>
      </w:r>
    </w:p>
    <w:p>
      <w:pPr>
        <w:spacing w:after="120"/>
      </w:pPr>
      <w:r>
        <w:t xml:space="preserve">Same weighting the source doc proposes (section 12) — the fundamental case dominates because the goal is identifying attractive long-term positions, not short-term entries. This score replaces today's single 0-100 “fit for this horizon” number as the headline figure; the existing short/mid/long horizon weighting (which currently blends valuation/quality/entry differently per horizon) can stay as a secondary view, or be retired in favor of one score with the horizon expressed through the decision label instead — worth a decision before implementation.</w:t>
      </w:r>
    </w:p>
    <w:p>
      <w:pPr>
        <w:pStyle w:val="Heading1"/>
        <w:spacing w:after="140" w:before="320"/>
      </w:pPr>
      <w:r>
        <w:t xml:space="preserve">11. Expected Return &amp; Risk/Reward — new capability</w:t>
      </w:r>
    </w:p>
    <w:p>
      <w:pPr>
        <w:spacing w:after="120"/>
      </w:pPr>
      <w:r>
        <w:t xml:space="preserve">Uses targetLow, fairValue, and targetHigh — all already ingested, all currently unused — as a three-point scenario, mirroring the source doc's section 14 example directly:</w:t>
      </w:r>
    </w:p>
    <w:p>
      <w:pPr>
        <w:spacing w:after="120"/>
      </w:pPr>
      <w:r>
        <w:rPr>
          <w:i/>
          <w:iCs/>
        </w:rPr>
        <w:t xml:space="preserve">Expected Return = 0.25 × (targetLow / price − 1) + 0.50 × (fairValue / price − 1) + 0.25 × (targetHigh / price − 1)</w:t>
      </w:r>
    </w:p>
    <w:p>
      <w:pPr>
        <w:spacing w:after="120"/>
      </w:pPr>
      <w:r>
        <w:t xml:space="preserve">The 25/50/25 weighting is a documented starting assumption — the source doc itself flags these as needing eventual backtested calibration (section 15), not something to treat as tuned.</w:t>
      </w:r>
    </w:p>
    <w:p>
      <w:pPr>
        <w:spacing w:after="120"/>
      </w:pPr>
      <w:r>
        <w:rPr>
          <w:i/>
          <w:iCs/>
        </w:rPr>
        <w:t xml:space="preserve">Downside = targetLow / price − 1</w:t>
      </w:r>
      <w:r>
        <w:t xml:space="preserve">  (the most conservative analyst estimate, as the bear case)</w:t>
      </w:r>
    </w:p>
    <w:p>
      <w:pPr>
        <w:spacing w:after="120"/>
      </w:pPr>
      <w:r>
        <w:rPr>
          <w:i/>
          <w:iCs/>
        </w:rPr>
        <w:t xml:space="preserve">Risk/Reward = Expected Return / |Downside|</w:t>
      </w:r>
    </w:p>
    <w:p>
      <w:pPr>
        <w:pBdr>
          <w:left w:val="single" w:color="AAAAAA" w:sz="12" w:space="8"/>
        </w:pBdr>
        <w:spacing w:after="160"/>
        <w:ind w:left="200"/>
      </w:pPr>
      <w:r>
        <w:rPr>
          <w:i/>
          <w:iCs/>
          <w:color w:val="666666"/>
          <w:sz w:val="20"/>
          <w:szCs w:val="20"/>
        </w:rPr>
        <w:t xml:space="preserve">Displayed as its own stat rather than folded into the composite score — keeps the score interpretable, and lets it act as an explicit gate in the decision engine below.</w:t>
      </w:r>
    </w:p>
    <w:p>
      <w:pPr>
        <w:pStyle w:val="Heading1"/>
        <w:spacing w:after="140" w:before="320"/>
      </w:pPr>
      <w:r>
        <w:t xml:space="preserve">12. Value-Trap Screen — new</w:t>
      </w:r>
    </w:p>
    <w:p>
      <w:pPr>
        <w:spacing w:after="120"/>
      </w:pPr>
      <w:r>
        <w:t xml:space="preserve">Flags a stock as a possible value trap, matching the source doc's section 18 example, when ALL of the following hold on the current snapshot:</w:t>
      </w:r>
    </w:p>
    <w:p>
      <w:pPr>
        <w:pStyle w:val="ListParagraph"/>
        <w:numPr>
          <w:ilvl w:val="0"/>
          <w:numId w:val="1"/>
        </w:numPr>
        <w:spacing w:after="60"/>
      </w:pPr>
      <w:r>
        <w:t xml:space="preserve">Valuation signal reads undervalued (bottom of its own 5y price range, or below fair value)</w:t>
      </w:r>
    </w:p>
    <w:p>
      <w:pPr>
        <w:pStyle w:val="ListParagraph"/>
        <w:numPr>
          <w:ilvl w:val="0"/>
          <w:numId w:val="1"/>
        </w:numPr>
        <w:spacing w:after="60"/>
      </w:pPr>
      <w:r>
        <w:t xml:space="preserve">Earnings growth yoy is negative</w:t>
      </w:r>
    </w:p>
    <w:p>
      <w:pPr>
        <w:pStyle w:val="ListParagraph"/>
        <w:numPr>
          <w:ilvl w:val="0"/>
          <w:numId w:val="1"/>
        </w:numPr>
        <w:spacing w:after="60"/>
      </w:pPr>
      <w:r>
        <w:t xml:space="preserve">Revenue growth yoy is negative</w:t>
      </w:r>
    </w:p>
    <w:p>
      <w:pPr>
        <w:pStyle w:val="ListParagraph"/>
        <w:numPr>
          <w:ilvl w:val="0"/>
          <w:numId w:val="1"/>
        </w:numPr>
        <w:spacing w:after="60"/>
      </w:pPr>
      <w:r>
        <w:t xml:space="preserve">ROE is below the weak threshold (8%)</w:t>
      </w:r>
    </w:p>
    <w:p>
      <w:pPr>
        <w:pStyle w:val="ListParagraph"/>
        <w:numPr>
          <w:ilvl w:val="0"/>
          <w:numId w:val="1"/>
        </w:numPr>
        <w:spacing w:after="60"/>
      </w:pPr>
      <w:r>
        <w:t xml:space="preserve">Debt/equity is above the strong-side threshold (1.5)</w:t>
      </w:r>
    </w:p>
    <w:p>
      <w:pPr>
        <w:pBdr>
          <w:left w:val="single" w:color="AAAAAA" w:sz="12" w:space="8"/>
        </w:pBdr>
        <w:spacing w:after="160"/>
        <w:ind w:left="200"/>
      </w:pPr>
      <w:r>
        <w:rPr>
          <w:i/>
          <w:iCs/>
          <w:color w:val="666666"/>
          <w:sz w:val="20"/>
          <w:szCs w:val="20"/>
        </w:rPr>
        <w:t xml:space="preserve">This checks the current snapshot's levels, not a multi-quarter declining trend (“rising debt” in the source doc's own phrasing implies direction, which needs history stock-agent doesn't retain past 30 days today — see section 16, V1.5). A value-trap flag forces an AVOID regardless of score.</w:t>
      </w:r>
    </w:p>
    <w:p>
      <w:pPr>
        <w:pStyle w:val="Heading1"/>
        <w:spacing w:after="140" w:before="320"/>
      </w:pPr>
      <w:r>
        <w:t xml:space="preserve">13. Decision Engine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shd w:fill="E7E6E1" w:val="clear"/>
            <w:tcMar>
              <w:top w:type="dxa" w:w="60"/>
              <w:left w:type="dxa" w:w="100"/>
              <w:bottom w:type="dxa" w:w="60"/>
              <w:right w:type="dxa" w:w="100"/>
            </w:tcMar>
          </w:tcPr>
          <w:p>
            <w:r>
              <w:rPr>
                <w:b/>
                <w:bCs/>
                <w:sz w:val="20"/>
                <w:szCs w:val="20"/>
              </w:rPr>
              <w:t xml:space="preserve">Decision</w:t>
            </w:r>
          </w:p>
        </w:tc>
        <w:tc>
          <w:tcPr>
            <w:tcW w:type="dxa" w:w="7750"/>
            <w:shd w:fill="E7E6E1" w:val="clear"/>
            <w:tcMar>
              <w:top w:type="dxa" w:w="60"/>
              <w:left w:type="dxa" w:w="100"/>
              <w:bottom w:type="dxa" w:w="60"/>
              <w:right w:type="dxa" w:w="100"/>
            </w:tcMar>
          </w:tcPr>
          <w:p>
            <w:r>
              <w:rPr>
                <w:b/>
                <w:bCs/>
                <w:sz w:val="20"/>
                <w:szCs w:val="20"/>
              </w:rPr>
              <w:t xml:space="preserve">Conditions</w:t>
            </w:r>
          </w:p>
        </w:tc>
      </w:tr>
      <w:tr>
        <w:tc>
          <w:tcPr>
            <w:tcW w:type="dxa" w:w="1600"/>
            <w:tcMar>
              <w:top w:type="dxa" w:w="60"/>
              <w:left w:type="dxa" w:w="100"/>
              <w:bottom w:type="dxa" w:w="60"/>
              <w:right w:type="dxa" w:w="100"/>
            </w:tcMar>
          </w:tcPr>
          <w:p>
            <w:r>
              <w:rPr>
                <w:b w:val="false"/>
                <w:bCs w:val="false"/>
                <w:sz w:val="20"/>
                <w:szCs w:val="20"/>
              </w:rPr>
              <w:t xml:space="preserve">BUY</w:t>
            </w:r>
          </w:p>
        </w:tc>
        <w:tc>
          <w:tcPr>
            <w:tcW w:type="dxa" w:w="7750"/>
            <w:tcMar>
              <w:top w:type="dxa" w:w="60"/>
              <w:left w:type="dxa" w:w="100"/>
              <w:bottom w:type="dxa" w:w="60"/>
              <w:right w:type="dxa" w:w="100"/>
            </w:tcMar>
          </w:tcPr>
          <w:p>
            <w:r>
              <w:rPr>
                <w:b w:val="false"/>
                <w:bCs w:val="false"/>
                <w:sz w:val="20"/>
                <w:szCs w:val="20"/>
              </w:rPr>
              <w:t xml:space="preserve">FOS ≥ 65, ES ≥ 55, Expected Return ≥ 15%, Risk/Reward ≥ 1.5, not a value trap</w:t>
            </w:r>
          </w:p>
        </w:tc>
      </w:tr>
      <w:tr>
        <w:tc>
          <w:tcPr>
            <w:tcW w:type="dxa" w:w="1600"/>
            <w:tcMar>
              <w:top w:type="dxa" w:w="60"/>
              <w:left w:type="dxa" w:w="100"/>
              <w:bottom w:type="dxa" w:w="60"/>
              <w:right w:type="dxa" w:w="100"/>
            </w:tcMar>
          </w:tcPr>
          <w:p>
            <w:r>
              <w:rPr>
                <w:b w:val="false"/>
                <w:bCs w:val="false"/>
                <w:sz w:val="20"/>
                <w:szCs w:val="20"/>
              </w:rPr>
              <w:t xml:space="preserve">ACCUMULATE</w:t>
            </w:r>
          </w:p>
        </w:tc>
        <w:tc>
          <w:tcPr>
            <w:tcW w:type="dxa" w:w="7750"/>
            <w:tcMar>
              <w:top w:type="dxa" w:w="60"/>
              <w:left w:type="dxa" w:w="100"/>
              <w:bottom w:type="dxa" w:w="60"/>
              <w:right w:type="dxa" w:w="100"/>
            </w:tcMar>
          </w:tcPr>
          <w:p>
            <w:r>
              <w:rPr>
                <w:b w:val="false"/>
                <w:bCs w:val="false"/>
                <w:sz w:val="20"/>
                <w:szCs w:val="20"/>
              </w:rPr>
              <w:t xml:space="preserve">FOS ≥ 65 but ES &lt; 55 or Risk/Reward 1.0–1.5 (good company, so-so entry — build the position gradually)</w:t>
            </w:r>
          </w:p>
        </w:tc>
      </w:tr>
      <w:tr>
        <w:tc>
          <w:tcPr>
            <w:tcW w:type="dxa" w:w="1600"/>
            <w:tcMar>
              <w:top w:type="dxa" w:w="60"/>
              <w:left w:type="dxa" w:w="100"/>
              <w:bottom w:type="dxa" w:w="60"/>
              <w:right w:type="dxa" w:w="100"/>
            </w:tcMar>
          </w:tcPr>
          <w:p>
            <w:r>
              <w:rPr>
                <w:b w:val="false"/>
                <w:bCs w:val="false"/>
                <w:sz w:val="20"/>
                <w:szCs w:val="20"/>
              </w:rPr>
              <w:t xml:space="preserve">WAIT</w:t>
            </w:r>
          </w:p>
        </w:tc>
        <w:tc>
          <w:tcPr>
            <w:tcW w:type="dxa" w:w="7750"/>
            <w:tcMar>
              <w:top w:type="dxa" w:w="60"/>
              <w:left w:type="dxa" w:w="100"/>
              <w:bottom w:type="dxa" w:w="60"/>
              <w:right w:type="dxa" w:w="100"/>
            </w:tcMar>
          </w:tcPr>
          <w:p>
            <w:r>
              <w:rPr>
                <w:b w:val="false"/>
                <w:bCs w:val="false"/>
                <w:sz w:val="20"/>
                <w:szCs w:val="20"/>
              </w:rPr>
              <w:t xml:space="preserve">FOS 40–65, or Expected Return &lt; 15%, or Risk/Reward &lt; 1.0, and not flagged AVOID</w:t>
            </w:r>
          </w:p>
        </w:tc>
      </w:tr>
      <w:tr>
        <w:tc>
          <w:tcPr>
            <w:tcW w:type="dxa" w:w="1600"/>
            <w:tcMar>
              <w:top w:type="dxa" w:w="60"/>
              <w:left w:type="dxa" w:w="100"/>
              <w:bottom w:type="dxa" w:w="60"/>
              <w:right w:type="dxa" w:w="100"/>
            </w:tcMar>
          </w:tcPr>
          <w:p>
            <w:r>
              <w:rPr>
                <w:b w:val="false"/>
                <w:bCs w:val="false"/>
                <w:sz w:val="20"/>
                <w:szCs w:val="20"/>
              </w:rPr>
              <w:t xml:space="preserve">AVOID</w:t>
            </w:r>
          </w:p>
        </w:tc>
        <w:tc>
          <w:tcPr>
            <w:tcW w:type="dxa" w:w="7750"/>
            <w:tcMar>
              <w:top w:type="dxa" w:w="60"/>
              <w:left w:type="dxa" w:w="100"/>
              <w:bottom w:type="dxa" w:w="60"/>
              <w:right w:type="dxa" w:w="100"/>
            </w:tcMar>
          </w:tcPr>
          <w:p>
            <w:r>
              <w:rPr>
                <w:b w:val="false"/>
                <w:bCs w:val="false"/>
                <w:sz w:val="20"/>
                <w:szCs w:val="20"/>
              </w:rPr>
              <w:t xml:space="preserve">value-trap flag is set, or FOS &lt; 40, or Expected Return ≤ 0</w:t>
            </w:r>
          </w:p>
        </w:tc>
      </w:tr>
    </w:tbl>
    <w:p>
      <w:pPr>
        <w:pBdr>
          <w:left w:val="single" w:color="AAAAAA" w:sz="12" w:space="8"/>
        </w:pBdr>
        <w:spacing w:after="160"/>
        <w:ind w:left="200"/>
      </w:pPr>
      <w:r>
        <w:rPr>
          <w:i/>
          <w:iCs/>
          <w:color w:val="666666"/>
          <w:sz w:val="20"/>
          <w:szCs w:val="20"/>
        </w:rPr>
        <w:t xml:space="preserve">As with every threshold in this document, these four rules are explicit starting points to be revisited once real outcomes can be backtested (section 16) — not numbers pulled from any tuned model.</w:t>
      </w:r>
    </w:p>
    <w:p>
      <w:pPr>
        <w:pStyle w:val="Heading1"/>
        <w:spacing w:after="140" w:before="320"/>
      </w:pPr>
      <w:r>
        <w:t xml:space="preserve">14. Explainable output</w:t>
      </w:r>
    </w:p>
    <w:p>
      <w:pPr>
        <w:spacing w:after="120"/>
      </w:pPr>
      <w:r>
        <w:t xml:space="preserve">Matches the source doc's section 19 worked example. Maps onto the dashboard's existing “Show more” collapsible section (already built this session):</w:t>
      </w:r>
    </w:p>
    <w:p>
      <w:pPr>
        <w:pStyle w:val="ListParagraph"/>
        <w:numPr>
          <w:ilvl w:val="0"/>
          <w:numId w:val="1"/>
        </w:numPr>
        <w:spacing w:after="60"/>
      </w:pPr>
      <w:r>
        <w:t xml:space="preserve">A BUY / ACCUMULATE / WAIT / AVOID badge next to the ticker, replacing/supplementing today's valuation and entry-timing badges</w:t>
      </w:r>
    </w:p>
    <w:p>
      <w:pPr>
        <w:pStyle w:val="ListParagraph"/>
        <w:numPr>
          <w:ilvl w:val="0"/>
          <w:numId w:val="1"/>
        </w:numPr>
        <w:spacing w:after="60"/>
      </w:pPr>
      <w:r>
        <w:t xml:space="preserve">Five mini progress bars — Quality, Growth, Valuation, Financial Strength, Entry Timing — instead of today's single composite bar</w:t>
      </w:r>
    </w:p>
    <w:p>
      <w:pPr>
        <w:pStyle w:val="ListParagraph"/>
        <w:numPr>
          <w:ilvl w:val="0"/>
          <w:numId w:val="1"/>
        </w:numPr>
        <w:spacing w:after="60"/>
      </w:pPr>
      <w:r>
        <w:t xml:space="preserve">Intrinsic value range (targetLow–targetHigh) and current price, with the estimated upside/downside % already computed above</w:t>
      </w:r>
    </w:p>
    <w:p>
      <w:pPr>
        <w:pStyle w:val="ListParagraph"/>
        <w:numPr>
          <w:ilvl w:val="0"/>
          <w:numId w:val="1"/>
        </w:numPr>
        <w:spacing w:after="60"/>
      </w:pPr>
      <w:r>
        <w:t xml:space="preserve">Auto-generated positive/negative factor bullet lists — one line per sub-score that cleared or missed its strong/weak threshold, reusing the existing driver-string mechanism in score.ts</w:t>
      </w:r>
    </w:p>
    <w:p>
      <w:pPr>
        <w:pStyle w:val="Heading1"/>
        <w:spacing w:after="140" w:before="320"/>
      </w:pPr>
      <w:r>
        <w:t xml:space="preserve">15. Explicitly out of scope for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shd w:fill="E7E6E1" w:val="clear"/>
            <w:tcMar>
              <w:top w:type="dxa" w:w="60"/>
              <w:left w:type="dxa" w:w="100"/>
              <w:bottom w:type="dxa" w:w="60"/>
              <w:right w:type="dxa" w:w="100"/>
            </w:tcMar>
          </w:tcPr>
          <w:p>
            <w:r>
              <w:rPr>
                <w:b/>
                <w:bCs/>
                <w:sz w:val="20"/>
                <w:szCs w:val="20"/>
              </w:rPr>
              <w:t xml:space="preserve">Source doc capability</w:t>
            </w:r>
          </w:p>
        </w:tc>
        <w:tc>
          <w:tcPr>
            <w:tcW w:type="dxa" w:w="3400"/>
            <w:shd w:fill="E7E6E1" w:val="clear"/>
            <w:tcMar>
              <w:top w:type="dxa" w:w="60"/>
              <w:left w:type="dxa" w:w="100"/>
              <w:bottom w:type="dxa" w:w="60"/>
              <w:right w:type="dxa" w:w="100"/>
            </w:tcMar>
          </w:tcPr>
          <w:p>
            <w:r>
              <w:rPr>
                <w:b/>
                <w:bCs/>
                <w:sz w:val="20"/>
                <w:szCs w:val="20"/>
              </w:rPr>
              <w:t xml:space="preserve">Why it's deferred</w:t>
            </w:r>
          </w:p>
        </w:tc>
        <w:tc>
          <w:tcPr>
            <w:tcW w:type="dxa" w:w="3550"/>
            <w:shd w:fill="E7E6E1" w:val="clear"/>
            <w:tcMar>
              <w:top w:type="dxa" w:w="60"/>
              <w:left w:type="dxa" w:w="100"/>
              <w:bottom w:type="dxa" w:w="60"/>
              <w:right w:type="dxa" w:w="100"/>
            </w:tcMar>
          </w:tcPr>
          <w:p>
            <w:r>
              <w:rPr>
                <w:b/>
                <w:bCs/>
                <w:sz w:val="20"/>
                <w:szCs w:val="20"/>
              </w:rPr>
              <w:t xml:space="preserve">Proxy used instead (if any)</w:t>
            </w:r>
          </w:p>
        </w:tc>
      </w:tr>
      <w:tr>
        <w:tc>
          <w:tcPr>
            <w:tcW w:type="dxa" w:w="2400"/>
            <w:tcMar>
              <w:top w:type="dxa" w:w="60"/>
              <w:left w:type="dxa" w:w="100"/>
              <w:bottom w:type="dxa" w:w="60"/>
              <w:right w:type="dxa" w:w="100"/>
            </w:tcMar>
          </w:tcPr>
          <w:p>
            <w:r>
              <w:rPr>
                <w:b w:val="false"/>
                <w:bCs w:val="false"/>
                <w:sz w:val="20"/>
                <w:szCs w:val="20"/>
              </w:rPr>
              <w:t xml:space="preserve">True DCF (Method B)</w:t>
            </w:r>
          </w:p>
        </w:tc>
        <w:tc>
          <w:tcPr>
            <w:tcW w:type="dxa" w:w="3400"/>
            <w:tcMar>
              <w:top w:type="dxa" w:w="60"/>
              <w:left w:type="dxa" w:w="100"/>
              <w:bottom w:type="dxa" w:w="60"/>
              <w:right w:type="dxa" w:w="100"/>
            </w:tcMar>
          </w:tcPr>
          <w:p>
            <w:r>
              <w:rPr>
                <w:b w:val="false"/>
                <w:bCs w:val="false"/>
                <w:sz w:val="20"/>
                <w:szCs w:val="20"/>
              </w:rPr>
              <w:t xml:space="preserve">No forecast/discount-rate data source</w:t>
            </w:r>
          </w:p>
        </w:tc>
        <w:tc>
          <w:tcPr>
            <w:tcW w:type="dxa" w:w="3550"/>
            <w:tcMar>
              <w:top w:type="dxa" w:w="60"/>
              <w:left w:type="dxa" w:w="100"/>
              <w:bottom w:type="dxa" w:w="60"/>
              <w:right w:type="dxa" w:w="100"/>
            </w:tcMar>
          </w:tcPr>
          <w:p>
            <w:r>
              <w:rPr>
                <w:b w:val="false"/>
                <w:bCs w:val="false"/>
                <w:sz w:val="20"/>
                <w:szCs w:val="20"/>
              </w:rPr>
              <w:t xml:space="preserve">Analyst fairValue/targetPrice stand in as “the market's DCF,” already used</w:t>
            </w:r>
          </w:p>
        </w:tc>
      </w:tr>
      <w:tr>
        <w:tc>
          <w:tcPr>
            <w:tcW w:type="dxa" w:w="2400"/>
            <w:tcMar>
              <w:top w:type="dxa" w:w="60"/>
              <w:left w:type="dxa" w:w="100"/>
              <w:bottom w:type="dxa" w:w="60"/>
              <w:right w:type="dxa" w:w="100"/>
            </w:tcMar>
          </w:tcPr>
          <w:p>
            <w:r>
              <w:rPr>
                <w:b w:val="false"/>
                <w:bCs w:val="false"/>
                <w:sz w:val="20"/>
                <w:szCs w:val="20"/>
              </w:rPr>
              <w:t xml:space="preserve">Sector/competitor comps (Method C)</w:t>
            </w:r>
          </w:p>
        </w:tc>
        <w:tc>
          <w:tcPr>
            <w:tcW w:type="dxa" w:w="3400"/>
            <w:tcMar>
              <w:top w:type="dxa" w:w="60"/>
              <w:left w:type="dxa" w:w="100"/>
              <w:bottom w:type="dxa" w:w="60"/>
              <w:right w:type="dxa" w:w="100"/>
            </w:tcMar>
          </w:tcPr>
          <w:p>
            <w:r>
              <w:rPr>
                <w:b w:val="false"/>
                <w:bCs w:val="false"/>
                <w:sz w:val="20"/>
                <w:szCs w:val="20"/>
              </w:rPr>
              <w:t xml:space="preserve">No peer-group data ingested</w:t>
            </w:r>
          </w:p>
        </w:tc>
        <w:tc>
          <w:tcPr>
            <w:tcW w:type="dxa" w:w="3550"/>
            <w:tcMar>
              <w:top w:type="dxa" w:w="60"/>
              <w:left w:type="dxa" w:w="100"/>
              <w:bottom w:type="dxa" w:w="60"/>
              <w:right w:type="dxa" w:w="100"/>
            </w:tcMar>
          </w:tcPr>
          <w:p>
            <w:r>
              <w:rPr>
                <w:b w:val="false"/>
                <w:bCs w:val="false"/>
                <w:sz w:val="20"/>
                <w:szCs w:val="20"/>
              </w:rPr>
              <w:t xml:space="preserve">“Own history” comps only (price-range percentile, forward/trailing P/E)</w:t>
            </w:r>
          </w:p>
        </w:tc>
      </w:tr>
      <w:tr>
        <w:tc>
          <w:tcPr>
            <w:tcW w:type="dxa" w:w="2400"/>
            <w:tcMar>
              <w:top w:type="dxa" w:w="60"/>
              <w:left w:type="dxa" w:w="100"/>
              <w:bottom w:type="dxa" w:w="60"/>
              <w:right w:type="dxa" w:w="100"/>
            </w:tcMar>
          </w:tcPr>
          <w:p>
            <w:r>
              <w:rPr>
                <w:b w:val="false"/>
                <w:bCs w:val="false"/>
                <w:sz w:val="20"/>
                <w:szCs w:val="20"/>
              </w:rPr>
              <w:t xml:space="preserve">GAAP→normalized earnings (§16)</w:t>
            </w:r>
          </w:p>
        </w:tc>
        <w:tc>
          <w:tcPr>
            <w:tcW w:type="dxa" w:w="3400"/>
            <w:tcMar>
              <w:top w:type="dxa" w:w="60"/>
              <w:left w:type="dxa" w:w="100"/>
              <w:bottom w:type="dxa" w:w="60"/>
              <w:right w:type="dxa" w:w="100"/>
            </w:tcMar>
          </w:tcPr>
          <w:p>
            <w:r>
              <w:rPr>
                <w:b w:val="false"/>
                <w:bCs w:val="false"/>
                <w:sz w:val="20"/>
                <w:szCs w:val="20"/>
              </w:rPr>
              <w:t xml:space="preserve">No income-statement line-item detail ingested</w:t>
            </w:r>
          </w:p>
        </w:tc>
        <w:tc>
          <w:tcPr>
            <w:tcW w:type="dxa" w:w="3550"/>
            <w:tcMar>
              <w:top w:type="dxa" w:w="60"/>
              <w:left w:type="dxa" w:w="100"/>
              <w:bottom w:type="dxa" w:w="60"/>
              <w:right w:type="dxa" w:w="100"/>
            </w:tcMar>
          </w:tcPr>
          <w:p>
            <w:r>
              <w:rPr>
                <w:b w:val="false"/>
                <w:bCs w:val="false"/>
                <w:sz w:val="20"/>
                <w:szCs w:val="20"/>
              </w:rPr>
              <w:t xml:space="preserve">None — known limitation, flagged in output only if margins look inconsistent with reported growth</w:t>
            </w:r>
          </w:p>
        </w:tc>
      </w:tr>
      <w:tr>
        <w:tc>
          <w:tcPr>
            <w:tcW w:type="dxa" w:w="2400"/>
            <w:tcMar>
              <w:top w:type="dxa" w:w="60"/>
              <w:left w:type="dxa" w:w="100"/>
              <w:bottom w:type="dxa" w:w="60"/>
              <w:right w:type="dxa" w:w="100"/>
            </w:tcMar>
          </w:tcPr>
          <w:p>
            <w:r>
              <w:rPr>
                <w:b w:val="false"/>
                <w:bCs w:val="false"/>
                <w:sz w:val="20"/>
                <w:szCs w:val="20"/>
              </w:rPr>
              <w:t xml:space="preserve">CapEx-specific analysis (§17)</w:t>
            </w:r>
          </w:p>
        </w:tc>
        <w:tc>
          <w:tcPr>
            <w:tcW w:type="dxa" w:w="3400"/>
            <w:tcMar>
              <w:top w:type="dxa" w:w="60"/>
              <w:left w:type="dxa" w:w="100"/>
              <w:bottom w:type="dxa" w:w="60"/>
              <w:right w:type="dxa" w:w="100"/>
            </w:tcMar>
          </w:tcPr>
          <w:p>
            <w:r>
              <w:rPr>
                <w:b w:val="false"/>
                <w:bCs w:val="false"/>
                <w:sz w:val="20"/>
                <w:szCs w:val="20"/>
              </w:rPr>
              <w:t xml:space="preserve">Cash-flow-statement module not ingested</w:t>
            </w:r>
          </w:p>
        </w:tc>
        <w:tc>
          <w:tcPr>
            <w:tcW w:type="dxa" w:w="3550"/>
            <w:tcMar>
              <w:top w:type="dxa" w:w="60"/>
              <w:left w:type="dxa" w:w="100"/>
              <w:bottom w:type="dxa" w:w="60"/>
              <w:right w:type="dxa" w:w="100"/>
            </w:tcMar>
          </w:tcPr>
          <w:p>
            <w:r>
              <w:rPr>
                <w:b w:val="false"/>
                <w:bCs w:val="false"/>
                <w:sz w:val="20"/>
                <w:szCs w:val="20"/>
              </w:rPr>
              <w:t xml:space="preserve">FCF yield and FCF sign only</w:t>
            </w:r>
          </w:p>
        </w:tc>
      </w:tr>
      <w:tr>
        <w:tc>
          <w:tcPr>
            <w:tcW w:type="dxa" w:w="2400"/>
            <w:tcMar>
              <w:top w:type="dxa" w:w="60"/>
              <w:left w:type="dxa" w:w="100"/>
              <w:bottom w:type="dxa" w:w="60"/>
              <w:right w:type="dxa" w:w="100"/>
            </w:tcMar>
          </w:tcPr>
          <w:p>
            <w:r>
              <w:rPr>
                <w:b w:val="false"/>
                <w:bCs w:val="false"/>
                <w:sz w:val="20"/>
                <w:szCs w:val="20"/>
              </w:rPr>
              <w:t xml:space="preserve">Historical backtesting (§22, doc's V2)</w:t>
            </w:r>
          </w:p>
        </w:tc>
        <w:tc>
          <w:tcPr>
            <w:tcW w:type="dxa" w:w="3400"/>
            <w:tcMar>
              <w:top w:type="dxa" w:w="60"/>
              <w:left w:type="dxa" w:w="100"/>
              <w:bottom w:type="dxa" w:w="60"/>
              <w:right w:type="dxa" w:w="100"/>
            </w:tcMar>
          </w:tcPr>
          <w:p>
            <w:r>
              <w:rPr>
                <w:b w:val="false"/>
                <w:bCs w:val="false"/>
                <w:sz w:val="20"/>
                <w:szCs w:val="20"/>
              </w:rPr>
              <w:t xml:space="preserve">Needs months of retained daily snapshots</w:t>
            </w:r>
          </w:p>
        </w:tc>
        <w:tc>
          <w:tcPr>
            <w:tcW w:type="dxa" w:w="3550"/>
            <w:tcMar>
              <w:top w:type="dxa" w:w="60"/>
              <w:left w:type="dxa" w:w="100"/>
              <w:bottom w:type="dxa" w:w="60"/>
              <w:right w:type="dxa" w:w="100"/>
            </w:tcMar>
          </w:tcPr>
          <w:p>
            <w:r>
              <w:rPr>
                <w:b w:val="false"/>
                <w:bCs w:val="false"/>
                <w:sz w:val="20"/>
                <w:szCs w:val="20"/>
              </w:rPr>
              <w:t xml:space="preserve">Start retaining data now (§16); evaluate later</w:t>
            </w:r>
          </w:p>
        </w:tc>
      </w:tr>
      <w:tr>
        <w:tc>
          <w:tcPr>
            <w:tcW w:type="dxa" w:w="2400"/>
            <w:tcMar>
              <w:top w:type="dxa" w:w="60"/>
              <w:left w:type="dxa" w:w="100"/>
              <w:bottom w:type="dxa" w:w="60"/>
              <w:right w:type="dxa" w:w="100"/>
            </w:tcMar>
          </w:tcPr>
          <w:p>
            <w:r>
              <w:rPr>
                <w:b w:val="false"/>
                <w:bCs w:val="false"/>
                <w:sz w:val="20"/>
                <w:szCs w:val="20"/>
              </w:rPr>
              <w:t xml:space="preserve">Machine learning (§23, doc's V3)</w:t>
            </w:r>
          </w:p>
        </w:tc>
        <w:tc>
          <w:tcPr>
            <w:tcW w:type="dxa" w:w="3400"/>
            <w:tcMar>
              <w:top w:type="dxa" w:w="60"/>
              <w:left w:type="dxa" w:w="100"/>
              <w:bottom w:type="dxa" w:w="60"/>
              <w:right w:type="dxa" w:w="100"/>
            </w:tcMar>
          </w:tcPr>
          <w:p>
            <w:r>
              <w:rPr>
                <w:b w:val="false"/>
                <w:bCs w:val="false"/>
                <w:sz w:val="20"/>
                <w:szCs w:val="20"/>
              </w:rPr>
              <w:t xml:space="preserve">Needs the V2 dataset first</w:t>
            </w:r>
          </w:p>
        </w:tc>
        <w:tc>
          <w:tcPr>
            <w:tcW w:type="dxa" w:w="3550"/>
            <w:tcMar>
              <w:top w:type="dxa" w:w="60"/>
              <w:left w:type="dxa" w:w="100"/>
              <w:bottom w:type="dxa" w:w="60"/>
              <w:right w:type="dxa" w:w="100"/>
            </w:tcMar>
          </w:tcPr>
          <w:p>
            <w:r>
              <w:rPr>
                <w:b w:val="false"/>
                <w:bCs w:val="false"/>
                <w:sz w:val="20"/>
                <w:szCs w:val="20"/>
              </w:rPr>
              <w:t xml:space="preserve">Out of scope at this project's current scale</w:t>
            </w:r>
          </w:p>
        </w:tc>
      </w:tr>
    </w:tbl>
    <w:p>
      <w:pPr>
        <w:pStyle w:val="Heading1"/>
        <w:spacing w:after="140" w:before="320"/>
      </w:pPr>
      <w:r>
        <w:t xml:space="preserve">16. Roadmap for stock-agent</w:t>
      </w:r>
    </w:p>
    <w:p>
      <w:pPr>
        <w:pStyle w:val="Heading2"/>
        <w:spacing w:after="100" w:before="220"/>
      </w:pPr>
      <w:r>
        <w:t xml:space="preserve">V1 (this document)</w:t>
      </w:r>
    </w:p>
    <w:p>
      <w:pPr>
        <w:spacing w:after="120"/>
      </w:pPr>
      <w:r>
        <w:t xml:space="preserve">Sections 3–14, all implementable today with zero new Yahoo endpoints — it's entirely a matter of activating fields already flowing through the daily ingestion and adding the new scoring functions.</w:t>
      </w:r>
    </w:p>
    <w:p>
      <w:pPr>
        <w:pStyle w:val="Heading2"/>
        <w:spacing w:after="100" w:before="220"/>
      </w:pPr>
      <w:r>
        <w:t xml:space="preserve">V1.5</w:t>
      </w:r>
    </w:p>
    <w:p>
      <w:pPr>
        <w:pStyle w:val="ListParagraph"/>
        <w:numPr>
          <w:ilvl w:val="0"/>
          <w:numId w:val="1"/>
        </w:numPr>
        <w:spacing w:after="60"/>
      </w:pPr>
      <w:r>
        <w:t xml:space="preserve">Extend fundamentals_snapshot retention past the current 30-day prune so multi-period trend detection (rising debt, declining ROE) becomes possible for a sharper value-trap check</w:t>
      </w:r>
    </w:p>
    <w:p>
      <w:pPr>
        <w:pStyle w:val="ListParagraph"/>
        <w:numPr>
          <w:ilvl w:val="0"/>
          <w:numId w:val="1"/>
        </w:numPr>
        <w:spacing w:after="60"/>
      </w:pPr>
      <w:r>
        <w:t xml:space="preserve">Optionally ingest a broad-market reference ticker (e.g. SPY) purely as a market-regime gate for the Entry Score's “market conditions” component, without scoring it as an investable ticker itself</w:t>
      </w:r>
    </w:p>
    <w:p>
      <w:pPr>
        <w:pStyle w:val="Heading2"/>
        <w:spacing w:after="100" w:before="220"/>
      </w:pPr>
      <w:r>
        <w:t xml:space="preserve">V2 — historical backtesting (doc §22)</w:t>
      </w:r>
    </w:p>
    <w:p>
      <w:pPr>
        <w:spacing w:after="120"/>
      </w:pPr>
      <w:r>
        <w:t xml:space="preserve">Once 6–12+ months of daily snapshots have accumulated under V1.5's longer retention, build the forward-return/drawdown/hit-rate study the source doc describes, and recalibrate every threshold and weight in this document against actual outcomes rather than the documented starting assumptions used here.</w:t>
      </w:r>
    </w:p>
    <w:p>
      <w:pPr>
        <w:pStyle w:val="Heading2"/>
        <w:spacing w:after="100" w:before="220"/>
      </w:pPr>
      <w:r>
        <w:t xml:space="preserve">V3 — machine learning (doc §23)</w:t>
      </w:r>
    </w:p>
    <w:p>
      <w:pPr>
        <w:spacing w:after="120"/>
      </w:pPr>
      <w:r>
        <w:t xml:space="preserve">Only after V2 produces a labeled dataset large enough to train against — not realistic for a 20-ticker personal free-tier project any time soon, and the source doc agrees (§24: the LLM's job is explanation, not the numeric engine).</w:t>
      </w:r>
    </w:p>
    <w:p>
      <w:pPr>
        <w:pStyle w:val="Heading1"/>
        <w:spacing w:after="140" w:before="320"/>
      </w:pPr>
      <w:r>
        <w:t xml:space="preserve">17. Concrete engineering changes this would require</w:t>
      </w:r>
    </w:p>
    <w:p>
      <w:pPr>
        <w:pStyle w:val="ListParagraph"/>
        <w:numPr>
          <w:ilvl w:val="0"/>
          <w:numId w:val="1"/>
        </w:numPr>
        <w:spacing w:after="60"/>
      </w:pPr>
      <w:r>
        <w:t xml:space="preserve">score.ts: new growthVerdict(), financialStrengthVerdict(), catalystProxy(), expectedReturn()/riskReward(), valueTrapCheck(), and decision() functions; extend UniverseRow with returnOnInvestedCapital, freeCashFlow, marketCap, pegRatio, forwardPe, targetLow, targetHigh (macd/macdSignal/volumeTrend20d/volatility30d are already on the type, just unused)</w:t>
      </w:r>
    </w:p>
    <w:p>
      <w:pPr>
        <w:pStyle w:val="ListParagraph"/>
        <w:numPr>
          <w:ilvl w:val="0"/>
          <w:numId w:val="1"/>
        </w:numPr>
        <w:spacing w:after="60"/>
      </w:pPr>
      <w:r>
        <w:t xml:space="preserve">New D1 migration: rankings table gains growth_score, financial_strength_score, expected_return_pct, downside_pct, risk_reward, decision, value_trap_flag columns</w:t>
      </w:r>
    </w:p>
    <w:p>
      <w:pPr>
        <w:pStyle w:val="ListParagraph"/>
        <w:numPr>
          <w:ilvl w:val="0"/>
          <w:numId w:val="1"/>
        </w:numPr>
        <w:spacing w:after="60"/>
      </w:pPr>
      <w:r>
        <w:t xml:space="preserve">scoring/run.ts: pass the newly-activated fields through from getUniverseSnapshot into UniverseRow</w:t>
      </w:r>
    </w:p>
    <w:p>
      <w:pPr>
        <w:pStyle w:val="ListParagraph"/>
        <w:numPr>
          <w:ilvl w:val="0"/>
          <w:numId w:val="1"/>
        </w:numPr>
        <w:spacing w:after="60"/>
      </w:pPr>
      <w:r>
        <w:t xml:space="preserve">dashboard.ts: five-row mini-bar breakdown, decision badge, expected-return/risk-reward stat line, value-trap warning badge — all fit inside the collapsible “Show more” section already built</w:t>
      </w:r>
    </w:p>
    <w:p>
      <w:pPr>
        <w:pStyle w:val="Heading1"/>
        <w:spacing w:after="140" w:before="320"/>
      </w:pPr>
      <w:r>
        <w:t xml:space="preserve">18. Next step</w:t>
      </w:r>
    </w:p>
    <w:p>
      <w:pPr>
        <w:spacing w:after="120"/>
      </w:pPr>
      <w:r>
        <w:t xml:space="preserve">Say the word and I'll start implementing section by section — Growth, Financial Strength, and Expected Return first, since those three only activate data already sitting in D1 with zero new ingestion work, then the decision engine and dashboard once the new scores are wired through and tested.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2026-08-28T13:17:50.410Z</dcterms:created>
  <dcterms:modified xsi:type="dcterms:W3CDTF">2026-08-28T13:17:50.429Z</dcterms:modified>
</cp:coreProperties>
</file>

<file path=docProps/custom.xml><?xml version="1.0" encoding="utf-8"?>
<Properties xmlns="http://schemas.openxmlformats.org/officeDocument/2006/custom-properties" xmlns:vt="http://schemas.openxmlformats.org/officeDocument/2006/docPropsVTypes"/>
</file>