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Stock Decision Algorithm</w:t>
      </w:r>
    </w:p>
    <w:p>
      <w:pPr>
        <w:jc w:val="center"/>
      </w:pPr>
      <w:r>
        <w:t>A self-contained framework combining fundamental investment selection, intrinsic valuation, growth analysis, technical entry timing, risk/reward, catalysts, market regime, sell logic, backtesting, and explainable decision-making.</w:t>
      </w:r>
    </w:p>
    <w:p>
      <w:pPr>
        <w:pStyle w:val="Heading1"/>
      </w:pPr>
      <w:r>
        <w:t>Executive Summary</w:t>
      </w:r>
    </w:p>
    <w:p>
      <w:r>
        <w:t>The two source documents are highly complementary rather than contradictory. They overlap heavily on the core investment problem: evaluate business quality, estimate future value, determine whether the current price is attractive, evaluate entry timing, and produce an explainable decision. The first document is broader on technical analysis, market context, volatility, support/resistance, breakouts, and explicit sell/reduce logic. The second is deeper on investment architecture, growth forecasting, expected return, normalized earnings, value-trap detection, capital expenditure analysis, historical backtesting, machine learning, and the role of an LLM.</w:t>
      </w:r>
    </w:p>
    <w:p>
      <w:r>
        <w:t>Conceptually, the documents have roughly 70% overlap. The remaining material is mostly complementary rather than conflicting. The combined design below therefore keeps the second document's fundamental-first investment philosophy and adds the first document's broader technical and decision-control layer.</w:t>
      </w:r>
    </w:p>
    <w:p>
      <w:pPr>
        <w:pStyle w:val="Heading1"/>
      </w:pPr>
      <w:r>
        <w:t>1. What the Combined System Is Trying to Solve</w:t>
      </w:r>
    </w:p>
    <w:p>
      <w:pPr>
        <w:pStyle w:val="ListBullet"/>
      </w:pPr>
      <w:r>
        <w:t>Is this a high-quality business?</w:t>
      </w:r>
    </w:p>
    <w:p>
      <w:pPr>
        <w:pStyle w:val="ListBullet"/>
      </w:pPr>
      <w:r>
        <w:t>Are its fundamentals improving, stable, or deteriorating?</w:t>
      </w:r>
    </w:p>
    <w:p>
      <w:pPr>
        <w:pStyle w:val="ListBullet"/>
      </w:pPr>
      <w:r>
        <w:t>What is the defensible intrinsic/fair value of the business?</w:t>
      </w:r>
    </w:p>
    <w:p>
      <w:pPr>
        <w:pStyle w:val="ListBullet"/>
      </w:pPr>
      <w:r>
        <w:t>What does the market currently price in?</w:t>
      </w:r>
    </w:p>
    <w:p>
      <w:pPr>
        <w:pStyle w:val="ListBullet"/>
      </w:pPr>
      <w:r>
        <w:t>How much upside exists under bear, base, and bull scenarios?</w:t>
      </w:r>
    </w:p>
    <w:p>
      <w:pPr>
        <w:pStyle w:val="ListBullet"/>
      </w:pPr>
      <w:r>
        <w:t>How much downside exists if the thesis is wrong?</w:t>
      </w:r>
    </w:p>
    <w:p>
      <w:pPr>
        <w:pStyle w:val="ListBullet"/>
      </w:pPr>
      <w:r>
        <w:t>Is the current price attractive enough to buy?</w:t>
      </w:r>
    </w:p>
    <w:p>
      <w:pPr>
        <w:pStyle w:val="ListBullet"/>
      </w:pPr>
      <w:r>
        <w:t>Is NOW a good entry point, or should the investor wait for a better setup?</w:t>
      </w:r>
    </w:p>
    <w:p>
      <w:pPr>
        <w:pStyle w:val="ListBullet"/>
      </w:pPr>
      <w:r>
        <w:t>What catalysts could improve or damage the thesis?</w:t>
      </w:r>
    </w:p>
    <w:p>
      <w:pPr>
        <w:pStyle w:val="ListBullet"/>
      </w:pPr>
      <w:r>
        <w:t>What is the market/sector regime?</w:t>
      </w:r>
    </w:p>
    <w:p>
      <w:pPr>
        <w:pStyle w:val="ListBullet"/>
      </w:pPr>
      <w:r>
        <w:t>Should an existing holder buy more, hold, reduce, or sell?</w:t>
      </w:r>
    </w:p>
    <w:p>
      <w:pPr>
        <w:pStyle w:val="ListBullet"/>
      </w:pPr>
      <w:r>
        <w:t>What evidence would cause the recommendation to change?</w:t>
      </w:r>
    </w:p>
    <w:p>
      <w:r>
        <w:t>The system is not primarily a next-day price predictor. Its long-term objective is to find situations where market price is materially below a defensible estimate of future value, the business has sufficient quality and growth potential, and the probability-adjusted return justifies the risk.</w:t>
      </w:r>
    </w:p>
    <w:p>
      <w:pPr>
        <w:pStyle w:val="Heading1"/>
      </w:pPr>
      <w:r>
        <w:t>2. Core Investment Philosophy</w:t>
      </w:r>
    </w:p>
    <w:p>
      <w:r>
        <w:t>The fundamental-first document establishes the central distinction: a stock can be undervalued but still be worth waiting for. Conversely, a technically strong stock can be a poor investment if its valuation and future economics do not justify the price.</w:t>
      </w:r>
    </w:p>
    <w:p>
      <w:pPr>
        <w:pStyle w:val="ListBullet"/>
      </w:pPr>
      <w:r>
        <w:t>Excellent company + undervalued + good entry → BUY</w:t>
      </w:r>
    </w:p>
    <w:p>
      <w:pPr>
        <w:pStyle w:val="ListBullet"/>
      </w:pPr>
      <w:r>
        <w:t>Excellent company + undervalued + weak entry → ACCUMULATE / WAIT</w:t>
      </w:r>
    </w:p>
    <w:p>
      <w:pPr>
        <w:pStyle w:val="ListBullet"/>
      </w:pPr>
      <w:r>
        <w:t>Excellent company + fairly valued → WAIT / HOLD</w:t>
      </w:r>
    </w:p>
    <w:p>
      <w:pPr>
        <w:pStyle w:val="ListBullet"/>
      </w:pPr>
      <w:r>
        <w:t>Excellent company + expensive → WAIT / REDUCE depending on position</w:t>
      </w:r>
    </w:p>
    <w:p>
      <w:pPr>
        <w:pStyle w:val="ListBullet"/>
      </w:pPr>
      <w:r>
        <w:t>Weak company + cheap → VALUE TRAP / AVOID</w:t>
      </w:r>
    </w:p>
    <w:p>
      <w:pPr>
        <w:pStyle w:val="ListBullet"/>
      </w:pPr>
      <w:r>
        <w:t>Strong company + cheap valuation + deteriorating fundamentals → WAIT / REASSESS</w:t>
      </w:r>
    </w:p>
    <w:p>
      <w:pPr>
        <w:pStyle w:val="Heading1"/>
      </w:pPr>
      <w:r>
        <w:t>3. High-Level Architecture</w:t>
      </w:r>
    </w:p>
    <w:p>
      <w:pPr>
        <w:pStyle w:val="ListNumber"/>
      </w:pPr>
      <w:r>
        <w:t>Data Sources → financial data, market data, news, filings, estimates, research</w:t>
      </w:r>
    </w:p>
    <w:p>
      <w:pPr>
        <w:pStyle w:val="ListNumber"/>
      </w:pPr>
      <w:r>
        <w:t>Data Normalization → units, currencies, fiscal periods, splits, restatements, missing data</w:t>
      </w:r>
    </w:p>
    <w:p>
      <w:pPr>
        <w:pStyle w:val="ListNumber"/>
      </w:pPr>
      <w:r>
        <w:t>Feature Engineering → fundamental, valuation, technical, catalyst, market features</w:t>
      </w:r>
    </w:p>
    <w:p>
      <w:pPr>
        <w:pStyle w:val="ListNumber"/>
      </w:pPr>
      <w:r>
        <w:t>Business Quality Engine</w:t>
      </w:r>
    </w:p>
    <w:p>
      <w:pPr>
        <w:pStyle w:val="ListNumber"/>
      </w:pPr>
      <w:r>
        <w:t>Growth &amp; Future-Earnings Engine</w:t>
      </w:r>
    </w:p>
    <w:p>
      <w:pPr>
        <w:pStyle w:val="ListNumber"/>
      </w:pPr>
      <w:r>
        <w:t>Valuation / Fair-Value Engine</w:t>
      </w:r>
    </w:p>
    <w:p>
      <w:pPr>
        <w:pStyle w:val="ListNumber"/>
      </w:pPr>
      <w:r>
        <w:t>Technical / Entry-Timing Engine</w:t>
      </w:r>
    </w:p>
    <w:p>
      <w:pPr>
        <w:pStyle w:val="ListNumber"/>
      </w:pPr>
      <w:r>
        <w:t>Risk &amp; Drawdown Engine</w:t>
      </w:r>
    </w:p>
    <w:p>
      <w:pPr>
        <w:pStyle w:val="ListNumber"/>
      </w:pPr>
      <w:r>
        <w:t>Catalyst / Event Engine</w:t>
      </w:r>
    </w:p>
    <w:p>
      <w:pPr>
        <w:pStyle w:val="ListNumber"/>
      </w:pPr>
      <w:r>
        <w:t>Market &amp; Sector Regime Engine</w:t>
      </w:r>
    </w:p>
    <w:p>
      <w:pPr>
        <w:pStyle w:val="ListNumber"/>
      </w:pPr>
      <w:r>
        <w:t>Expected Return Engine</w:t>
      </w:r>
    </w:p>
    <w:p>
      <w:pPr>
        <w:pStyle w:val="ListNumber"/>
      </w:pPr>
      <w:r>
        <w:t>Decision Engine</w:t>
      </w:r>
    </w:p>
    <w:p>
      <w:pPr>
        <w:pStyle w:val="ListNumber"/>
      </w:pPr>
      <w:r>
        <w:t>Explanation Layer / AI Assistant</w:t>
      </w:r>
    </w:p>
    <w:p>
      <w:pPr>
        <w:pStyle w:val="ListNumber"/>
      </w:pPr>
      <w:r>
        <w:t>Historical Backtesting → calibration → optional statistical/ML layer</w:t>
      </w:r>
    </w:p>
    <w:p>
      <w:pPr>
        <w:pStyle w:val="Heading1"/>
      </w:pPr>
      <w:r>
        <w:t>4. Data Requirements</w:t>
      </w:r>
    </w:p>
    <w:p>
      <w:pPr>
        <w:pStyle w:val="Heading2"/>
      </w:pPr>
      <w:r>
        <w:t>Financial Statements</w:t>
      </w:r>
    </w:p>
    <w:p>
      <w:pPr>
        <w:pStyle w:val="ListBullet"/>
      </w:pPr>
      <w:r>
        <w:t>Revenue, operating income, net income, EPS</w:t>
      </w:r>
    </w:p>
    <w:p>
      <w:pPr>
        <w:pStyle w:val="ListBullet"/>
      </w:pPr>
      <w:r>
        <w:t>Gross, operating, and net margins</w:t>
      </w:r>
    </w:p>
    <w:p>
      <w:pPr>
        <w:pStyle w:val="ListBullet"/>
      </w:pPr>
      <w:r>
        <w:t>Operating cash flow, capital expenditure, free cash flow</w:t>
      </w:r>
    </w:p>
    <w:p>
      <w:pPr>
        <w:pStyle w:val="ListBullet"/>
      </w:pPr>
      <w:r>
        <w:t>Cash, debt, net debt, working capital</w:t>
      </w:r>
    </w:p>
    <w:p>
      <w:pPr>
        <w:pStyle w:val="ListBullet"/>
      </w:pPr>
      <w:r>
        <w:t>Shares outstanding, dilution, buybacks</w:t>
      </w:r>
    </w:p>
    <w:p>
      <w:pPr>
        <w:pStyle w:val="ListBullet"/>
      </w:pPr>
      <w:r>
        <w:t>ROIC, ROE, ROA</w:t>
      </w:r>
    </w:p>
    <w:p>
      <w:pPr>
        <w:pStyle w:val="Heading2"/>
      </w:pPr>
      <w:r>
        <w:t>Market Data</w:t>
      </w:r>
    </w:p>
    <w:p>
      <w:pPr>
        <w:pStyle w:val="ListBullet"/>
      </w:pPr>
      <w:r>
        <w:t>OHLCV price history</w:t>
      </w:r>
    </w:p>
    <w:p>
      <w:pPr>
        <w:pStyle w:val="ListBullet"/>
      </w:pPr>
      <w:r>
        <w:t>Adjusted prices</w:t>
      </w:r>
    </w:p>
    <w:p>
      <w:pPr>
        <w:pStyle w:val="ListBullet"/>
      </w:pPr>
      <w:r>
        <w:t>Volume</w:t>
      </w:r>
    </w:p>
    <w:p>
      <w:pPr>
        <w:pStyle w:val="ListBullet"/>
      </w:pPr>
      <w:r>
        <w:t>Market capitalization and enterprise value</w:t>
      </w:r>
    </w:p>
    <w:p>
      <w:pPr>
        <w:pStyle w:val="ListBullet"/>
      </w:pPr>
      <w:r>
        <w:t>Benchmark and sector/index prices</w:t>
      </w:r>
    </w:p>
    <w:p>
      <w:pPr>
        <w:pStyle w:val="ListBullet"/>
      </w:pPr>
      <w:r>
        <w:t>Historical volatility and ATR</w:t>
      </w:r>
    </w:p>
    <w:p>
      <w:pPr>
        <w:pStyle w:val="Heading2"/>
      </w:pPr>
      <w:r>
        <w:t>Forward Information</w:t>
      </w:r>
    </w:p>
    <w:p>
      <w:pPr>
        <w:pStyle w:val="ListBullet"/>
      </w:pPr>
      <w:r>
        <w:t>Revenue and EPS estimates</w:t>
      </w:r>
    </w:p>
    <w:p>
      <w:pPr>
        <w:pStyle w:val="ListBullet"/>
      </w:pPr>
      <w:r>
        <w:t>Estimate revisions</w:t>
      </w:r>
    </w:p>
    <w:p>
      <w:pPr>
        <w:pStyle w:val="ListBullet"/>
      </w:pPr>
      <w:r>
        <w:t>Management guidance</w:t>
      </w:r>
    </w:p>
    <w:p>
      <w:pPr>
        <w:pStyle w:val="ListBullet"/>
      </w:pPr>
      <w:r>
        <w:t>Analyst targets and fair-value estimates</w:t>
      </w:r>
    </w:p>
    <w:p>
      <w:pPr>
        <w:pStyle w:val="ListBullet"/>
      </w:pPr>
      <w:r>
        <w:t>Earnings dates and historical surprises</w:t>
      </w:r>
    </w:p>
    <w:p>
      <w:pPr>
        <w:pStyle w:val="Heading2"/>
      </w:pPr>
      <w:r>
        <w:t>Qualitative/Event Data</w:t>
      </w:r>
    </w:p>
    <w:p>
      <w:pPr>
        <w:pStyle w:val="ListBullet"/>
      </w:pPr>
      <w:r>
        <w:t>Earnings reports and conference calls</w:t>
      </w:r>
    </w:p>
    <w:p>
      <w:pPr>
        <w:pStyle w:val="ListBullet"/>
      </w:pPr>
      <w:r>
        <w:t>Management commentary</w:t>
      </w:r>
    </w:p>
    <w:p>
      <w:pPr>
        <w:pStyle w:val="ListBullet"/>
      </w:pPr>
      <w:r>
        <w:t>Product launches</w:t>
      </w:r>
    </w:p>
    <w:p>
      <w:pPr>
        <w:pStyle w:val="ListBullet"/>
      </w:pPr>
      <w:r>
        <w:t>Regulatory events</w:t>
      </w:r>
    </w:p>
    <w:p>
      <w:pPr>
        <w:pStyle w:val="ListBullet"/>
      </w:pPr>
      <w:r>
        <w:t>M&amp;A</w:t>
      </w:r>
    </w:p>
    <w:p>
      <w:pPr>
        <w:pStyle w:val="ListBullet"/>
      </w:pPr>
      <w:r>
        <w:t>Buybacks and dividends</w:t>
      </w:r>
    </w:p>
    <w:p>
      <w:pPr>
        <w:pStyle w:val="ListBullet"/>
      </w:pPr>
      <w:r>
        <w:t>Material legal or operational events</w:t>
      </w:r>
    </w:p>
    <w:p>
      <w:pPr>
        <w:pStyle w:val="Heading1"/>
      </w:pPr>
      <w:r>
        <w:t>5. Business Quality Engine</w:t>
      </w:r>
    </w:p>
    <w:p>
      <w:r>
        <w:t>Purpose: answer “Is this a good business?”</w:t>
      </w:r>
    </w:p>
    <w:tbl>
      <w:tblPr>
        <w:tblStyle w:val="TableGrid"/>
        <w:tblW w:type="auto" w:w="0"/>
        <w:jc w:val="center"/>
        <w:tblLook w:firstColumn="1" w:firstRow="1" w:lastColumn="0" w:lastRow="0" w:noHBand="0" w:noVBand="1" w:val="04A0"/>
      </w:tblPr>
      <w:tblGrid>
        <w:gridCol w:w="5040"/>
        <w:gridCol w:w="5040"/>
      </w:tblGrid>
      <w:tr>
        <w:tc>
          <w:tcPr>
            <w:tcW w:type="dxa" w:w="5040"/>
          </w:tcPr>
          <w:p>
            <w:r>
              <w:t>Factor</w:t>
            </w:r>
          </w:p>
        </w:tc>
        <w:tc>
          <w:tcPr>
            <w:tcW w:type="dxa" w:w="5040"/>
          </w:tcPr>
          <w:p>
            <w:r>
              <w:t>Initial Weight</w:t>
            </w:r>
          </w:p>
        </w:tc>
      </w:tr>
      <w:tr>
        <w:tc>
          <w:tcPr>
            <w:tcW w:type="dxa" w:w="5040"/>
          </w:tcPr>
          <w:p>
            <w:r>
              <w:t>Revenue growth</w:t>
            </w:r>
          </w:p>
        </w:tc>
        <w:tc>
          <w:tcPr>
            <w:tcW w:type="dxa" w:w="5040"/>
          </w:tcPr>
          <w:p>
            <w:r>
              <w:t>15%</w:t>
            </w:r>
          </w:p>
        </w:tc>
      </w:tr>
      <w:tr>
        <w:tc>
          <w:tcPr>
            <w:tcW w:type="dxa" w:w="5040"/>
          </w:tcPr>
          <w:p>
            <w:r>
              <w:t>EPS growth</w:t>
            </w:r>
          </w:p>
        </w:tc>
        <w:tc>
          <w:tcPr>
            <w:tcW w:type="dxa" w:w="5040"/>
          </w:tcPr>
          <w:p>
            <w:r>
              <w:t>15%</w:t>
            </w:r>
          </w:p>
        </w:tc>
      </w:tr>
      <w:tr>
        <w:tc>
          <w:tcPr>
            <w:tcW w:type="dxa" w:w="5040"/>
          </w:tcPr>
          <w:p>
            <w:r>
              <w:t>Operating margin</w:t>
            </w:r>
          </w:p>
        </w:tc>
        <w:tc>
          <w:tcPr>
            <w:tcW w:type="dxa" w:w="5040"/>
          </w:tcPr>
          <w:p>
            <w:r>
              <w:t>10%</w:t>
            </w:r>
          </w:p>
        </w:tc>
      </w:tr>
      <w:tr>
        <w:tc>
          <w:tcPr>
            <w:tcW w:type="dxa" w:w="5040"/>
          </w:tcPr>
          <w:p>
            <w:r>
              <w:t>ROIC</w:t>
            </w:r>
          </w:p>
        </w:tc>
        <w:tc>
          <w:tcPr>
            <w:tcW w:type="dxa" w:w="5040"/>
          </w:tcPr>
          <w:p>
            <w:r>
              <w:t>15%</w:t>
            </w:r>
          </w:p>
        </w:tc>
      </w:tr>
      <w:tr>
        <w:tc>
          <w:tcPr>
            <w:tcW w:type="dxa" w:w="5040"/>
          </w:tcPr>
          <w:p>
            <w:r>
              <w:t>ROE</w:t>
            </w:r>
          </w:p>
        </w:tc>
        <w:tc>
          <w:tcPr>
            <w:tcW w:type="dxa" w:w="5040"/>
          </w:tcPr>
          <w:p>
            <w:r>
              <w:t>10%</w:t>
            </w:r>
          </w:p>
        </w:tc>
      </w:tr>
      <w:tr>
        <w:tc>
          <w:tcPr>
            <w:tcW w:type="dxa" w:w="5040"/>
          </w:tcPr>
          <w:p>
            <w:r>
              <w:t>Operating cash flow</w:t>
            </w:r>
          </w:p>
        </w:tc>
        <w:tc>
          <w:tcPr>
            <w:tcW w:type="dxa" w:w="5040"/>
          </w:tcPr>
          <w:p>
            <w:r>
              <w:t>10%</w:t>
            </w:r>
          </w:p>
        </w:tc>
      </w:tr>
      <w:tr>
        <w:tc>
          <w:tcPr>
            <w:tcW w:type="dxa" w:w="5040"/>
          </w:tcPr>
          <w:p>
            <w:r>
              <w:t>Free cash flow</w:t>
            </w:r>
          </w:p>
        </w:tc>
        <w:tc>
          <w:tcPr>
            <w:tcW w:type="dxa" w:w="5040"/>
          </w:tcPr>
          <w:p>
            <w:r>
              <w:t>15%</w:t>
            </w:r>
          </w:p>
        </w:tc>
      </w:tr>
      <w:tr>
        <w:tc>
          <w:tcPr>
            <w:tcW w:type="dxa" w:w="5040"/>
          </w:tcPr>
          <w:p>
            <w:r>
              <w:t>Balance-sheet strength</w:t>
            </w:r>
          </w:p>
        </w:tc>
        <w:tc>
          <w:tcPr>
            <w:tcW w:type="dxa" w:w="5040"/>
          </w:tcPr>
          <w:p>
            <w:r>
              <w:t>10%</w:t>
            </w:r>
          </w:p>
        </w:tc>
      </w:tr>
    </w:tbl>
    <w:p>
      <w:r>
        <w:t>The weights are initial design values, not established truths. They should be validated and calibrated with historical data.</w:t>
      </w:r>
    </w:p>
    <w:p>
      <w:pPr>
        <w:pStyle w:val="ListBullet"/>
      </w:pPr>
      <w:r>
        <w:t>Revenue growth and growth stability</w:t>
      </w:r>
    </w:p>
    <w:p>
      <w:pPr>
        <w:pStyle w:val="ListBullet"/>
      </w:pPr>
      <w:r>
        <w:t>EPS growth and earnings quality</w:t>
      </w:r>
    </w:p>
    <w:p>
      <w:pPr>
        <w:pStyle w:val="ListBullet"/>
      </w:pPr>
      <w:r>
        <w:t>Gross/operating/net margin level and trend</w:t>
      </w:r>
    </w:p>
    <w:p>
      <w:pPr>
        <w:pStyle w:val="ListBullet"/>
      </w:pPr>
      <w:r>
        <w:t>ROIC, ROE and ROA level and trend</w:t>
      </w:r>
    </w:p>
    <w:p>
      <w:pPr>
        <w:pStyle w:val="ListBullet"/>
      </w:pPr>
      <w:r>
        <w:t>Operating cash-flow generation</w:t>
      </w:r>
    </w:p>
    <w:p>
      <w:pPr>
        <w:pStyle w:val="ListBullet"/>
      </w:pPr>
      <w:r>
        <w:t>Free-cash-flow generation and conversion</w:t>
      </w:r>
    </w:p>
    <w:p>
      <w:pPr>
        <w:pStyle w:val="ListBullet"/>
      </w:pPr>
      <w:r>
        <w:t>Balance-sheet strength and liquidity</w:t>
      </w:r>
    </w:p>
    <w:p>
      <w:pPr>
        <w:pStyle w:val="ListBullet"/>
      </w:pPr>
      <w:r>
        <w:t>Competitive advantage / moat indicators</w:t>
      </w:r>
    </w:p>
    <w:p>
      <w:pPr>
        <w:pStyle w:val="ListBullet"/>
      </w:pPr>
      <w:r>
        <w:t>Share dilution versus buybacks</w:t>
      </w:r>
    </w:p>
    <w:p>
      <w:pPr>
        <w:pStyle w:val="Heading1"/>
      </w:pPr>
      <w:r>
        <w:t>6. Growth &amp; Future Potential Engine</w:t>
      </w:r>
    </w:p>
    <w:p>
      <w:r>
        <w:t>Valuation must be connected to future earning power. A high P/E can be justified by exceptional growth; a low P/E can be misleading if earnings are declining.</w:t>
      </w:r>
    </w:p>
    <w:p>
      <w:pPr>
        <w:pStyle w:val="ListBullet"/>
      </w:pPr>
      <w:r>
        <w:t>Revenue growth forecast over 3–5 years</w:t>
      </w:r>
    </w:p>
    <w:p>
      <w:pPr>
        <w:pStyle w:val="ListBullet"/>
      </w:pPr>
      <w:r>
        <w:t>EPS growth forecast over 3–5 years</w:t>
      </w:r>
    </w:p>
    <w:p>
      <w:pPr>
        <w:pStyle w:val="ListBullet"/>
      </w:pPr>
      <w:r>
        <w:t>Free-cash-flow growth forecast</w:t>
      </w:r>
    </w:p>
    <w:p>
      <w:pPr>
        <w:pStyle w:val="ListBullet"/>
      </w:pPr>
      <w:r>
        <w:t>Growth acceleration/deceleration</w:t>
      </w:r>
    </w:p>
    <w:p>
      <w:pPr>
        <w:pStyle w:val="ListBullet"/>
      </w:pPr>
      <w:r>
        <w:t>Margin expansion or compression</w:t>
      </w:r>
    </w:p>
    <w:p>
      <w:pPr>
        <w:pStyle w:val="ListBullet"/>
      </w:pPr>
      <w:r>
        <w:t>Market/share opportunity</w:t>
      </w:r>
    </w:p>
    <w:p>
      <w:pPr>
        <w:pStyle w:val="ListBullet"/>
      </w:pPr>
      <w:r>
        <w:t>Business-segment growth</w:t>
      </w:r>
    </w:p>
    <w:p>
      <w:pPr>
        <w:pStyle w:val="ListBullet"/>
      </w:pPr>
      <w:r>
        <w:t>New products and markets</w:t>
      </w:r>
    </w:p>
    <w:p>
      <w:pPr>
        <w:pStyle w:val="ListBullet"/>
      </w:pPr>
      <w:r>
        <w:t>Capital investment and expected return on that investment</w:t>
      </w:r>
    </w:p>
    <w:p>
      <w:pPr>
        <w:pStyle w:val="ListBullet"/>
      </w:pPr>
      <w:r>
        <w:t>Management execution and guidance</w:t>
      </w:r>
    </w:p>
    <w:p>
      <w:r>
        <w:t>The system should explicitly distinguish historical growth from forward growth and should identify the assumptions responsible for most of the forecast.</w:t>
      </w:r>
    </w:p>
    <w:p>
      <w:pPr>
        <w:pStyle w:val="Heading1"/>
      </w:pPr>
      <w:r>
        <w:t>7. Accounting Normalization</w:t>
      </w:r>
    </w:p>
    <w:p>
      <w:r>
        <w:t>Reported GAAP earnings should not automatically be treated as recurring economic earning power.</w:t>
      </w:r>
    </w:p>
    <w:p>
      <w:pPr>
        <w:pStyle w:val="ListBullet"/>
      </w:pPr>
      <w:r>
        <w:t>Identify non-recurring and non-operating items</w:t>
      </w:r>
    </w:p>
    <w:p>
      <w:pPr>
        <w:pStyle w:val="ListBullet"/>
      </w:pPr>
      <w:r>
        <w:t>Adjust unusual investment gains/losses</w:t>
      </w:r>
    </w:p>
    <w:p>
      <w:pPr>
        <w:pStyle w:val="ListBullet"/>
      </w:pPr>
      <w:r>
        <w:t>Adjust restructuring charges where appropriate</w:t>
      </w:r>
    </w:p>
    <w:p>
      <w:pPr>
        <w:pStyle w:val="ListBullet"/>
      </w:pPr>
      <w:r>
        <w:t>Review unusual tax effects</w:t>
      </w:r>
    </w:p>
    <w:p>
      <w:pPr>
        <w:pStyle w:val="ListBullet"/>
      </w:pPr>
      <w:r>
        <w:t>Review acquisition-related effects</w:t>
      </w:r>
    </w:p>
    <w:p>
      <w:pPr>
        <w:pStyle w:val="ListBullet"/>
      </w:pPr>
      <w:r>
        <w:t>Review stock-based compensation</w:t>
      </w:r>
    </w:p>
    <w:p>
      <w:pPr>
        <w:pStyle w:val="ListBullet"/>
      </w:pPr>
      <w:r>
        <w:t>Review unusual legal settlements</w:t>
      </w:r>
    </w:p>
    <w:p>
      <w:pPr>
        <w:pStyle w:val="ListBullet"/>
      </w:pPr>
      <w:r>
        <w:t>Produce normalized earnings and normalized cash-flow measures</w:t>
      </w:r>
    </w:p>
    <w:p>
      <w:r>
        <w:t>The purpose is not to manipulate earnings. It is to distinguish recurring operating economics from items that should not be extrapolated blindly into the future.</w:t>
      </w:r>
    </w:p>
    <w:p>
      <w:pPr>
        <w:pStyle w:val="Heading1"/>
      </w:pPr>
      <w:r>
        <w:t>8. Capital Expenditure &amp; Cash-Flow Quality</w:t>
      </w:r>
    </w:p>
    <w:p>
      <w:pPr>
        <w:pStyle w:val="ListBullet"/>
      </w:pPr>
      <w:r>
        <w:t>Operating cash flow</w:t>
      </w:r>
    </w:p>
    <w:p>
      <w:pPr>
        <w:pStyle w:val="ListBullet"/>
      </w:pPr>
      <w:r>
        <w:t>Capital expenditure</w:t>
      </w:r>
    </w:p>
    <w:p>
      <w:pPr>
        <w:pStyle w:val="ListBullet"/>
      </w:pPr>
      <w:r>
        <w:t>Free cash flow = Operating cash flow − Capital expenditure</w:t>
      </w:r>
    </w:p>
    <w:p>
      <w:pPr>
        <w:pStyle w:val="ListBullet"/>
      </w:pPr>
      <w:r>
        <w:t>CapEx growth</w:t>
      </w:r>
    </w:p>
    <w:p>
      <w:pPr>
        <w:pStyle w:val="ListBullet"/>
      </w:pPr>
      <w:r>
        <w:t>CapEx / revenue</w:t>
      </w:r>
    </w:p>
    <w:p>
      <w:pPr>
        <w:pStyle w:val="ListBullet"/>
      </w:pPr>
      <w:r>
        <w:t>CapEx / operating cash flow</w:t>
      </w:r>
    </w:p>
    <w:p>
      <w:pPr>
        <w:pStyle w:val="ListBullet"/>
      </w:pPr>
      <w:r>
        <w:t>FCF margin</w:t>
      </w:r>
    </w:p>
    <w:p>
      <w:pPr>
        <w:pStyle w:val="ListBullet"/>
      </w:pPr>
      <w:r>
        <w:t>Expected duration of the investment cycle</w:t>
      </w:r>
    </w:p>
    <w:p>
      <w:pPr>
        <w:pStyle w:val="ListBullet"/>
      </w:pPr>
      <w:r>
        <w:t>Expected future ROIC from current investment</w:t>
      </w:r>
    </w:p>
    <w:p>
      <w:r>
        <w:t>High operating cash flow does not automatically imply high free cash flow. Large investment cycles can temporarily suppress FCF while potentially creating substantial future value. The algorithm must therefore evaluate both the near-term cash burden and the expected economic return on the investment.</w:t>
      </w:r>
    </w:p>
    <w:p>
      <w:pPr>
        <w:pStyle w:val="Heading1"/>
      </w:pPr>
      <w:r>
        <w:t>9. Valuation &amp; Fair-Value Engine</w:t>
      </w:r>
    </w:p>
    <w:p>
      <w:r>
        <w:t>Fair value should be estimated through several independent approaches rather than a single multiple.</w:t>
      </w:r>
    </w:p>
    <w:p>
      <w:pPr>
        <w:pStyle w:val="Heading2"/>
      </w:pPr>
      <w:r>
        <w:t>A. DCF / Intrinsic Value</w:t>
      </w:r>
    </w:p>
    <w:p>
      <w:pPr>
        <w:pStyle w:val="ListBullet"/>
      </w:pPr>
      <w:r>
        <w:t>Revenue forecast</w:t>
      </w:r>
    </w:p>
    <w:p>
      <w:pPr>
        <w:pStyle w:val="ListBullet"/>
      </w:pPr>
      <w:r>
        <w:t>Operating-margin forecast</w:t>
      </w:r>
    </w:p>
    <w:p>
      <w:pPr>
        <w:pStyle w:val="ListBullet"/>
      </w:pPr>
      <w:r>
        <w:t>Tax assumptions</w:t>
      </w:r>
    </w:p>
    <w:p>
      <w:pPr>
        <w:pStyle w:val="ListBullet"/>
      </w:pPr>
      <w:r>
        <w:t>CapEx</w:t>
      </w:r>
    </w:p>
    <w:p>
      <w:pPr>
        <w:pStyle w:val="ListBullet"/>
      </w:pPr>
      <w:r>
        <w:t>Working-capital requirements</w:t>
      </w:r>
    </w:p>
    <w:p>
      <w:pPr>
        <w:pStyle w:val="ListBullet"/>
      </w:pPr>
      <w:r>
        <w:t>Free cash flow forecast</w:t>
      </w:r>
    </w:p>
    <w:p>
      <w:pPr>
        <w:pStyle w:val="ListBullet"/>
      </w:pPr>
      <w:r>
        <w:t>WACC / discount rate</w:t>
      </w:r>
    </w:p>
    <w:p>
      <w:pPr>
        <w:pStyle w:val="ListBullet"/>
      </w:pPr>
      <w:r>
        <w:t>Terminal growth</w:t>
      </w:r>
    </w:p>
    <w:p>
      <w:pPr>
        <w:pStyle w:val="ListBullet"/>
      </w:pPr>
      <w:r>
        <w:t>Terminal value</w:t>
      </w:r>
    </w:p>
    <w:p>
      <w:pPr>
        <w:pStyle w:val="ListBullet"/>
      </w:pPr>
      <w:r>
        <w:t>Present value of forecast cash flows</w:t>
      </w:r>
    </w:p>
    <w:p>
      <w:pPr>
        <w:pStyle w:val="Heading2"/>
      </w:pPr>
      <w:r>
        <w:t>B. Earnings Valuation</w:t>
      </w:r>
    </w:p>
    <w:p>
      <w:pPr>
        <w:pStyle w:val="ListBullet"/>
      </w:pPr>
      <w:r>
        <w:t>Forward/normalized EPS × reasonable P/E</w:t>
      </w:r>
    </w:p>
    <w:p>
      <w:pPr>
        <w:pStyle w:val="ListBullet"/>
      </w:pPr>
      <w:r>
        <w:t>Growth-adjusted multiple</w:t>
      </w:r>
    </w:p>
    <w:p>
      <w:pPr>
        <w:pStyle w:val="ListBullet"/>
      </w:pPr>
      <w:r>
        <w:t>Scenario-specific earnings and multiples</w:t>
      </w:r>
    </w:p>
    <w:p>
      <w:pPr>
        <w:pStyle w:val="Heading2"/>
      </w:pPr>
      <w:r>
        <w:t>C. Relative Valuation</w:t>
      </w:r>
    </w:p>
    <w:p>
      <w:pPr>
        <w:pStyle w:val="ListBullet"/>
      </w:pPr>
      <w:r>
        <w:t>P/E and forward P/E</w:t>
      </w:r>
    </w:p>
    <w:p>
      <w:pPr>
        <w:pStyle w:val="ListBullet"/>
      </w:pPr>
      <w:r>
        <w:t>PEG</w:t>
      </w:r>
    </w:p>
    <w:p>
      <w:pPr>
        <w:pStyle w:val="ListBullet"/>
      </w:pPr>
      <w:r>
        <w:t>EV/EBIT</w:t>
      </w:r>
    </w:p>
    <w:p>
      <w:pPr>
        <w:pStyle w:val="ListBullet"/>
      </w:pPr>
      <w:r>
        <w:t>EV/EBITDA</w:t>
      </w:r>
    </w:p>
    <w:p>
      <w:pPr>
        <w:pStyle w:val="ListBullet"/>
      </w:pPr>
      <w:r>
        <w:t>EV/Sales</w:t>
      </w:r>
    </w:p>
    <w:p>
      <w:pPr>
        <w:pStyle w:val="ListBullet"/>
      </w:pPr>
      <w:r>
        <w:t>P/S</w:t>
      </w:r>
    </w:p>
    <w:p>
      <w:pPr>
        <w:pStyle w:val="ListBullet"/>
      </w:pPr>
      <w:r>
        <w:t>P/FCF</w:t>
      </w:r>
    </w:p>
    <w:p>
      <w:pPr>
        <w:pStyle w:val="ListBullet"/>
      </w:pPr>
      <w:r>
        <w:t>FCF yield</w:t>
      </w:r>
    </w:p>
    <w:p>
      <w:pPr>
        <w:pStyle w:val="ListBullet"/>
      </w:pPr>
      <w:r>
        <w:t>Dividend yield where relevant</w:t>
      </w:r>
    </w:p>
    <w:p>
      <w:pPr>
        <w:pStyle w:val="Heading2"/>
      </w:pPr>
      <w:r>
        <w:t>D. External Estimates</w:t>
      </w:r>
    </w:p>
    <w:p>
      <w:pPr>
        <w:pStyle w:val="ListBullet"/>
      </w:pPr>
      <w:r>
        <w:t>Analyst targets</w:t>
      </w:r>
    </w:p>
    <w:p>
      <w:pPr>
        <w:pStyle w:val="ListBullet"/>
      </w:pPr>
      <w:r>
        <w:t>Independent research-provider fair values</w:t>
      </w:r>
    </w:p>
    <w:p>
      <w:pPr>
        <w:pStyle w:val="ListBullet"/>
      </w:pPr>
      <w:r>
        <w:t>Historical valuation ranges</w:t>
      </w:r>
    </w:p>
    <w:p>
      <w:pPr>
        <w:pStyle w:val="Heading1"/>
      </w:pPr>
      <w:r>
        <w:t>10. Scenario Valuation</w:t>
      </w:r>
    </w:p>
    <w:p>
      <w:pPr>
        <w:pStyle w:val="ListBullet"/>
      </w:pPr>
      <w:r>
        <w:t>Bear case: conservative growth, weaker margins, adverse multiple/discount-rate assumptions</w:t>
      </w:r>
    </w:p>
    <w:p>
      <w:pPr>
        <w:pStyle w:val="ListBullet"/>
      </w:pPr>
      <w:r>
        <w:t>Base case: most defensible central assumptions</w:t>
      </w:r>
    </w:p>
    <w:p>
      <w:pPr>
        <w:pStyle w:val="ListBullet"/>
      </w:pPr>
      <w:r>
        <w:t>Bull case: stronger growth, margin expansion, favorable economics</w:t>
      </w:r>
    </w:p>
    <w:p>
      <w:pPr>
        <w:pStyle w:val="ListBullet"/>
      </w:pPr>
      <w:r>
        <w:t>Probability-weighted fair value</w:t>
      </w:r>
    </w:p>
    <w:p>
      <w:pPr>
        <w:pStyle w:val="ListBullet"/>
      </w:pPr>
      <w:r>
        <w:t>Sensitivity analysis for WACC, terminal growth, margins and growth assumptions</w:t>
      </w:r>
    </w:p>
    <w:p>
      <w:r>
        <w:t>Required outputs: current price, bear value, base value, bull value, probability-weighted value, upside/downside, and margin of safety.</w:t>
      </w:r>
    </w:p>
    <w:p>
      <w:pPr>
        <w:pStyle w:val="Heading1"/>
      </w:pPr>
      <w:r>
        <w:t>11. Margin of Safety</w:t>
      </w:r>
    </w:p>
    <w:p>
      <w:r>
        <w:t>Margin of Safety = (Intrinsic Value − Current Price) / Intrinsic Value</w:t>
      </w:r>
    </w:p>
    <w:p>
      <w:pPr>
        <w:pStyle w:val="ListBullet"/>
      </w:pPr>
      <w:r>
        <w:t>&lt;5% → approximately fairly valued</w:t>
      </w:r>
    </w:p>
    <w:p>
      <w:pPr>
        <w:pStyle w:val="ListBullet"/>
      </w:pPr>
      <w:r>
        <w:t>5–15% → moderately undervalued</w:t>
      </w:r>
    </w:p>
    <w:p>
      <w:pPr>
        <w:pStyle w:val="ListBullet"/>
      </w:pPr>
      <w:r>
        <w:t>15–25% → undervalued</w:t>
      </w:r>
    </w:p>
    <w:p>
      <w:pPr>
        <w:pStyle w:val="ListBullet"/>
      </w:pPr>
      <w:r>
        <w:t>&gt;25% → strongly undervalued</w:t>
      </w:r>
    </w:p>
    <w:p>
      <w:r>
        <w:t>These thresholds are starting assumptions only. Historical backtesting should determine whether they actually discriminate between attractive and unattractive future outcomes.</w:t>
      </w:r>
    </w:p>
    <w:p>
      <w:pPr>
        <w:pStyle w:val="Heading1"/>
      </w:pPr>
      <w:r>
        <w:t>12. Value-Trap Detection</w:t>
      </w:r>
    </w:p>
    <w:p>
      <w:pPr>
        <w:pStyle w:val="ListBullet"/>
      </w:pPr>
      <w:r>
        <w:t>Declining revenue</w:t>
      </w:r>
    </w:p>
    <w:p>
      <w:pPr>
        <w:pStyle w:val="ListBullet"/>
      </w:pPr>
      <w:r>
        <w:t>Declining margins</w:t>
      </w:r>
    </w:p>
    <w:p>
      <w:pPr>
        <w:pStyle w:val="ListBullet"/>
      </w:pPr>
      <w:r>
        <w:t>Declining ROIC</w:t>
      </w:r>
    </w:p>
    <w:p>
      <w:pPr>
        <w:pStyle w:val="ListBullet"/>
      </w:pPr>
      <w:r>
        <w:t>Rising debt</w:t>
      </w:r>
    </w:p>
    <w:p>
      <w:pPr>
        <w:pStyle w:val="ListBullet"/>
      </w:pPr>
      <w:r>
        <w:t>Deteriorating cash flow</w:t>
      </w:r>
    </w:p>
    <w:p>
      <w:pPr>
        <w:pStyle w:val="ListBullet"/>
      </w:pPr>
      <w:r>
        <w:t>Declining competitive position</w:t>
      </w:r>
    </w:p>
    <w:p>
      <w:pPr>
        <w:pStyle w:val="ListBullet"/>
      </w:pPr>
      <w:r>
        <w:t>Excessive dilution</w:t>
      </w:r>
    </w:p>
    <w:p>
      <w:pPr>
        <w:pStyle w:val="ListBullet"/>
      </w:pPr>
      <w:r>
        <w:t>Deteriorating industry conditions</w:t>
      </w:r>
    </w:p>
    <w:p>
      <w:pPr>
        <w:pStyle w:val="ListBullet"/>
      </w:pPr>
      <w:r>
        <w:t>Accounting distortions</w:t>
      </w:r>
    </w:p>
    <w:p>
      <w:pPr>
        <w:pStyle w:val="ListBullet"/>
      </w:pPr>
      <w:r>
        <w:t>Unrealistic growth assumptions embedded in valuation</w:t>
      </w:r>
    </w:p>
    <w:p>
      <w:r>
        <w:t>Core rule: Cheap ≠ undervalued.</w:t>
      </w:r>
    </w:p>
    <w:p>
      <w:r>
        <w:t>A low P/E combined with falling earnings, falling ROIC and rising debt should increase the probability of a value-trap classification rather than increase the buy score.</w:t>
      </w:r>
    </w:p>
    <w:p>
      <w:pPr>
        <w:pStyle w:val="Heading1"/>
      </w:pPr>
      <w:r>
        <w:t>13. Technical Analysis Engine</w:t>
      </w:r>
    </w:p>
    <w:p>
      <w:pPr>
        <w:pStyle w:val="Heading2"/>
      </w:pPr>
      <w:r>
        <w:t>Price &amp; Trend</w:t>
      </w:r>
    </w:p>
    <w:p>
      <w:pPr>
        <w:pStyle w:val="ListBullet"/>
      </w:pPr>
      <w:r>
        <w:t>Price versus SMA/EMA 20, 50, 100 and 200</w:t>
      </w:r>
    </w:p>
    <w:p>
      <w:pPr>
        <w:pStyle w:val="ListBullet"/>
      </w:pPr>
      <w:r>
        <w:t>Moving-average slopes</w:t>
      </w:r>
    </w:p>
    <w:p>
      <w:pPr>
        <w:pStyle w:val="ListBullet"/>
      </w:pPr>
      <w:r>
        <w:t>Golden/death crosses</w:t>
      </w:r>
    </w:p>
    <w:p>
      <w:pPr>
        <w:pStyle w:val="ListBullet"/>
      </w:pPr>
      <w:r>
        <w:t>Higher highs / higher lows</w:t>
      </w:r>
    </w:p>
    <w:p>
      <w:pPr>
        <w:pStyle w:val="ListBullet"/>
      </w:pPr>
      <w:r>
        <w:t>Trend strength</w:t>
      </w:r>
    </w:p>
    <w:p>
      <w:pPr>
        <w:pStyle w:val="ListBullet"/>
      </w:pPr>
      <w:r>
        <w:t>ADX / DMI</w:t>
      </w:r>
    </w:p>
    <w:p>
      <w:pPr>
        <w:pStyle w:val="ListBullet"/>
      </w:pPr>
      <w:r>
        <w:t>Distance from 52-week high/low and all-time high</w:t>
      </w:r>
    </w:p>
    <w:p>
      <w:pPr>
        <w:pStyle w:val="ListBullet"/>
      </w:pPr>
      <w:r>
        <w:t>Bullish / neutral / bearish trend regime</w:t>
      </w:r>
    </w:p>
    <w:p>
      <w:pPr>
        <w:pStyle w:val="Heading2"/>
      </w:pPr>
      <w:r>
        <w:t>Momentum</w:t>
      </w:r>
    </w:p>
    <w:p>
      <w:pPr>
        <w:pStyle w:val="ListBullet"/>
      </w:pPr>
      <w:r>
        <w:t>RSI across multiple periods</w:t>
      </w:r>
    </w:p>
    <w:p>
      <w:pPr>
        <w:pStyle w:val="ListBullet"/>
      </w:pPr>
      <w:r>
        <w:t>MACD and histogram</w:t>
      </w:r>
    </w:p>
    <w:p>
      <w:pPr>
        <w:pStyle w:val="ListBullet"/>
      </w:pPr>
      <w:r>
        <w:t>Rate of Change</w:t>
      </w:r>
    </w:p>
    <w:p>
      <w:pPr>
        <w:pStyle w:val="ListBullet"/>
      </w:pPr>
      <w:r>
        <w:t>Stochastic</w:t>
      </w:r>
    </w:p>
    <w:p>
      <w:pPr>
        <w:pStyle w:val="ListBullet"/>
      </w:pPr>
      <w:r>
        <w:t>Williams %R</w:t>
      </w:r>
    </w:p>
    <w:p>
      <w:pPr>
        <w:pStyle w:val="ListBullet"/>
      </w:pPr>
      <w:r>
        <w:t>Momentum divergence</w:t>
      </w:r>
    </w:p>
    <w:p>
      <w:pPr>
        <w:pStyle w:val="ListBullet"/>
      </w:pPr>
      <w:r>
        <w:t>Overbought/oversold conditions in context</w:t>
      </w:r>
    </w:p>
    <w:p>
      <w:pPr>
        <w:pStyle w:val="Heading2"/>
      </w:pPr>
      <w:r>
        <w:t>Volume</w:t>
      </w:r>
    </w:p>
    <w:p>
      <w:pPr>
        <w:pStyle w:val="ListBullet"/>
      </w:pPr>
      <w:r>
        <w:t>Volume versus average</w:t>
      </w:r>
    </w:p>
    <w:p>
      <w:pPr>
        <w:pStyle w:val="ListBullet"/>
      </w:pPr>
      <w:r>
        <w:t>Volume trend</w:t>
      </w:r>
    </w:p>
    <w:p>
      <w:pPr>
        <w:pStyle w:val="ListBullet"/>
      </w:pPr>
      <w:r>
        <w:t>OBV</w:t>
      </w:r>
    </w:p>
    <w:p>
      <w:pPr>
        <w:pStyle w:val="ListBullet"/>
      </w:pPr>
      <w:r>
        <w:t>Accumulation/Distribution</w:t>
      </w:r>
    </w:p>
    <w:p>
      <w:pPr>
        <w:pStyle w:val="ListBullet"/>
      </w:pPr>
      <w:r>
        <w:t>MFI</w:t>
      </w:r>
    </w:p>
    <w:p>
      <w:pPr>
        <w:pStyle w:val="ListBullet"/>
      </w:pPr>
      <w:r>
        <w:t>CMF</w:t>
      </w:r>
    </w:p>
    <w:p>
      <w:pPr>
        <w:pStyle w:val="ListBullet"/>
      </w:pPr>
      <w:r>
        <w:t>Volume-price divergence</w:t>
      </w:r>
    </w:p>
    <w:p>
      <w:pPr>
        <w:pStyle w:val="ListBullet"/>
      </w:pPr>
      <w:r>
        <w:t>Breakout volume confirmation</w:t>
      </w:r>
    </w:p>
    <w:p>
      <w:pPr>
        <w:pStyle w:val="Heading2"/>
      </w:pPr>
      <w:r>
        <w:t>Support / Resistance</w:t>
      </w:r>
    </w:p>
    <w:p>
      <w:pPr>
        <w:pStyle w:val="ListBullet"/>
      </w:pPr>
      <w:r>
        <w:t>Major support and resistance</w:t>
      </w:r>
    </w:p>
    <w:p>
      <w:pPr>
        <w:pStyle w:val="ListBullet"/>
      </w:pPr>
      <w:r>
        <w:t>Previous highs/lows</w:t>
      </w:r>
    </w:p>
    <w:p>
      <w:pPr>
        <w:pStyle w:val="ListBullet"/>
      </w:pPr>
      <w:r>
        <w:t>Moving-average levels</w:t>
      </w:r>
    </w:p>
    <w:p>
      <w:pPr>
        <w:pStyle w:val="ListBullet"/>
      </w:pPr>
      <w:r>
        <w:t>Volume Profile / high-volume nodes</w:t>
      </w:r>
    </w:p>
    <w:p>
      <w:pPr>
        <w:pStyle w:val="ListBullet"/>
      </w:pPr>
      <w:r>
        <w:t>Fibonacci retracement levels</w:t>
      </w:r>
    </w:p>
    <w:p>
      <w:pPr>
        <w:pStyle w:val="ListBullet"/>
      </w:pPr>
      <w:r>
        <w:t>ATR-based levels</w:t>
      </w:r>
    </w:p>
    <w:p>
      <w:pPr>
        <w:pStyle w:val="ListBullet"/>
      </w:pPr>
      <w:r>
        <w:t>Distance to support and resistance</w:t>
      </w:r>
    </w:p>
    <w:p>
      <w:pPr>
        <w:pStyle w:val="Heading2"/>
      </w:pPr>
      <w:r>
        <w:t>Volatility</w:t>
      </w:r>
    </w:p>
    <w:p>
      <w:pPr>
        <w:pStyle w:val="ListBullet"/>
      </w:pPr>
      <w:r>
        <w:t>ATR and ATR%</w:t>
      </w:r>
    </w:p>
    <w:p>
      <w:pPr>
        <w:pStyle w:val="ListBullet"/>
      </w:pPr>
      <w:r>
        <w:t>Historical volatility</w:t>
      </w:r>
    </w:p>
    <w:p>
      <w:pPr>
        <w:pStyle w:val="ListBullet"/>
      </w:pPr>
      <w:r>
        <w:t>Bollinger Bands</w:t>
      </w:r>
    </w:p>
    <w:p>
      <w:pPr>
        <w:pStyle w:val="ListBullet"/>
      </w:pPr>
      <w:r>
        <w:t>Bollinger Band width</w:t>
      </w:r>
    </w:p>
    <w:p>
      <w:pPr>
        <w:pStyle w:val="ListBullet"/>
      </w:pPr>
      <w:r>
        <w:t>Volatility regime</w:t>
      </w:r>
    </w:p>
    <w:p>
      <w:pPr>
        <w:pStyle w:val="ListBullet"/>
      </w:pPr>
      <w:r>
        <w:t>Gap behavior</w:t>
      </w:r>
    </w:p>
    <w:p>
      <w:pPr>
        <w:pStyle w:val="ListBullet"/>
      </w:pPr>
      <w:r>
        <w:t>Volatility-adjusted stop/invalidation distance</w:t>
      </w:r>
    </w:p>
    <w:p>
      <w:pPr>
        <w:pStyle w:val="Heading2"/>
      </w:pPr>
      <w:r>
        <w:t>Breakouts / Breakdowns</w:t>
      </w:r>
    </w:p>
    <w:p>
      <w:pPr>
        <w:pStyle w:val="ListBullet"/>
      </w:pPr>
      <w:r>
        <w:t>Consolidation detection</w:t>
      </w:r>
    </w:p>
    <w:p>
      <w:pPr>
        <w:pStyle w:val="ListBullet"/>
      </w:pPr>
      <w:r>
        <w:t>Breakout detection</w:t>
      </w:r>
    </w:p>
    <w:p>
      <w:pPr>
        <w:pStyle w:val="ListBullet"/>
      </w:pPr>
      <w:r>
        <w:t>Volume confirmation</w:t>
      </w:r>
    </w:p>
    <w:p>
      <w:pPr>
        <w:pStyle w:val="ListBullet"/>
      </w:pPr>
      <w:r>
        <w:t>False-breakout risk</w:t>
      </w:r>
    </w:p>
    <w:p>
      <w:pPr>
        <w:pStyle w:val="ListBullet"/>
      </w:pPr>
      <w:r>
        <w:t>Retest confirmation</w:t>
      </w:r>
    </w:p>
    <w:p>
      <w:pPr>
        <w:pStyle w:val="ListBullet"/>
      </w:pPr>
      <w:r>
        <w:t>Support breakdowns</w:t>
      </w:r>
    </w:p>
    <w:p>
      <w:pPr>
        <w:pStyle w:val="ListBullet"/>
      </w:pPr>
      <w:r>
        <w:t>Trend continuation patterns</w:t>
      </w:r>
    </w:p>
    <w:p>
      <w:pPr>
        <w:pStyle w:val="Heading2"/>
      </w:pPr>
      <w:r>
        <w:t>Relative Strength</w:t>
      </w:r>
    </w:p>
    <w:p>
      <w:pPr>
        <w:pStyle w:val="ListBullet"/>
      </w:pPr>
      <w:r>
        <w:t>Performance versus broad-market benchmark</w:t>
      </w:r>
    </w:p>
    <w:p>
      <w:pPr>
        <w:pStyle w:val="ListBullet"/>
      </w:pPr>
      <w:r>
        <w:t>Performance versus sector/index</w:t>
      </w:r>
    </w:p>
    <w:p>
      <w:pPr>
        <w:pStyle w:val="ListBullet"/>
      </w:pPr>
      <w:r>
        <w:t>Performance versus industry peers</w:t>
      </w:r>
    </w:p>
    <w:p>
      <w:pPr>
        <w:pStyle w:val="ListBullet"/>
      </w:pPr>
      <w:r>
        <w:t>Relative-strength trend</w:t>
      </w:r>
    </w:p>
    <w:p>
      <w:pPr>
        <w:pStyle w:val="Heading1"/>
      </w:pPr>
      <w:r>
        <w:t>14. Entry-Timing Engine</w:t>
      </w:r>
    </w:p>
    <w:p>
      <w:r>
        <w:t>Undervaluation and immediate entry quality are separate dimensions. The entry engine determines whether the investor should act now, wait for a pullback, or wait for confirmation.</w:t>
      </w:r>
    </w:p>
    <w:p>
      <w:pPr>
        <w:pStyle w:val="ListBullet"/>
      </w:pPr>
      <w:r>
        <w:t>Price versus fair value</w:t>
      </w:r>
    </w:p>
    <w:p>
      <w:pPr>
        <w:pStyle w:val="ListBullet"/>
      </w:pPr>
      <w:r>
        <w:t>Price versus major support</w:t>
      </w:r>
    </w:p>
    <w:p>
      <w:pPr>
        <w:pStyle w:val="ListBullet"/>
      </w:pPr>
      <w:r>
        <w:t>Distance to resistance</w:t>
      </w:r>
    </w:p>
    <w:p>
      <w:pPr>
        <w:pStyle w:val="ListBullet"/>
      </w:pPr>
      <w:r>
        <w:t>Trend direction</w:t>
      </w:r>
    </w:p>
    <w:p>
      <w:pPr>
        <w:pStyle w:val="ListBullet"/>
      </w:pPr>
      <w:r>
        <w:t>Momentum</w:t>
      </w:r>
    </w:p>
    <w:p>
      <w:pPr>
        <w:pStyle w:val="ListBullet"/>
      </w:pPr>
      <w:r>
        <w:t>RSI</w:t>
      </w:r>
    </w:p>
    <w:p>
      <w:pPr>
        <w:pStyle w:val="ListBullet"/>
      </w:pPr>
      <w:r>
        <w:t>Volume confirmation</w:t>
      </w:r>
    </w:p>
    <w:p>
      <w:pPr>
        <w:pStyle w:val="ListBullet"/>
      </w:pPr>
      <w:r>
        <w:t>Volatility / ATR</w:t>
      </w:r>
    </w:p>
    <w:p>
      <w:pPr>
        <w:pStyle w:val="ListBullet"/>
      </w:pPr>
      <w:r>
        <w:t>Recent breakout or pullback</w:t>
      </w:r>
    </w:p>
    <w:p>
      <w:pPr>
        <w:pStyle w:val="ListBullet"/>
      </w:pPr>
      <w:r>
        <w:t>Relative strength</w:t>
      </w:r>
    </w:p>
    <w:p>
      <w:pPr>
        <w:pStyle w:val="ListBullet"/>
      </w:pPr>
      <w:r>
        <w:t>Market and sector regime</w:t>
      </w:r>
    </w:p>
    <w:p>
      <w:pPr>
        <w:pStyle w:val="ListBullet"/>
      </w:pPr>
      <w:r>
        <w:t>Risk/reward at current price</w:t>
      </w:r>
    </w:p>
    <w:p>
      <w:pPr>
        <w:pStyle w:val="ListBullet"/>
      </w:pPr>
      <w:r>
        <w:t>BUY NOW</w:t>
      </w:r>
    </w:p>
    <w:p>
      <w:pPr>
        <w:pStyle w:val="ListBullet"/>
      </w:pPr>
      <w:r>
        <w:t>BUY ON PULLBACK</w:t>
      </w:r>
    </w:p>
    <w:p>
      <w:pPr>
        <w:pStyle w:val="ListBullet"/>
      </w:pPr>
      <w:r>
        <w:t>BUY ABOVE CONFIRMATION LEVEL</w:t>
      </w:r>
    </w:p>
    <w:p>
      <w:pPr>
        <w:pStyle w:val="ListBullet"/>
      </w:pPr>
      <w:r>
        <w:t>ACCUMULATE GRADUALLY</w:t>
      </w:r>
    </w:p>
    <w:p>
      <w:pPr>
        <w:pStyle w:val="ListBullet"/>
      </w:pPr>
      <w:r>
        <w:t>WAIT</w:t>
      </w:r>
    </w:p>
    <w:p>
      <w:pPr>
        <w:pStyle w:val="ListBullet"/>
      </w:pPr>
      <w:r>
        <w:t>AVOID</w:t>
      </w:r>
    </w:p>
    <w:p>
      <w:pPr>
        <w:pStyle w:val="Heading1"/>
      </w:pPr>
      <w:r>
        <w:t>15. Entry Score</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Initial Weight</w:t>
            </w:r>
          </w:p>
        </w:tc>
      </w:tr>
      <w:tr>
        <w:tc>
          <w:tcPr>
            <w:tcW w:type="dxa" w:w="5040"/>
          </w:tcPr>
          <w:p>
            <w:r>
              <w:t>Trend</w:t>
            </w:r>
          </w:p>
        </w:tc>
        <w:tc>
          <w:tcPr>
            <w:tcW w:type="dxa" w:w="5040"/>
          </w:tcPr>
          <w:p>
            <w:r>
              <w:t>25%</w:t>
            </w:r>
          </w:p>
        </w:tc>
      </w:tr>
      <w:tr>
        <w:tc>
          <w:tcPr>
            <w:tcW w:type="dxa" w:w="5040"/>
          </w:tcPr>
          <w:p>
            <w:r>
              <w:t>Momentum</w:t>
            </w:r>
          </w:p>
        </w:tc>
        <w:tc>
          <w:tcPr>
            <w:tcW w:type="dxa" w:w="5040"/>
          </w:tcPr>
          <w:p>
            <w:r>
              <w:t>20%</w:t>
            </w:r>
          </w:p>
        </w:tc>
      </w:tr>
      <w:tr>
        <w:tc>
          <w:tcPr>
            <w:tcW w:type="dxa" w:w="5040"/>
          </w:tcPr>
          <w:p>
            <w:r>
              <w:t>RSI</w:t>
            </w:r>
          </w:p>
        </w:tc>
        <w:tc>
          <w:tcPr>
            <w:tcW w:type="dxa" w:w="5040"/>
          </w:tcPr>
          <w:p>
            <w:r>
              <w:t>20%</w:t>
            </w:r>
          </w:p>
        </w:tc>
      </w:tr>
      <w:tr>
        <w:tc>
          <w:tcPr>
            <w:tcW w:type="dxa" w:w="5040"/>
          </w:tcPr>
          <w:p>
            <w:r>
              <w:t>Support/Resistance</w:t>
            </w:r>
          </w:p>
        </w:tc>
        <w:tc>
          <w:tcPr>
            <w:tcW w:type="dxa" w:w="5040"/>
          </w:tcPr>
          <w:p>
            <w:r>
              <w:t>15%</w:t>
            </w:r>
          </w:p>
        </w:tc>
      </w:tr>
      <w:tr>
        <w:tc>
          <w:tcPr>
            <w:tcW w:type="dxa" w:w="5040"/>
          </w:tcPr>
          <w:p>
            <w:r>
              <w:t>Volatility</w:t>
            </w:r>
          </w:p>
        </w:tc>
        <w:tc>
          <w:tcPr>
            <w:tcW w:type="dxa" w:w="5040"/>
          </w:tcPr>
          <w:p>
            <w:r>
              <w:t>10%</w:t>
            </w:r>
          </w:p>
        </w:tc>
      </w:tr>
      <w:tr>
        <w:tc>
          <w:tcPr>
            <w:tcW w:type="dxa" w:w="5040"/>
          </w:tcPr>
          <w:p>
            <w:r>
              <w:t>Market Conditions</w:t>
            </w:r>
          </w:p>
        </w:tc>
        <w:tc>
          <w:tcPr>
            <w:tcW w:type="dxa" w:w="5040"/>
          </w:tcPr>
          <w:p>
            <w:r>
              <w:t>10%</w:t>
            </w:r>
          </w:p>
        </w:tc>
      </w:tr>
    </w:tbl>
    <w:p>
      <w:r>
        <w:t>The weights should be optimized only after out-of-sample historical validation.</w:t>
      </w:r>
    </w:p>
    <w:p>
      <w:pPr>
        <w:pStyle w:val="Heading1"/>
      </w:pPr>
      <w:r>
        <w:t>16. Fundamental Opportunity Score</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Initial Weight</w:t>
            </w:r>
          </w:p>
        </w:tc>
      </w:tr>
      <w:tr>
        <w:tc>
          <w:tcPr>
            <w:tcW w:type="dxa" w:w="5040"/>
          </w:tcPr>
          <w:p>
            <w:r>
              <w:t>Valuation</w:t>
            </w:r>
          </w:p>
        </w:tc>
        <w:tc>
          <w:tcPr>
            <w:tcW w:type="dxa" w:w="5040"/>
          </w:tcPr>
          <w:p>
            <w:r>
              <w:t>25%</w:t>
            </w:r>
          </w:p>
        </w:tc>
      </w:tr>
      <w:tr>
        <w:tc>
          <w:tcPr>
            <w:tcW w:type="dxa" w:w="5040"/>
          </w:tcPr>
          <w:p>
            <w:r>
              <w:t>Growth</w:t>
            </w:r>
          </w:p>
        </w:tc>
        <w:tc>
          <w:tcPr>
            <w:tcW w:type="dxa" w:w="5040"/>
          </w:tcPr>
          <w:p>
            <w:r>
              <w:t>25%</w:t>
            </w:r>
          </w:p>
        </w:tc>
      </w:tr>
      <w:tr>
        <w:tc>
          <w:tcPr>
            <w:tcW w:type="dxa" w:w="5040"/>
          </w:tcPr>
          <w:p>
            <w:r>
              <w:t>Business Quality</w:t>
            </w:r>
          </w:p>
        </w:tc>
        <w:tc>
          <w:tcPr>
            <w:tcW w:type="dxa" w:w="5040"/>
          </w:tcPr>
          <w:p>
            <w:r>
              <w:t>20%</w:t>
            </w:r>
          </w:p>
        </w:tc>
      </w:tr>
      <w:tr>
        <w:tc>
          <w:tcPr>
            <w:tcW w:type="dxa" w:w="5040"/>
          </w:tcPr>
          <w:p>
            <w:r>
              <w:t>Financial Strength</w:t>
            </w:r>
          </w:p>
        </w:tc>
        <w:tc>
          <w:tcPr>
            <w:tcW w:type="dxa" w:w="5040"/>
          </w:tcPr>
          <w:p>
            <w:r>
              <w:t>15%</w:t>
            </w:r>
          </w:p>
        </w:tc>
      </w:tr>
      <w:tr>
        <w:tc>
          <w:tcPr>
            <w:tcW w:type="dxa" w:w="5040"/>
          </w:tcPr>
          <w:p>
            <w:r>
              <w:t>Future Catalysts</w:t>
            </w:r>
          </w:p>
        </w:tc>
        <w:tc>
          <w:tcPr>
            <w:tcW w:type="dxa" w:w="5040"/>
          </w:tcPr>
          <w:p>
            <w:r>
              <w:t>15%</w:t>
            </w:r>
          </w:p>
        </w:tc>
      </w:tr>
    </w:tbl>
    <w:p>
      <w:pPr>
        <w:pStyle w:val="Heading1"/>
      </w:pPr>
      <w:r>
        <w:t>17. Expected Return Engine</w:t>
      </w:r>
    </w:p>
    <w:p>
      <w:r>
        <w:t>The central long-term question is not “Will the stock go up?” but “What is the probability-weighted future value relative to today's price?”</w:t>
      </w:r>
    </w:p>
    <w:p>
      <w:r>
        <w:t>Expected Future Price = Σ (Scenario Probability × Scenario Future Price)</w:t>
      </w:r>
    </w:p>
    <w:p>
      <w:r>
        <w:t>Expected Return = Expected Future Price / Current Price − 1</w:t>
      </w:r>
    </w:p>
    <w:p>
      <w:r>
        <w:t>Example: Bear 20% × $210 + Base 55% × $320 + Bull 25% × $400 = $326 expected price. At $256, expected return ≈ 27%.</w:t>
      </w:r>
    </w:p>
    <w:p>
      <w:pPr>
        <w:pStyle w:val="Heading1"/>
      </w:pPr>
      <w:r>
        <w:t>18. Risk / Reward Engine</w:t>
      </w:r>
    </w:p>
    <w:p>
      <w:pPr>
        <w:pStyle w:val="ListBullet"/>
      </w:pPr>
      <w:r>
        <w:t>Expected upside = expected/fair value − current price</w:t>
      </w:r>
    </w:p>
    <w:p>
      <w:pPr>
        <w:pStyle w:val="ListBullet"/>
      </w:pPr>
      <w:r>
        <w:t>Downside = current price − thesis-invalidation or realistic support level</w:t>
      </w:r>
    </w:p>
    <w:p>
      <w:pPr>
        <w:pStyle w:val="ListBullet"/>
      </w:pPr>
      <w:r>
        <w:t>Risk/reward = expected upside / expected downside</w:t>
      </w:r>
    </w:p>
    <w:p>
      <w:pPr>
        <w:pStyle w:val="ListBullet"/>
      </w:pPr>
      <w:r>
        <w:t>Calculate risk/reward for the current price and alternative entry prices</w:t>
      </w:r>
    </w:p>
    <w:p>
      <w:pPr>
        <w:pStyle w:val="ListBullet"/>
      </w:pPr>
      <w:r>
        <w:t>Use ATR and volatility to avoid unrealistic downside assumptions</w:t>
      </w:r>
    </w:p>
    <w:p>
      <w:pPr>
        <w:pStyle w:val="ListBullet"/>
      </w:pPr>
      <w:r>
        <w:t>Separate thesis invalidation from an arbitrary trading stop</w:t>
      </w:r>
    </w:p>
    <w:p>
      <w:pPr>
        <w:pStyle w:val="ListBullet"/>
      </w:pPr>
      <w:r>
        <w:t>&gt;2.0 → initial BUY territory</w:t>
      </w:r>
    </w:p>
    <w:p>
      <w:pPr>
        <w:pStyle w:val="ListBullet"/>
      </w:pPr>
      <w:r>
        <w:t>1.3–2.0 → ACCUMULATE</w:t>
      </w:r>
    </w:p>
    <w:p>
      <w:pPr>
        <w:pStyle w:val="ListBullet"/>
      </w:pPr>
      <w:r>
        <w:t>0.8–1.3 → WAIT</w:t>
      </w:r>
    </w:p>
    <w:p>
      <w:pPr>
        <w:pStyle w:val="ListBullet"/>
      </w:pPr>
      <w:r>
        <w:t>&lt;0.8 → AVOID</w:t>
      </w:r>
    </w:p>
    <w:p>
      <w:pPr>
        <w:pStyle w:val="Heading1"/>
      </w:pPr>
      <w:r>
        <w:t>19. Catalyst &amp; Event Engine</w:t>
      </w:r>
    </w:p>
    <w:p>
      <w:pPr>
        <w:pStyle w:val="ListBullet"/>
      </w:pPr>
      <w:r>
        <w:t>Next earnings date</w:t>
      </w:r>
    </w:p>
    <w:p>
      <w:pPr>
        <w:pStyle w:val="ListBullet"/>
      </w:pPr>
      <w:r>
        <w:t>Historical earnings surprises</w:t>
      </w:r>
    </w:p>
    <w:p>
      <w:pPr>
        <w:pStyle w:val="ListBullet"/>
      </w:pPr>
      <w:r>
        <w:t>Revenue/EPS estimates</w:t>
      </w:r>
    </w:p>
    <w:p>
      <w:pPr>
        <w:pStyle w:val="ListBullet"/>
      </w:pPr>
      <w:r>
        <w:t>Estimate revisions</w:t>
      </w:r>
    </w:p>
    <w:p>
      <w:pPr>
        <w:pStyle w:val="ListBullet"/>
      </w:pPr>
      <w:r>
        <w:t>Guidance changes</w:t>
      </w:r>
    </w:p>
    <w:p>
      <w:pPr>
        <w:pStyle w:val="ListBullet"/>
      </w:pPr>
      <w:r>
        <w:t>Product launches</w:t>
      </w:r>
    </w:p>
    <w:p>
      <w:pPr>
        <w:pStyle w:val="ListBullet"/>
      </w:pPr>
      <w:r>
        <w:t>Regulatory/FDA events where relevant</w:t>
      </w:r>
    </w:p>
    <w:p>
      <w:pPr>
        <w:pStyle w:val="ListBullet"/>
      </w:pPr>
      <w:r>
        <w:t>M&amp;A</w:t>
      </w:r>
    </w:p>
    <w:p>
      <w:pPr>
        <w:pStyle w:val="ListBullet"/>
      </w:pPr>
      <w:r>
        <w:t>Insider transactions</w:t>
      </w:r>
    </w:p>
    <w:p>
      <w:pPr>
        <w:pStyle w:val="ListBullet"/>
      </w:pPr>
      <w:r>
        <w:t>Buybacks</w:t>
      </w:r>
    </w:p>
    <w:p>
      <w:pPr>
        <w:pStyle w:val="ListBullet"/>
      </w:pPr>
      <w:r>
        <w:t>Dividend changes</w:t>
      </w:r>
    </w:p>
    <w:p>
      <w:pPr>
        <w:pStyle w:val="ListBullet"/>
      </w:pPr>
      <w:r>
        <w:t>Known macro or industry catalysts</w:t>
      </w:r>
    </w:p>
    <w:p>
      <w:r>
        <w:t>Catalysts should be evaluated for both direction and probability. A catalyst without a credible mechanism for changing future cash flows should not receive excessive weight.</w:t>
      </w:r>
    </w:p>
    <w:p>
      <w:pPr>
        <w:pStyle w:val="Heading1"/>
      </w:pPr>
      <w:r>
        <w:t>20. Market, Sector &amp; Regime Engine</w:t>
      </w:r>
    </w:p>
    <w:p>
      <w:pPr>
        <w:pStyle w:val="ListBullet"/>
      </w:pPr>
      <w:r>
        <w:t>Broad-market trend</w:t>
      </w:r>
    </w:p>
    <w:p>
      <w:pPr>
        <w:pStyle w:val="ListBullet"/>
      </w:pPr>
      <w:r>
        <w:t>Sector trend</w:t>
      </w:r>
    </w:p>
    <w:p>
      <w:pPr>
        <w:pStyle w:val="ListBullet"/>
      </w:pPr>
      <w:r>
        <w:t>Industry trend</w:t>
      </w:r>
    </w:p>
    <w:p>
      <w:pPr>
        <w:pStyle w:val="ListBullet"/>
      </w:pPr>
      <w:r>
        <w:t>Interest-rate environment</w:t>
      </w:r>
    </w:p>
    <w:p>
      <w:pPr>
        <w:pStyle w:val="ListBullet"/>
      </w:pPr>
      <w:r>
        <w:t>VIX / volatility regime</w:t>
      </w:r>
    </w:p>
    <w:p>
      <w:pPr>
        <w:pStyle w:val="ListBullet"/>
      </w:pPr>
      <w:r>
        <w:t>Economic-cycle regime</w:t>
      </w:r>
    </w:p>
    <w:p>
      <w:pPr>
        <w:pStyle w:val="ListBullet"/>
      </w:pPr>
      <w:r>
        <w:t>Sector rotation</w:t>
      </w:r>
    </w:p>
    <w:p>
      <w:pPr>
        <w:pStyle w:val="ListBullet"/>
      </w:pPr>
      <w:r>
        <w:t>Market breadth</w:t>
      </w:r>
    </w:p>
    <w:p>
      <w:pPr>
        <w:pStyle w:val="ListBullet"/>
      </w:pPr>
      <w:r>
        <w:t>Risk-on / risk-off regime</w:t>
      </w:r>
    </w:p>
    <w:p>
      <w:r>
        <w:t>The same stock setup can have different expected outcomes under different market and sector regimes. Regime variables should therefore modify, not completely replace, company-specific analysis.</w:t>
      </w:r>
    </w:p>
    <w:p>
      <w:pPr>
        <w:pStyle w:val="Heading1"/>
      </w:pPr>
      <w:r>
        <w:t>21. Combined Investment Score</w:t>
      </w:r>
    </w:p>
    <w:p>
      <w:r>
        <w:t>Initial model:</w:t>
      </w:r>
    </w:p>
    <w:p>
      <w:r>
        <w:t>Investment Score = 0.70 × Fundamental Opportunity Score + 0.30 × Entry Score</w:t>
      </w:r>
    </w:p>
    <w:p>
      <w:r>
        <w:t>This preserves the fundamental-first philosophy for a long-term investor while allowing technical and market conditions to influence the timing decision. The 70/30 split is a starting hypothesis and must be validated through backtesting.</w:t>
      </w:r>
    </w:p>
    <w:p>
      <w:r>
        <w:t>Do not collapse every variable into one opaque score too early. Retain the component scores and hard constraints so the system can explain why a decision was produced.</w:t>
      </w:r>
    </w:p>
    <w:p>
      <w:pPr>
        <w:pStyle w:val="Heading1"/>
      </w:pPr>
      <w:r>
        <w:t>22. Decision Engine</w:t>
      </w:r>
    </w:p>
    <w:tbl>
      <w:tblPr>
        <w:tblStyle w:val="TableGrid"/>
        <w:tblW w:type="auto" w:w="0"/>
        <w:jc w:val="center"/>
        <w:tblLook w:firstColumn="1" w:firstRow="1" w:lastColumn="0" w:lastRow="0" w:noHBand="0" w:noVBand="1" w:val="04A0"/>
      </w:tblPr>
      <w:tblGrid>
        <w:gridCol w:w="5040"/>
        <w:gridCol w:w="5040"/>
      </w:tblGrid>
      <w:tr>
        <w:tc>
          <w:tcPr>
            <w:tcW w:type="dxa" w:w="5040"/>
          </w:tcPr>
          <w:p>
            <w:r>
              <w:t>Decision</w:t>
            </w:r>
          </w:p>
        </w:tc>
        <w:tc>
          <w:tcPr>
            <w:tcW w:type="dxa" w:w="5040"/>
          </w:tcPr>
          <w:p>
            <w:r>
              <w:t>Typical Conditions</w:t>
            </w:r>
          </w:p>
        </w:tc>
      </w:tr>
      <w:tr>
        <w:tc>
          <w:tcPr>
            <w:tcW w:type="dxa" w:w="5040"/>
          </w:tcPr>
          <w:p>
            <w:r>
              <w:t>BUY</w:t>
            </w:r>
          </w:p>
        </w:tc>
        <w:tc>
          <w:tcPr>
            <w:tcW w:type="dxa" w:w="5040"/>
          </w:tcPr>
          <w:p>
            <w:r>
              <w:t>Strong business/fundamentals; attractive valuation; sufficient expected return; acceptable downside; good entry.</w:t>
            </w:r>
          </w:p>
        </w:tc>
      </w:tr>
      <w:tr>
        <w:tc>
          <w:tcPr>
            <w:tcW w:type="dxa" w:w="5040"/>
          </w:tcPr>
          <w:p>
            <w:r>
              <w:t>ACCUMULATE</w:t>
            </w:r>
          </w:p>
        </w:tc>
        <w:tc>
          <w:tcPr>
            <w:tcW w:type="dxa" w:w="5040"/>
          </w:tcPr>
          <w:p>
            <w:r>
              <w:t>Strong long-term opportunity but current entry is acceptable rather than exceptional; gradual buying is appropriate.</w:t>
            </w:r>
          </w:p>
        </w:tc>
      </w:tr>
      <w:tr>
        <w:tc>
          <w:tcPr>
            <w:tcW w:type="dxa" w:w="5040"/>
          </w:tcPr>
          <w:p>
            <w:r>
              <w:t>BUY ON PULLBACK</w:t>
            </w:r>
          </w:p>
        </w:tc>
        <w:tc>
          <w:tcPr>
            <w:tcW w:type="dxa" w:w="5040"/>
          </w:tcPr>
          <w:p>
            <w:r>
              <w:t>Strong valuation/fundamentals but current technical risk/reward is not optimal.</w:t>
            </w:r>
          </w:p>
        </w:tc>
      </w:tr>
      <w:tr>
        <w:tc>
          <w:tcPr>
            <w:tcW w:type="dxa" w:w="5040"/>
          </w:tcPr>
          <w:p>
            <w:r>
              <w:t>WAIT</w:t>
            </w:r>
          </w:p>
        </w:tc>
        <w:tc>
          <w:tcPr>
            <w:tcW w:type="dxa" w:w="5040"/>
          </w:tcPr>
          <w:p>
            <w:r>
              <w:t>Good company but valuation, expected return, entry, or risk/reward is insufficient.</w:t>
            </w:r>
          </w:p>
        </w:tc>
      </w:tr>
      <w:tr>
        <w:tc>
          <w:tcPr>
            <w:tcW w:type="dxa" w:w="5040"/>
          </w:tcPr>
          <w:p>
            <w:r>
              <w:t>AVOID</w:t>
            </w:r>
          </w:p>
        </w:tc>
        <w:tc>
          <w:tcPr>
            <w:tcW w:type="dxa" w:w="5040"/>
          </w:tcPr>
          <w:p>
            <w:r>
              <w:t>Weak fundamentals, poor valuation, poor risk/reward, or significant value-trap characteristics.</w:t>
            </w:r>
          </w:p>
        </w:tc>
      </w:tr>
      <w:tr>
        <w:tc>
          <w:tcPr>
            <w:tcW w:type="dxa" w:w="5040"/>
          </w:tcPr>
          <w:p>
            <w:r>
              <w:t>REDUCE</w:t>
            </w:r>
          </w:p>
        </w:tc>
        <w:tc>
          <w:tcPr>
            <w:tcW w:type="dxa" w:w="5040"/>
          </w:tcPr>
          <w:p>
            <w:r>
              <w:t>Position remains viable but valuation/risk has worsened or expected return is no longer sufficient.</w:t>
            </w:r>
          </w:p>
        </w:tc>
      </w:tr>
      <w:tr>
        <w:tc>
          <w:tcPr>
            <w:tcW w:type="dxa" w:w="5040"/>
          </w:tcPr>
          <w:p>
            <w:r>
              <w:t>SELL</w:t>
            </w:r>
          </w:p>
        </w:tc>
        <w:tc>
          <w:tcPr>
            <w:tcW w:type="dxa" w:w="5040"/>
          </w:tcPr>
          <w:p>
            <w:r>
              <w:t>Thesis invalidated, material fundamental deterioration, excessive valuation, or risk no longer justified.</w:t>
            </w:r>
          </w:p>
        </w:tc>
      </w:tr>
    </w:tbl>
    <w:p>
      <w:pPr>
        <w:pStyle w:val="Heading1"/>
      </w:pPr>
      <w:r>
        <w:t>23. Sell / Reduce Logic</w:t>
      </w:r>
    </w:p>
    <w:p>
      <w:pPr>
        <w:pStyle w:val="Heading2"/>
      </w:pPr>
      <w:r>
        <w:t>Fundamental Deterioration</w:t>
      </w:r>
    </w:p>
    <w:p>
      <w:pPr>
        <w:pStyle w:val="ListBullet"/>
      </w:pPr>
      <w:r>
        <w:t>Revenue slowdown</w:t>
      </w:r>
    </w:p>
    <w:p>
      <w:pPr>
        <w:pStyle w:val="ListBullet"/>
      </w:pPr>
      <w:r>
        <w:t>Margin compression</w:t>
      </w:r>
    </w:p>
    <w:p>
      <w:pPr>
        <w:pStyle w:val="ListBullet"/>
      </w:pPr>
      <w:r>
        <w:t>EPS deterioration</w:t>
      </w:r>
    </w:p>
    <w:p>
      <w:pPr>
        <w:pStyle w:val="ListBullet"/>
      </w:pPr>
      <w:r>
        <w:t>FCF deterioration</w:t>
      </w:r>
    </w:p>
    <w:p>
      <w:pPr>
        <w:pStyle w:val="ListBullet"/>
      </w:pPr>
      <w:r>
        <w:t>Debt deterioration</w:t>
      </w:r>
    </w:p>
    <w:p>
      <w:pPr>
        <w:pStyle w:val="ListBullet"/>
      </w:pPr>
      <w:r>
        <w:t>ROIC decline</w:t>
      </w:r>
    </w:p>
    <w:p>
      <w:pPr>
        <w:pStyle w:val="Heading2"/>
      </w:pPr>
      <w:r>
        <w:t>Valuation</w:t>
      </w:r>
    </w:p>
    <w:p>
      <w:pPr>
        <w:pStyle w:val="ListBullet"/>
      </w:pPr>
      <w:r>
        <w:t>Price materially above defensible fair value</w:t>
      </w:r>
    </w:p>
    <w:p>
      <w:pPr>
        <w:pStyle w:val="ListBullet"/>
      </w:pPr>
      <w:r>
        <w:t>Multiple expansion unsupported by earnings/cash flow</w:t>
      </w:r>
    </w:p>
    <w:p>
      <w:pPr>
        <w:pStyle w:val="ListBullet"/>
      </w:pPr>
      <w:r>
        <w:t>Risk/reward becomes unattractive</w:t>
      </w:r>
    </w:p>
    <w:p>
      <w:pPr>
        <w:pStyle w:val="Heading2"/>
      </w:pPr>
      <w:r>
        <w:t>Technical</w:t>
      </w:r>
    </w:p>
    <w:p>
      <w:pPr>
        <w:pStyle w:val="ListBullet"/>
      </w:pPr>
      <w:r>
        <w:t>Trend reversal</w:t>
      </w:r>
    </w:p>
    <w:p>
      <w:pPr>
        <w:pStyle w:val="ListBullet"/>
      </w:pPr>
      <w:r>
        <w:t>Major moving-average breakdown</w:t>
      </w:r>
    </w:p>
    <w:p>
      <w:pPr>
        <w:pStyle w:val="ListBullet"/>
      </w:pPr>
      <w:r>
        <w:t>Lower highs/lower lows</w:t>
      </w:r>
    </w:p>
    <w:p>
      <w:pPr>
        <w:pStyle w:val="ListBullet"/>
      </w:pPr>
      <w:r>
        <w:t>Major support failure</w:t>
      </w:r>
    </w:p>
    <w:p>
      <w:pPr>
        <w:pStyle w:val="ListBullet"/>
      </w:pPr>
      <w:r>
        <w:t>Heavy-volume selling</w:t>
      </w:r>
    </w:p>
    <w:p>
      <w:pPr>
        <w:pStyle w:val="ListBullet"/>
      </w:pPr>
      <w:r>
        <w:t>Relative-strength deterioration</w:t>
      </w:r>
    </w:p>
    <w:p>
      <w:pPr>
        <w:pStyle w:val="Heading2"/>
      </w:pPr>
      <w:r>
        <w:t>Thesis Invalidation</w:t>
      </w:r>
    </w:p>
    <w:p>
      <w:pPr>
        <w:pStyle w:val="ListBullet"/>
      </w:pPr>
      <w:r>
        <w:t>Original investment thesis is no longer valid</w:t>
      </w:r>
    </w:p>
    <w:p>
      <w:pPr>
        <w:pStyle w:val="ListBullet"/>
      </w:pPr>
      <w:r>
        <w:t>Negative event materially changes future economics</w:t>
      </w:r>
    </w:p>
    <w:p>
      <w:pPr>
        <w:pStyle w:val="ListBullet"/>
      </w:pPr>
      <w:r>
        <w:t>Probability-adjusted expected return no longer justifies risk</w:t>
      </w:r>
    </w:p>
    <w:p>
      <w:r>
        <w:t>A single RSI, MACD signal, or moving-average cross should not independently trigger a sell.</w:t>
      </w:r>
    </w:p>
    <w:p>
      <w:pPr>
        <w:pStyle w:val="Heading1"/>
      </w:pPr>
      <w:r>
        <w:t>24. Position-Aware Decision Making</w:t>
      </w:r>
    </w:p>
    <w:p>
      <w:r>
        <w:t>The decision should differ depending on whether the user owns the stock. A new buyer and an existing holder face different decisions.</w:t>
      </w:r>
    </w:p>
    <w:p>
      <w:pPr>
        <w:pStyle w:val="ListBullet"/>
      </w:pPr>
      <w:r>
        <w:t>No position → BUY / ACCUMULATE / WAIT / AVOID</w:t>
      </w:r>
    </w:p>
    <w:p>
      <w:pPr>
        <w:pStyle w:val="ListBullet"/>
      </w:pPr>
      <w:r>
        <w:t>Existing position below fair value → HOLD / ACCUMULATE depending on thesis and risk</w:t>
      </w:r>
    </w:p>
    <w:p>
      <w:pPr>
        <w:pStyle w:val="ListBullet"/>
      </w:pPr>
      <w:r>
        <w:t>Existing position near fair value → HOLD / REDUCE depending on alternatives</w:t>
      </w:r>
    </w:p>
    <w:p>
      <w:pPr>
        <w:pStyle w:val="ListBullet"/>
      </w:pPr>
      <w:r>
        <w:t>Existing position materially above fair value → REDUCE / SELL if expected return is insufficient</w:t>
      </w:r>
    </w:p>
    <w:p>
      <w:pPr>
        <w:pStyle w:val="ListBullet"/>
      </w:pPr>
      <w:r>
        <w:t>Thesis invalidated → SELL regardless of short-term technical appearance</w:t>
      </w:r>
    </w:p>
    <w:p>
      <w:pPr>
        <w:pStyle w:val="Heading1"/>
      </w:pPr>
      <w:r>
        <w:t>25. Explainability Requirements</w:t>
      </w:r>
    </w:p>
    <w:p>
      <w:r>
        <w:t>The algorithm should never return only “BUY.” It should explain the decision.</w:t>
      </w:r>
    </w:p>
    <w:p>
      <w:pPr>
        <w:pStyle w:val="ListBullet"/>
      </w:pPr>
      <w:r>
        <w:t>Final decision and confidence</w:t>
      </w:r>
    </w:p>
    <w:p>
      <w:pPr>
        <w:pStyle w:val="ListBullet"/>
      </w:pPr>
      <w:r>
        <w:t>Current price</w:t>
      </w:r>
    </w:p>
    <w:p>
      <w:pPr>
        <w:pStyle w:val="ListBullet"/>
      </w:pPr>
      <w:r>
        <w:t>Fair-value range</w:t>
      </w:r>
    </w:p>
    <w:p>
      <w:pPr>
        <w:pStyle w:val="ListBullet"/>
      </w:pPr>
      <w:r>
        <w:t>Probability-weighted fair value</w:t>
      </w:r>
    </w:p>
    <w:p>
      <w:pPr>
        <w:pStyle w:val="ListBullet"/>
      </w:pPr>
      <w:r>
        <w:t>Margin of safety</w:t>
      </w:r>
    </w:p>
    <w:p>
      <w:pPr>
        <w:pStyle w:val="ListBullet"/>
      </w:pPr>
      <w:r>
        <w:t>Expected return</w:t>
      </w:r>
    </w:p>
    <w:p>
      <w:pPr>
        <w:pStyle w:val="ListBullet"/>
      </w:pPr>
      <w:r>
        <w:t>Expected downside</w:t>
      </w:r>
    </w:p>
    <w:p>
      <w:pPr>
        <w:pStyle w:val="ListBullet"/>
      </w:pPr>
      <w:r>
        <w:t>Risk/reward</w:t>
      </w:r>
    </w:p>
    <w:p>
      <w:pPr>
        <w:pStyle w:val="ListBullet"/>
      </w:pPr>
      <w:r>
        <w:t>Business Quality score</w:t>
      </w:r>
    </w:p>
    <w:p>
      <w:pPr>
        <w:pStyle w:val="ListBullet"/>
      </w:pPr>
      <w:r>
        <w:t>Growth score</w:t>
      </w:r>
    </w:p>
    <w:p>
      <w:pPr>
        <w:pStyle w:val="ListBullet"/>
      </w:pPr>
      <w:r>
        <w:t>Financial Strength score</w:t>
      </w:r>
    </w:p>
    <w:p>
      <w:pPr>
        <w:pStyle w:val="ListBullet"/>
      </w:pPr>
      <w:r>
        <w:t>Valuation score</w:t>
      </w:r>
    </w:p>
    <w:p>
      <w:pPr>
        <w:pStyle w:val="ListBullet"/>
      </w:pPr>
      <w:r>
        <w:t>Technical score</w:t>
      </w:r>
    </w:p>
    <w:p>
      <w:pPr>
        <w:pStyle w:val="ListBullet"/>
      </w:pPr>
      <w:r>
        <w:t>Entry score</w:t>
      </w:r>
    </w:p>
    <w:p>
      <w:pPr>
        <w:pStyle w:val="ListBullet"/>
      </w:pPr>
      <w:r>
        <w:t>Catalyst score</w:t>
      </w:r>
    </w:p>
    <w:p>
      <w:pPr>
        <w:pStyle w:val="ListBullet"/>
      </w:pPr>
      <w:r>
        <w:t>Market-regime assessment</w:t>
      </w:r>
    </w:p>
    <w:p>
      <w:pPr>
        <w:pStyle w:val="ListBullet"/>
      </w:pPr>
      <w:r>
        <w:t>Strongest positive factors</w:t>
      </w:r>
    </w:p>
    <w:p>
      <w:pPr>
        <w:pStyle w:val="ListBullet"/>
      </w:pPr>
      <w:r>
        <w:t>Strongest risks</w:t>
      </w:r>
    </w:p>
    <w:p>
      <w:pPr>
        <w:pStyle w:val="ListBullet"/>
      </w:pPr>
      <w:r>
        <w:t>Preferred entry range</w:t>
      </w:r>
    </w:p>
    <w:p>
      <w:pPr>
        <w:pStyle w:val="ListBullet"/>
      </w:pPr>
      <w:r>
        <w:t>Thesis-invalidation level</w:t>
      </w:r>
    </w:p>
    <w:p>
      <w:pPr>
        <w:pStyle w:val="ListBullet"/>
      </w:pPr>
      <w:r>
        <w:t>Conditions that would change the recommendation</w:t>
      </w:r>
    </w:p>
    <w:p>
      <w:pPr>
        <w:pStyle w:val="Heading1"/>
      </w:pPr>
      <w:r>
        <w:t>26. Example Analyst-Style Output</w:t>
      </w:r>
    </w:p>
    <w:p>
      <w:pPr>
        <w:pStyle w:val="ListBullet"/>
      </w:pPr>
      <w:r>
        <w:t>Ticker: AMZN</w:t>
      </w:r>
    </w:p>
    <w:p>
      <w:pPr>
        <w:pStyle w:val="ListBullet"/>
      </w:pPr>
      <w:r>
        <w:t>Decision: ACCUMULATE</w:t>
      </w:r>
    </w:p>
    <w:p>
      <w:pPr>
        <w:pStyle w:val="ListBullet"/>
      </w:pPr>
      <w:r>
        <w:t>Overall Score: 83/100</w:t>
      </w:r>
    </w:p>
    <w:p>
      <w:pPr>
        <w:pStyle w:val="ListBullet"/>
      </w:pPr>
      <w:r>
        <w:t>Business Quality: 88/100</w:t>
      </w:r>
    </w:p>
    <w:p>
      <w:pPr>
        <w:pStyle w:val="ListBullet"/>
      </w:pPr>
      <w:r>
        <w:t>Growth: 93/100</w:t>
      </w:r>
    </w:p>
    <w:p>
      <w:pPr>
        <w:pStyle w:val="ListBullet"/>
      </w:pPr>
      <w:r>
        <w:t>Valuation: 76/100</w:t>
      </w:r>
    </w:p>
    <w:p>
      <w:pPr>
        <w:pStyle w:val="ListBullet"/>
      </w:pPr>
      <w:r>
        <w:t>Financial Strength: 82/100</w:t>
      </w:r>
    </w:p>
    <w:p>
      <w:pPr>
        <w:pStyle w:val="ListBullet"/>
      </w:pPr>
      <w:r>
        <w:t>Future Potential: 91/100</w:t>
      </w:r>
    </w:p>
    <w:p>
      <w:pPr>
        <w:pStyle w:val="ListBullet"/>
      </w:pPr>
      <w:r>
        <w:t>Entry Timing: 65/100</w:t>
      </w:r>
    </w:p>
    <w:p>
      <w:pPr>
        <w:pStyle w:val="ListBullet"/>
      </w:pPr>
      <w:r>
        <w:t>Risk: Medium</w:t>
      </w:r>
    </w:p>
    <w:p>
      <w:pPr>
        <w:pStyle w:val="ListBullet"/>
      </w:pPr>
      <w:r>
        <w:t>Intrinsic Value: $300–330</w:t>
      </w:r>
    </w:p>
    <w:p>
      <w:pPr>
        <w:pStyle w:val="ListBullet"/>
      </w:pPr>
      <w:r>
        <w:t>Current Price: $256</w:t>
      </w:r>
    </w:p>
    <w:p>
      <w:pPr>
        <w:pStyle w:val="ListBullet"/>
      </w:pPr>
      <w:r>
        <w:t>Estimated Upside: +17% to +29%</w:t>
      </w:r>
    </w:p>
    <w:p>
      <w:pPr>
        <w:pStyle w:val="ListBullet"/>
      </w:pPr>
      <w:r>
        <w:t>Preferred action: Accumulate rather than aggressive BUY</w:t>
      </w:r>
    </w:p>
    <w:p>
      <w:pPr>
        <w:pStyle w:val="ListBullet"/>
      </w:pPr>
      <w:r>
        <w:t>Positive factors: strong growth, AWS growth, margin expansion, high ROE, strong operating cash flow</w:t>
      </w:r>
    </w:p>
    <w:p>
      <w:pPr>
        <w:pStyle w:val="ListBullet"/>
      </w:pPr>
      <w:r>
        <w:t>Risks: high AI infrastructure spending, potentially weak near-term FCF, valuation not cheap on every metric, execution risk, non-exceptional technical entry</w:t>
      </w:r>
    </w:p>
    <w:p>
      <w:pPr>
        <w:pStyle w:val="Heading1"/>
      </w:pPr>
      <w:r>
        <w:t>27. Development Roadmap</w:t>
      </w:r>
    </w:p>
    <w:p>
      <w:pPr>
        <w:pStyle w:val="Heading2"/>
      </w:pPr>
      <w:r>
        <w:t>Version 1 — Rule-Based Quantitative Engine</w:t>
      </w:r>
    </w:p>
    <w:p>
      <w:pPr>
        <w:pStyle w:val="ListBullet"/>
      </w:pPr>
      <w:r>
        <w:t>Collect and normalize financial, valuation, technical and market data</w:t>
      </w:r>
    </w:p>
    <w:p>
      <w:pPr>
        <w:pStyle w:val="ListBullet"/>
      </w:pPr>
      <w:r>
        <w:t>Calculate component scores</w:t>
      </w:r>
    </w:p>
    <w:p>
      <w:pPr>
        <w:pStyle w:val="ListBullet"/>
      </w:pPr>
      <w:r>
        <w:t>Calculate fair value and expected return</w:t>
      </w:r>
    </w:p>
    <w:p>
      <w:pPr>
        <w:pStyle w:val="ListBullet"/>
      </w:pPr>
      <w:r>
        <w:t>Calculate risk/reward</w:t>
      </w:r>
    </w:p>
    <w:p>
      <w:pPr>
        <w:pStyle w:val="ListBullet"/>
      </w:pPr>
      <w:r>
        <w:t>Generate decision categories</w:t>
      </w:r>
    </w:p>
    <w:p>
      <w:pPr>
        <w:pStyle w:val="ListBullet"/>
      </w:pPr>
      <w:r>
        <w:t>Generate explanation</w:t>
      </w:r>
    </w:p>
    <w:p>
      <w:pPr>
        <w:pStyle w:val="Heading2"/>
      </w:pPr>
      <w:r>
        <w:t>Version 2 — Historical Backtesting</w:t>
      </w:r>
    </w:p>
    <w:p>
      <w:pPr>
        <w:pStyle w:val="ListBullet"/>
      </w:pPr>
      <w:r>
        <w:t>Build thousands of historical stock situations</w:t>
      </w:r>
    </w:p>
    <w:p>
      <w:pPr>
        <w:pStyle w:val="ListBullet"/>
      </w:pPr>
      <w:r>
        <w:t>Record all features available at the decision date</w:t>
      </w:r>
    </w:p>
    <w:p>
      <w:pPr>
        <w:pStyle w:val="ListBullet"/>
      </w:pPr>
      <w:r>
        <w:t>Measure 3-, 6-, 12-, 24- and 36-month forward outcomes</w:t>
      </w:r>
    </w:p>
    <w:p>
      <w:pPr>
        <w:pStyle w:val="ListBullet"/>
      </w:pPr>
      <w:r>
        <w:t>Measure forward return, maximum drawdown, volatility, probability of loss, and probability of exceeding target return</w:t>
      </w:r>
    </w:p>
    <w:p>
      <w:pPr>
        <w:pStyle w:val="ListBullet"/>
      </w:pPr>
      <w:r>
        <w:t>Calibrate thresholds and weights</w:t>
      </w:r>
    </w:p>
    <w:p>
      <w:pPr>
        <w:pStyle w:val="ListBullet"/>
      </w:pPr>
      <w:r>
        <w:t>Use walk-forward and out-of-sample validation</w:t>
      </w:r>
    </w:p>
    <w:p>
      <w:pPr>
        <w:pStyle w:val="Heading2"/>
      </w:pPr>
      <w:r>
        <w:t>Version 3 — Statistical / Machine Learning Layer</w:t>
      </w:r>
    </w:p>
    <w:p>
      <w:pPr>
        <w:pStyle w:val="ListBullet"/>
      </w:pPr>
      <w:r>
        <w:t>Predict probability of specified return thresholds</w:t>
      </w:r>
    </w:p>
    <w:p>
      <w:pPr>
        <w:pStyle w:val="ListBullet"/>
      </w:pPr>
      <w:r>
        <w:t>Predict expected return</w:t>
      </w:r>
    </w:p>
    <w:p>
      <w:pPr>
        <w:pStyle w:val="ListBullet"/>
      </w:pPr>
      <w:r>
        <w:t>Predict expected volatility</w:t>
      </w:r>
    </w:p>
    <w:p>
      <w:pPr>
        <w:pStyle w:val="ListBullet"/>
      </w:pPr>
      <w:r>
        <w:t>Predict maximum expected drawdown</w:t>
      </w:r>
    </w:p>
    <w:p>
      <w:pPr>
        <w:pStyle w:val="ListBullet"/>
      </w:pPr>
      <w:r>
        <w:t>Use ML as an evidence layer around the structured investment model rather than replacing the economic logic</w:t>
      </w:r>
    </w:p>
    <w:p>
      <w:pPr>
        <w:pStyle w:val="Heading2"/>
      </w:pPr>
      <w:r>
        <w:t>LLM / AI Layer</w:t>
      </w:r>
    </w:p>
    <w:p>
      <w:pPr>
        <w:pStyle w:val="ListBullet"/>
      </w:pPr>
      <w:r>
        <w:t>Read earnings reports and filings</w:t>
      </w:r>
    </w:p>
    <w:p>
      <w:pPr>
        <w:pStyle w:val="ListBullet"/>
      </w:pPr>
      <w:r>
        <w:t>Extract qualitative risks</w:t>
      </w:r>
    </w:p>
    <w:p>
      <w:pPr>
        <w:pStyle w:val="ListBullet"/>
      </w:pPr>
      <w:r>
        <w:t>Identify catalysts</w:t>
      </w:r>
    </w:p>
    <w:p>
      <w:pPr>
        <w:pStyle w:val="ListBullet"/>
      </w:pPr>
      <w:r>
        <w:t>Summarize management commentary</w:t>
      </w:r>
    </w:p>
    <w:p>
      <w:pPr>
        <w:pStyle w:val="ListBullet"/>
      </w:pPr>
      <w:r>
        <w:t>Compare business strategies</w:t>
      </w:r>
    </w:p>
    <w:p>
      <w:pPr>
        <w:pStyle w:val="ListBullet"/>
      </w:pPr>
      <w:r>
        <w:t>Interpret relevant news</w:t>
      </w:r>
    </w:p>
    <w:p>
      <w:pPr>
        <w:pStyle w:val="ListBullet"/>
      </w:pPr>
      <w:r>
        <w:t>Explain the numerical model's decision</w:t>
      </w:r>
    </w:p>
    <w:p>
      <w:pPr>
        <w:pStyle w:val="Heading1"/>
      </w:pPr>
      <w:r>
        <w:t>28. Backtesting Requirements</w:t>
      </w:r>
    </w:p>
    <w:p>
      <w:pPr>
        <w:pStyle w:val="ListBullet"/>
      </w:pPr>
      <w:r>
        <w:t>Avoid look-ahead bias</w:t>
      </w:r>
    </w:p>
    <w:p>
      <w:pPr>
        <w:pStyle w:val="ListBullet"/>
      </w:pPr>
      <w:r>
        <w:t>Use point-in-time financial data where possible</w:t>
      </w:r>
    </w:p>
    <w:p>
      <w:pPr>
        <w:pStyle w:val="ListBullet"/>
      </w:pPr>
      <w:r>
        <w:t>Account for delisted stocks and survivorship bias</w:t>
      </w:r>
    </w:p>
    <w:p>
      <w:pPr>
        <w:pStyle w:val="ListBullet"/>
      </w:pPr>
      <w:r>
        <w:t>Use adjusted prices correctly</w:t>
      </w:r>
    </w:p>
    <w:p>
      <w:pPr>
        <w:pStyle w:val="ListBullet"/>
      </w:pPr>
      <w:r>
        <w:t>Include transaction costs and realistic slippage</w:t>
      </w:r>
    </w:p>
    <w:p>
      <w:pPr>
        <w:pStyle w:val="ListBullet"/>
      </w:pPr>
      <w:r>
        <w:t>Separate training, validation, and out-of-sample periods</w:t>
      </w:r>
    </w:p>
    <w:p>
      <w:pPr>
        <w:pStyle w:val="ListBullet"/>
      </w:pPr>
      <w:r>
        <w:t>Use walk-forward validation for time-series decisions</w:t>
      </w:r>
    </w:p>
    <w:p>
      <w:pPr>
        <w:pStyle w:val="ListBullet"/>
      </w:pPr>
      <w:r>
        <w:t>Test across sectors, market regimes, and market-cap ranges</w:t>
      </w:r>
    </w:p>
    <w:p>
      <w:pPr>
        <w:pStyle w:val="ListBullet"/>
      </w:pPr>
      <w:r>
        <w:t>Evaluate calibration of predicted probabilities, not only returns</w:t>
      </w:r>
    </w:p>
    <w:p>
      <w:pPr>
        <w:pStyle w:val="Heading1"/>
      </w:pPr>
      <w:r>
        <w:t>29. Important Design Constraints</w:t>
      </w:r>
    </w:p>
    <w:p>
      <w:pPr>
        <w:pStyle w:val="ListBullet"/>
      </w:pPr>
      <w:r>
        <w:t>Do not use RSI &lt; 30 = BUY as a standalone rule.</w:t>
      </w:r>
    </w:p>
    <w:p>
      <w:pPr>
        <w:pStyle w:val="ListBullet"/>
      </w:pPr>
      <w:r>
        <w:t>Do not use P/E &lt; 15 = BUY as a standalone rule.</w:t>
      </w:r>
    </w:p>
    <w:p>
      <w:pPr>
        <w:pStyle w:val="ListBullet"/>
      </w:pPr>
      <w:r>
        <w:t>Do not treat analyst targets as truth.</w:t>
      </w:r>
    </w:p>
    <w:p>
      <w:pPr>
        <w:pStyle w:val="ListBullet"/>
      </w:pPr>
      <w:r>
        <w:t>Do not confuse reported earnings with recurring earning power.</w:t>
      </w:r>
    </w:p>
    <w:p>
      <w:pPr>
        <w:pStyle w:val="ListBullet"/>
      </w:pPr>
      <w:r>
        <w:t>Do not ignore CapEx when evaluating cash generation.</w:t>
      </w:r>
    </w:p>
    <w:p>
      <w:pPr>
        <w:pStyle w:val="ListBullet"/>
      </w:pPr>
      <w:r>
        <w:t>Do not equate undervaluation with a good immediate entry.</w:t>
      </w:r>
    </w:p>
    <w:p>
      <w:pPr>
        <w:pStyle w:val="ListBullet"/>
      </w:pPr>
      <w:r>
        <w:t>Do not let short-term technical signals dominate a long-term fundamental thesis without evidence.</w:t>
      </w:r>
    </w:p>
    <w:p>
      <w:pPr>
        <w:pStyle w:val="ListBullet"/>
      </w:pPr>
      <w:r>
        <w:t>Do not let a high-quality company automatically receive a BUY if valuation is excessive.</w:t>
      </w:r>
    </w:p>
    <w:p>
      <w:pPr>
        <w:pStyle w:val="ListBullet"/>
      </w:pPr>
      <w:r>
        <w:t>Do not let a cheap valuation automatically override deteriorating fundamentals.</w:t>
      </w:r>
    </w:p>
    <w:p>
      <w:pPr>
        <w:pStyle w:val="ListBullet"/>
      </w:pPr>
      <w:r>
        <w:t>Do not optimize weights on the same historical data used to claim performance.</w:t>
      </w:r>
    </w:p>
    <w:p>
      <w:pPr>
        <w:pStyle w:val="Heading1"/>
      </w:pPr>
      <w:r>
        <w:t>30. Final Decision Flow</w:t>
      </w:r>
    </w:p>
    <w:p>
      <w:pPr>
        <w:pStyle w:val="ListNumber"/>
      </w:pPr>
      <w:r>
        <w:t>1. Collect and normalize data</w:t>
      </w:r>
    </w:p>
    <w:p>
      <w:pPr>
        <w:pStyle w:val="ListNumber"/>
      </w:pPr>
      <w:r>
        <w:t>2. Assess business quality</w:t>
      </w:r>
    </w:p>
    <w:p>
      <w:pPr>
        <w:pStyle w:val="ListNumber"/>
      </w:pPr>
      <w:r>
        <w:t>3. Normalize earnings and cash flows where necessary</w:t>
      </w:r>
    </w:p>
    <w:p>
      <w:pPr>
        <w:pStyle w:val="ListNumber"/>
      </w:pPr>
      <w:r>
        <w:t>4. Forecast growth and future earning power</w:t>
      </w:r>
    </w:p>
    <w:p>
      <w:pPr>
        <w:pStyle w:val="ListNumber"/>
      </w:pPr>
      <w:r>
        <w:t>5. Estimate bear/base/bull intrinsic value</w:t>
      </w:r>
    </w:p>
    <w:p>
      <w:pPr>
        <w:pStyle w:val="ListNumber"/>
      </w:pPr>
      <w:r>
        <w:t>6. Compare price with fair value and calculate margin of safety</w:t>
      </w:r>
    </w:p>
    <w:p>
      <w:pPr>
        <w:pStyle w:val="ListNumber"/>
      </w:pPr>
      <w:r>
        <w:t>7. Detect value-trap characteristics</w:t>
      </w:r>
    </w:p>
    <w:p>
      <w:pPr>
        <w:pStyle w:val="ListNumber"/>
      </w:pPr>
      <w:r>
        <w:t>8. Assess technical trend, momentum, volume, support/resistance and volatility</w:t>
      </w:r>
    </w:p>
    <w:p>
      <w:pPr>
        <w:pStyle w:val="ListNumber"/>
      </w:pPr>
      <w:r>
        <w:t>9. Assess market and sector regime</w:t>
      </w:r>
    </w:p>
    <w:p>
      <w:pPr>
        <w:pStyle w:val="ListNumber"/>
      </w:pPr>
      <w:r>
        <w:t>10. Identify catalysts and risks</w:t>
      </w:r>
    </w:p>
    <w:p>
      <w:pPr>
        <w:pStyle w:val="ListNumber"/>
      </w:pPr>
      <w:r>
        <w:t>11. Calculate expected return</w:t>
      </w:r>
    </w:p>
    <w:p>
      <w:pPr>
        <w:pStyle w:val="ListNumber"/>
      </w:pPr>
      <w:r>
        <w:t>12. Calculate downside and risk/reward</w:t>
      </w:r>
    </w:p>
    <w:p>
      <w:pPr>
        <w:pStyle w:val="ListNumber"/>
      </w:pPr>
      <w:r>
        <w:t>13. Calculate Fundamental Opportunity Score</w:t>
      </w:r>
    </w:p>
    <w:p>
      <w:pPr>
        <w:pStyle w:val="ListNumber"/>
      </w:pPr>
      <w:r>
        <w:t>14. Calculate Entry Score</w:t>
      </w:r>
    </w:p>
    <w:p>
      <w:pPr>
        <w:pStyle w:val="ListNumber"/>
      </w:pPr>
      <w:r>
        <w:t>15. Apply decision rules and position context</w:t>
      </w:r>
    </w:p>
    <w:p>
      <w:pPr>
        <w:pStyle w:val="ListNumber"/>
      </w:pPr>
      <w:r>
        <w:t>16. Produce BUY / ACCUMULATE / BUY ON PULLBACK / WAIT / AVOID / REDUCE / SELL</w:t>
      </w:r>
    </w:p>
    <w:p>
      <w:pPr>
        <w:pStyle w:val="ListNumber"/>
      </w:pPr>
      <w:r>
        <w:t>17. Explain the decision and define what would change it</w:t>
      </w:r>
    </w:p>
    <w:p>
      <w:pPr>
        <w:pStyle w:val="Heading1"/>
      </w:pPr>
      <w:r>
        <w:t>31. What the Two Original Documents Contribute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Document 1: Framework</w:t>
            </w:r>
          </w:p>
        </w:tc>
        <w:tc>
          <w:tcPr>
            <w:tcW w:type="dxa" w:w="3360"/>
          </w:tcPr>
          <w:p>
            <w:r>
              <w:t>Document 2: Fundamental Value + Entry Timing</w:t>
            </w:r>
          </w:p>
        </w:tc>
      </w:tr>
      <w:tr>
        <w:tc>
          <w:tcPr>
            <w:tcW w:type="dxa" w:w="3360"/>
          </w:tcPr>
          <w:p>
            <w:r>
              <w:t>Core objective</w:t>
            </w:r>
          </w:p>
        </w:tc>
        <w:tc>
          <w:tcPr>
            <w:tcW w:type="dxa" w:w="3360"/>
          </w:tcPr>
          <w:p>
            <w:r>
              <w:t>Multi-dimensional buy/hold/wait/sell decision</w:t>
            </w:r>
          </w:p>
        </w:tc>
        <w:tc>
          <w:tcPr>
            <w:tcW w:type="dxa" w:w="3360"/>
          </w:tcPr>
          <w:p>
            <w:r>
              <w:t>Long-term value + entry timing</w:t>
            </w:r>
          </w:p>
        </w:tc>
      </w:tr>
      <w:tr>
        <w:tc>
          <w:tcPr>
            <w:tcW w:type="dxa" w:w="3360"/>
          </w:tcPr>
          <w:p>
            <w:r>
              <w:t>Fundamentals</w:t>
            </w:r>
          </w:p>
        </w:tc>
        <w:tc>
          <w:tcPr>
            <w:tcW w:type="dxa" w:w="3360"/>
          </w:tcPr>
          <w:p>
            <w:r>
              <w:t>Broad quality, profitability, financial health</w:t>
            </w:r>
          </w:p>
        </w:tc>
        <w:tc>
          <w:tcPr>
            <w:tcW w:type="dxa" w:w="3360"/>
          </w:tcPr>
          <w:p>
            <w:r>
              <w:t>Detailed quality score and normalized earnings</w:t>
            </w:r>
          </w:p>
        </w:tc>
      </w:tr>
      <w:tr>
        <w:tc>
          <w:tcPr>
            <w:tcW w:type="dxa" w:w="3360"/>
          </w:tcPr>
          <w:p>
            <w:r>
              <w:t>Valuation</w:t>
            </w:r>
          </w:p>
        </w:tc>
        <w:tc>
          <w:tcPr>
            <w:tcW w:type="dxa" w:w="3360"/>
          </w:tcPr>
          <w:p>
            <w:r>
              <w:t>DCF + relative valuation + scenarios</w:t>
            </w:r>
          </w:p>
        </w:tc>
        <w:tc>
          <w:tcPr>
            <w:tcW w:type="dxa" w:w="3360"/>
          </w:tcPr>
          <w:p>
            <w:r>
              <w:t>DCF + earnings + relative + external estimates</w:t>
            </w:r>
          </w:p>
        </w:tc>
      </w:tr>
      <w:tr>
        <w:tc>
          <w:tcPr>
            <w:tcW w:type="dxa" w:w="3360"/>
          </w:tcPr>
          <w:p>
            <w:r>
              <w:t>Growth</w:t>
            </w:r>
          </w:p>
        </w:tc>
        <w:tc>
          <w:tcPr>
            <w:tcW w:type="dxa" w:w="3360"/>
          </w:tcPr>
          <w:p>
            <w:r>
              <w:t>Growth metrics</w:t>
            </w:r>
          </w:p>
        </w:tc>
        <w:tc>
          <w:tcPr>
            <w:tcW w:type="dxa" w:w="3360"/>
          </w:tcPr>
          <w:p>
            <w:r>
              <w:t>Explicit 3–5 year growth-potential engine</w:t>
            </w:r>
          </w:p>
        </w:tc>
      </w:tr>
      <w:tr>
        <w:tc>
          <w:tcPr>
            <w:tcW w:type="dxa" w:w="3360"/>
          </w:tcPr>
          <w:p>
            <w:r>
              <w:t>Technicals</w:t>
            </w:r>
          </w:p>
        </w:tc>
        <w:tc>
          <w:tcPr>
            <w:tcW w:type="dxa" w:w="3360"/>
          </w:tcPr>
          <w:p>
            <w:r>
              <w:t>Very broad and detailed</w:t>
            </w:r>
          </w:p>
        </w:tc>
        <w:tc>
          <w:tcPr>
            <w:tcW w:type="dxa" w:w="3360"/>
          </w:tcPr>
          <w:p>
            <w:r>
              <w:t>Focused entry-timing indicators</w:t>
            </w:r>
          </w:p>
        </w:tc>
      </w:tr>
      <w:tr>
        <w:tc>
          <w:tcPr>
            <w:tcW w:type="dxa" w:w="3360"/>
          </w:tcPr>
          <w:p>
            <w:r>
              <w:t>Risk</w:t>
            </w:r>
          </w:p>
        </w:tc>
        <w:tc>
          <w:tcPr>
            <w:tcW w:type="dxa" w:w="3360"/>
          </w:tcPr>
          <w:p>
            <w:r>
              <w:t>Risk/reward + thesis invalidation</w:t>
            </w:r>
          </w:p>
        </w:tc>
        <w:tc>
          <w:tcPr>
            <w:tcW w:type="dxa" w:w="3360"/>
          </w:tcPr>
          <w:p>
            <w:r>
              <w:t>Expected downside + risk/reward</w:t>
            </w:r>
          </w:p>
        </w:tc>
      </w:tr>
      <w:tr>
        <w:tc>
          <w:tcPr>
            <w:tcW w:type="dxa" w:w="3360"/>
          </w:tcPr>
          <w:p>
            <w:r>
              <w:t>Value traps</w:t>
            </w:r>
          </w:p>
        </w:tc>
        <w:tc>
          <w:tcPr>
            <w:tcW w:type="dxa" w:w="3360"/>
          </w:tcPr>
          <w:p>
            <w:r>
              <w:t>Implicit through fundamentals</w:t>
            </w:r>
          </w:p>
        </w:tc>
        <w:tc>
          <w:tcPr>
            <w:tcW w:type="dxa" w:w="3360"/>
          </w:tcPr>
          <w:p>
            <w:r>
              <w:t>Explicit dedicated value-trap engine</w:t>
            </w:r>
          </w:p>
        </w:tc>
      </w:tr>
      <w:tr>
        <w:tc>
          <w:tcPr>
            <w:tcW w:type="dxa" w:w="3360"/>
          </w:tcPr>
          <w:p>
            <w:r>
              <w:t>CapEx/FCF</w:t>
            </w:r>
          </w:p>
        </w:tc>
        <w:tc>
          <w:tcPr>
            <w:tcW w:type="dxa" w:w="3360"/>
          </w:tcPr>
          <w:p>
            <w:r>
              <w:t>General financial health</w:t>
            </w:r>
          </w:p>
        </w:tc>
        <w:tc>
          <w:tcPr>
            <w:tcW w:type="dxa" w:w="3360"/>
          </w:tcPr>
          <w:p>
            <w:r>
              <w:t>Detailed investment-cycle analysis</w:t>
            </w:r>
          </w:p>
        </w:tc>
      </w:tr>
      <w:tr>
        <w:tc>
          <w:tcPr>
            <w:tcW w:type="dxa" w:w="3360"/>
          </w:tcPr>
          <w:p>
            <w:r>
              <w:t>Catalysts</w:t>
            </w:r>
          </w:p>
        </w:tc>
        <w:tc>
          <w:tcPr>
            <w:tcW w:type="dxa" w:w="3360"/>
          </w:tcPr>
          <w:p>
            <w:r>
              <w:t>Dedicated catalyst engine</w:t>
            </w:r>
          </w:p>
        </w:tc>
        <w:tc>
          <w:tcPr>
            <w:tcW w:type="dxa" w:w="3360"/>
          </w:tcPr>
          <w:p>
            <w:r>
              <w:t>Future potential/catalysts</w:t>
            </w:r>
          </w:p>
        </w:tc>
      </w:tr>
      <w:tr>
        <w:tc>
          <w:tcPr>
            <w:tcW w:type="dxa" w:w="3360"/>
          </w:tcPr>
          <w:p>
            <w:r>
              <w:t>Market regime</w:t>
            </w:r>
          </w:p>
        </w:tc>
        <w:tc>
          <w:tcPr>
            <w:tcW w:type="dxa" w:w="3360"/>
          </w:tcPr>
          <w:p>
            <w:r>
              <w:t>Detailed</w:t>
            </w:r>
          </w:p>
        </w:tc>
        <w:tc>
          <w:tcPr>
            <w:tcW w:type="dxa" w:w="3360"/>
          </w:tcPr>
          <w:p>
            <w:r>
              <w:t>Included in entry timing</w:t>
            </w:r>
          </w:p>
        </w:tc>
      </w:tr>
      <w:tr>
        <w:tc>
          <w:tcPr>
            <w:tcW w:type="dxa" w:w="3360"/>
          </w:tcPr>
          <w:p>
            <w:r>
              <w:t>Sell logic</w:t>
            </w:r>
          </w:p>
        </w:tc>
        <w:tc>
          <w:tcPr>
            <w:tcW w:type="dxa" w:w="3360"/>
          </w:tcPr>
          <w:p>
            <w:r>
              <w:t>Dedicated sell/reduce engine</w:t>
            </w:r>
          </w:p>
        </w:tc>
        <w:tc>
          <w:tcPr>
            <w:tcW w:type="dxa" w:w="3360"/>
          </w:tcPr>
          <w:p>
            <w:r>
              <w:t>Primarily decision categories</w:t>
            </w:r>
          </w:p>
        </w:tc>
      </w:tr>
      <w:tr>
        <w:tc>
          <w:tcPr>
            <w:tcW w:type="dxa" w:w="3360"/>
          </w:tcPr>
          <w:p>
            <w:r>
              <w:t>Backtesting/ML</w:t>
            </w:r>
          </w:p>
        </w:tc>
        <w:tc>
          <w:tcPr>
            <w:tcW w:type="dxa" w:w="3360"/>
          </w:tcPr>
          <w:p>
            <w:r>
              <w:t>Not detailed</w:t>
            </w:r>
          </w:p>
        </w:tc>
        <w:tc>
          <w:tcPr>
            <w:tcW w:type="dxa" w:w="3360"/>
          </w:tcPr>
          <w:p>
            <w:r>
              <w:t>Detailed development roadmap</w:t>
            </w:r>
          </w:p>
        </w:tc>
      </w:tr>
      <w:tr>
        <w:tc>
          <w:tcPr>
            <w:tcW w:type="dxa" w:w="3360"/>
          </w:tcPr>
          <w:p>
            <w:r>
              <w:t>LLM role</w:t>
            </w:r>
          </w:p>
        </w:tc>
        <w:tc>
          <w:tcPr>
            <w:tcW w:type="dxa" w:w="3360"/>
          </w:tcPr>
          <w:p>
            <w:r>
              <w:t>Explanation layer implied</w:t>
            </w:r>
          </w:p>
        </w:tc>
        <w:tc>
          <w:tcPr>
            <w:tcW w:type="dxa" w:w="3360"/>
          </w:tcPr>
          <w:p>
            <w:r>
              <w:t>Explicitly defined as reasoning/explanation layer</w:t>
            </w:r>
          </w:p>
        </w:tc>
      </w:tr>
    </w:tbl>
    <w:p>
      <w:pPr>
        <w:pStyle w:val="Heading1"/>
      </w:pPr>
      <w:r>
        <w:t>32. Final Architecture</w:t>
      </w:r>
    </w:p>
    <w:p>
      <w:r>
        <w:t>The resulting system is best understood as a systematic fundamental investment-selection engine with a market-timing overlay. Fundamental analysis determines whether the asset is worth owning; valuation determines whether the price is attractive; growth determines the future economic opportunity; risk/reward determines whether the opportunity compensates for downside; technical analysis determines whether the current entry is attractive; market/sector regime modifies the timing; and the decision engine converts all evidence into an actionable, explainable recommendation.</w:t>
      </w:r>
    </w:p>
    <w:p>
      <w:r>
        <w:t>The most important architectural principle is separation of concerns: preserve Business Quality, Growth, Valuation, Financial Strength, Risk, Technicals, Entry Timing, Catalysts, and Market Regime as separate dimensions before combining them. This makes the system auditable, backtestable, calibratable, and much less vulnerable to one indicator dominating the decision.</w:t>
      </w:r>
    </w:p>
    <w:p>
      <w:pPr>
        <w:pStyle w:val="Heading1"/>
      </w:pPr>
      <w:r>
        <w:t>33. Bottom Line</w:t>
      </w:r>
    </w:p>
    <w:p>
      <w:r>
        <w:t>Yes, the two documents can and should be combined. They are not fundamentally different investment strategies. They are two views of the same decision problem at different levels of depth. The strongest combined design keeps the fundamental-first philosophy and expected-return framework of the second document, while incorporating the much broader technical, entry, volatility, market-regime, catalyst, and sell/reduce coverage of the first.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