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SMM272 Risk Analysis — Q1</w:t>
      </w:r>
    </w:p>
    <w:p>
      <w:pPr>
        <w:jc w:val="center"/>
      </w:pPr>
      <w:r>
        <w:rPr>
          <w:b/>
          <w:i w:val="0"/>
          <w:color w:val="1F497D"/>
          <w:sz w:val="28"/>
        </w:rPr>
        <w:t>Equally Weighted Portfolio: Methodology and Rationale</w:t>
      </w:r>
    </w:p>
    <w:p/>
    <w:p>
      <w:pPr>
        <w:pStyle w:val="Heading1"/>
        <w:jc w:val="left"/>
      </w:pPr>
      <w:r>
        <w:t>1. Overview</w:t>
      </w:r>
    </w:p>
    <w:p>
      <w:pPr>
        <w:jc w:val="both"/>
      </w:pPr>
      <w:r>
        <w:t>This document explains the methodology and rationale behind constructing an equally weighted (EW) portfolio of six large-cap technology stocks — AAPL, MSFT, IBM, NVDA, GOOGL and AMZN — over the period January 2014 to December 2025. The EW portfolio serves as the main analytical object for Q1 of the SMM272 coursework.</w:t>
      </w:r>
    </w:p>
    <w:p>
      <w:pPr>
        <w:pStyle w:val="Heading1"/>
        <w:jc w:val="left"/>
      </w:pPr>
      <w:r>
        <w:t>2. What Is an Equally Weighted Portfolio?</w:t>
      </w:r>
    </w:p>
    <w:p>
      <w:pPr>
        <w:jc w:val="both"/>
      </w:pPr>
      <w:r>
        <w:t>An equally weighted portfolio assigns an identical fractional weight to every constituent asset. With N assets, each weight is:</w:t>
      </w:r>
    </w:p>
    <w:p>
      <w:pPr>
        <w:jc w:val="center"/>
      </w:pPr>
      <w:r>
        <w:rPr>
          <w:b w:val="0"/>
          <w:i/>
          <w:sz w:val="22"/>
        </w:rPr>
        <w:t>wᵢ = 1 / N     for i = 1, 2, …, N</w:t>
      </w:r>
    </w:p>
    <w:p>
      <w:pPr>
        <w:jc w:val="both"/>
      </w:pPr>
      <w:r>
        <w:t>For this portfolio N = 6, so each stock receives a weight of 1/6 ≈ 16.67 %. The portfolio return on day t is therefore the simple arithmetic average of the individual asset returns:</w:t>
      </w:r>
    </w:p>
    <w:p>
      <w:pPr>
        <w:jc w:val="center"/>
      </w:pPr>
      <w:r>
        <w:rPr>
          <w:b w:val="0"/>
          <w:i/>
          <w:sz w:val="22"/>
        </w:rPr>
        <w:t>rₚ,ₜ = (1/N) × Σ rᵢ,ₜ</w:t>
      </w:r>
    </w:p>
    <w:p>
      <w:pPr>
        <w:pStyle w:val="Heading1"/>
        <w:jc w:val="left"/>
      </w:pPr>
      <w:r>
        <w:t>3. Why Log Returns?</w:t>
      </w:r>
    </w:p>
    <w:p>
      <w:pPr>
        <w:jc w:val="both"/>
      </w:pPr>
      <w:r>
        <w:t>Individual asset returns are computed as continuously compounded (logarithmic) returns rather than simple percentage returns:</w:t>
      </w:r>
    </w:p>
    <w:p>
      <w:pPr>
        <w:jc w:val="center"/>
      </w:pPr>
      <w:r>
        <w:rPr>
          <w:b w:val="0"/>
          <w:i/>
          <w:sz w:val="22"/>
        </w:rPr>
        <w:t>rᵢ,ₜ = ln( Pᵢ,ₜ / Pᵢ,ₜ₋₁ )</w:t>
      </w:r>
    </w:p>
    <w:p>
      <w:pPr>
        <w:jc w:val="both"/>
      </w:pPr>
      <w:r>
        <w:t>The choice of log returns is motivated by four statistical properties:</w:t>
      </w:r>
    </w:p>
    <w:p>
      <w:pPr>
        <w:pStyle w:val="ListBullet"/>
      </w:pPr>
      <w:r>
        <w:t>Time additivity — multi-period log returns equal the sum of single-period log returns, making aggregation straightforward.</w:t>
      </w:r>
    </w:p>
    <w:p>
      <w:pPr>
        <w:pStyle w:val="ListBullet"/>
      </w:pPr>
      <w:r>
        <w:t>Approximate normality — log returns are closer to a normal distribution than simple returns, which facilitates parametric testing.</w:t>
      </w:r>
    </w:p>
    <w:p>
      <w:pPr>
        <w:pStyle w:val="ListBullet"/>
      </w:pPr>
      <w:r>
        <w:t>Symmetry — a gain of x% and a loss of x% are symmetric under log returns but not under simple returns.</w:t>
      </w:r>
    </w:p>
    <w:p>
      <w:pPr>
        <w:pStyle w:val="ListBullet"/>
      </w:pPr>
      <w:r>
        <w:t>Stationarity — log returns transform a non-stationary price series into a stationary return series, a prerequisite for the time-series tests used later (Ljung-Box, normality tests).</w:t>
      </w:r>
    </w:p>
    <w:p>
      <w:pPr>
        <w:jc w:val="both"/>
      </w:pPr>
      <w:r>
        <w:t>Note: strictly, the weighted sum of individual log returns is an approximation of the true portfolio log return. The approximation error is negligible for daily data and is standard practice in quantitative finance.</w:t>
      </w:r>
    </w:p>
    <w:p>
      <w:pPr>
        <w:pStyle w:val="Heading1"/>
        <w:jc w:val="left"/>
      </w:pPr>
      <w:r>
        <w:t>4. Rationale for Equal Weighting</w:t>
      </w:r>
    </w:p>
    <w:p>
      <w:pPr>
        <w:pStyle w:val="Heading2"/>
        <w:jc w:val="left"/>
      </w:pPr>
      <w:r>
        <w:t>4.1  Naïve Diversification Benchmark</w:t>
      </w:r>
    </w:p>
    <w:p>
      <w:pPr>
        <w:jc w:val="both"/>
      </w:pPr>
      <w:r>
        <w:t>The 1/N strategy is a well-established academic and industry benchmark. DeMiguel, Garlappi and Uppal (2009, Review of Financial Studies) demonstrated that the equally weighted portfolio frequently outperforms mean-variance optimised portfolios out-of-sample due to the severe estimation error embedded in optimised weights.</w:t>
      </w:r>
    </w:p>
    <w:p>
      <w:pPr>
        <w:pStyle w:val="Heading2"/>
        <w:jc w:val="left"/>
      </w:pPr>
      <w:r>
        <w:t>4.2  Avoidance of Estimation Risk</w:t>
      </w:r>
    </w:p>
    <w:p>
      <w:pPr>
        <w:jc w:val="both"/>
      </w:pPr>
      <w:r>
        <w:t>Mean-variance optimisation (Markowitz, 1952) requires estimating expected returns, variances and covariances. Expected return estimates are notoriously noisy — small errors in the mean vector are amplified by matrix inversion and produce highly unstable, extreme weights. Equal weighting sidesteps this problem entirely: the weights are deterministic and require no forward-looking assumptions.</w:t>
      </w:r>
    </w:p>
    <w:p>
      <w:pPr>
        <w:pStyle w:val="Heading2"/>
        <w:jc w:val="left"/>
      </w:pPr>
      <w:r>
        <w:t>4.3  Transparency and Reproducibility</w:t>
      </w:r>
    </w:p>
    <w:p>
      <w:pPr>
        <w:jc w:val="both"/>
      </w:pPr>
      <w:r>
        <w:t>Because the weights follow a simple formula, the portfolio is fully transparent. Any researcher can replicate it from the raw price data without access to proprietary optimiser inputs. This is important for an academic coursework setting where reproducibility is a core requirement.</w:t>
      </w:r>
    </w:p>
    <w:p>
      <w:pPr>
        <w:pStyle w:val="Heading2"/>
        <w:jc w:val="left"/>
      </w:pPr>
      <w:r>
        <w:t>4.4  Appropriate Scope for Q1</w:t>
      </w:r>
    </w:p>
    <w:p>
      <w:pPr>
        <w:jc w:val="both"/>
      </w:pPr>
      <w:r>
        <w:t>The objective of Q1 is to analyse the statistical properties of portfolio returns — distributional shape, tail risk, autocorrelation and cross-sectional correlation — not to optimise weights. Using a fixed, rule-based weighting scheme ensures that all observed return characteristics are attributable to the asset universe and the sample period, rather than to the weighting methodology.</w:t>
      </w:r>
    </w:p>
    <w:p>
      <w:pPr>
        <w:pStyle w:val="Heading1"/>
        <w:jc w:val="left"/>
      </w:pPr>
      <w:r>
        <w:t>5. Implementation in Code</w:t>
      </w:r>
    </w:p>
    <w:p>
      <w:pPr>
        <w:jc w:val="both"/>
      </w:pPr>
      <w:r>
        <w:t>The portfolio is constructed in q1_build_portfolio.py in three steps:</w:t>
      </w:r>
    </w:p>
    <w:p>
      <w:pPr>
        <w:pStyle w:val="ListBullet"/>
      </w:pPr>
      <w:r>
        <w:t>Step 1 — Load adjusted closing prices (from Yahoo Finance via yfinance, cached to CSV after the first download).</w:t>
      </w:r>
    </w:p>
    <w:p>
      <w:pPr>
        <w:pStyle w:val="ListBullet"/>
      </w:pPr>
      <w:r>
        <w:t>Step 2 — Compute daily log returns using the formula above; drop the first row (NaN produced by the one-period shift).</w:t>
      </w:r>
    </w:p>
    <w:p>
      <w:pPr>
        <w:pStyle w:val="ListBullet"/>
      </w:pPr>
      <w:r>
        <w:t>Step 3 — Multiply the (T × N) log-return matrix by the (N × 1) equal-weight vector via a dot product to produce the (T × 1) portfolio return series.</w:t>
      </w:r>
    </w:p>
    <w:p>
      <w:pPr>
        <w:jc w:val="both"/>
      </w:pPr>
      <w:r>
        <w:t>Both the individual log returns and the portfolio return series are persisted to CSV files in the output/ directory so that downstream modules (descriptive statistics, normality tests, autocorrelation analysis, visualisations) can load pre-computed results without repeating the calculation.</w:t>
      </w:r>
    </w:p>
    <w:p>
      <w:pPr>
        <w:pStyle w:val="Heading1"/>
        <w:jc w:val="left"/>
      </w:pPr>
      <w:r>
        <w:t>6. Limitations and Caveats</w:t>
      </w:r>
    </w:p>
    <w:p>
      <w:pPr>
        <w:pStyle w:val="ListBullet"/>
      </w:pPr>
      <w:r>
        <w:t>Concentration risk — all six constituents are large-cap US technology stocks. The portfolio is sector-concentrated and does not represent a broadly diversified multi-asset portfolio.</w:t>
      </w:r>
    </w:p>
    <w:p>
      <w:pPr>
        <w:pStyle w:val="ListBullet"/>
      </w:pPr>
      <w:r>
        <w:t>Rebalancing — in practice an EW portfolio drifts as prices move and requires periodic rebalancing back to 1/N. This implementation uses a buy-and-hold approximation (daily log-return average), which implicitly assumes continuous rebalancing.</w:t>
      </w:r>
    </w:p>
    <w:p>
      <w:pPr>
        <w:pStyle w:val="ListBullet"/>
      </w:pPr>
      <w:r>
        <w:t>Survivorship bias — all six stocks existed and were publicly traded throughout the sample period. Selecting them with hindsight introduces a mild survivorship bias.</w:t>
      </w:r>
    </w:p>
    <w:p>
      <w:pPr>
        <w:pStyle w:val="Heading1"/>
        <w:jc w:val="left"/>
      </w:pPr>
      <w:r>
        <w:t>7. Key References</w:t>
      </w:r>
    </w:p>
    <w:p>
      <w:pPr>
        <w:pStyle w:val="ListBullet"/>
      </w:pPr>
      <w:r>
        <w:t>DeMiguel, V., Garlappi, L., &amp; Uppal, R. (2009). Optimal versus naive diversification: How inefficient is the 1/N portfolio strategy? Review of Financial Studies, 22(5), 1915–1953.</w:t>
      </w:r>
    </w:p>
    <w:p>
      <w:pPr>
        <w:pStyle w:val="ListBullet"/>
      </w:pPr>
      <w:r>
        <w:t>Markowitz, H. (1952). Portfolio selection. Journal of Finance, 7(1), 77–91.</w:t>
      </w:r>
    </w:p>
    <w:p>
      <w:pPr>
        <w:pStyle w:val="ListBullet"/>
      </w:pPr>
      <w:r>
        <w:t>Campbell, J. Y., Lo, A. W., &amp; MacKinlay, A. C. (1997). The Econometrics of Financial Markets. Princeton University Press.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