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SMM272 Risk Analysis — Question 1</w:t>
      </w:r>
    </w:p>
    <w:p>
      <w:pPr>
        <w:jc w:val="center"/>
      </w:pPr>
      <w:r>
        <w:rPr>
          <w:b/>
          <w:i w:val="0"/>
          <w:color w:val="1F497D"/>
          <w:sz w:val="28"/>
        </w:rPr>
        <w:t>Statistical Analysis of a Technology Equity Portfolio: Procedure and Findings</w:t>
      </w:r>
    </w:p>
    <w:p/>
    <w:p>
      <w:pPr>
        <w:jc w:val="center"/>
      </w:pPr>
      <w:r>
        <w:rPr>
          <w:i/>
        </w:rPr>
        <w:t>Sample period: January 2014 – December 2025  |  Portfolio: AAPL, MSFT, IBM, NVDA, GOOGL, AMZN  |  Observations: 3,016 trading days</w:t>
      </w:r>
    </w:p>
    <w:p/>
    <w:p>
      <w:pPr>
        <w:pStyle w:val="Heading1"/>
        <w:jc w:val="left"/>
      </w:pPr>
      <w:r>
        <w:t>1. Executive Summary</w:t>
      </w:r>
    </w:p>
    <w:p>
      <w:pPr>
        <w:jc w:val="both"/>
      </w:pPr>
      <w:r>
        <w:t>This report presents the full statistical analysis of an equally weighted (EW) portfolio comprising six large-capitalisation US technology stocks: Apple (AAPL), Microsoft (MSFT), IBM, NVIDIA (NVDA), Alphabet (GOOGL) and Amazon (AMZN). Daily log returns are analysed over the period January 2014 to December 2025, yielding 3,016 observations. The analysis proceeds through six modular steps: descriptive statistics, risk metrics, normality testing with distribution fitting, time-series diagnostics, correlation analysis, and portfolio-level conclusions.</w:t>
      </w:r>
    </w:p>
    <w:p>
      <w:pPr>
        <w:jc w:val="both"/>
      </w:pPr>
      <w:r>
        <w:t>Key findings are: (i) the portfolio delivered a strong annualised return of 24.57% with a Sharpe ratio of 1.024 and a Sortino ratio of 1.314; (ii) returns are significantly non-normal — leptokurtic and negatively skewed — with a Student-t distribution (df ≈ 3.30) providing a materially better fit than the Gaussian; (iii) daily returns are stationary but exhibit significant serial autocorrelation and strong ARCH effects; (iv) intra-portfolio correlations, entirely positive and rising sharply during the COVID-19 crisis, limit diversification benefit to approximately 20% risk reduction.</w:t>
      </w:r>
    </w:p>
    <w:p>
      <w:pPr>
        <w:pStyle w:val="Heading1"/>
        <w:jc w:val="left"/>
      </w:pPr>
      <w:r>
        <w:t>2. Data and Sample Description</w:t>
      </w:r>
    </w:p>
    <w:p>
      <w:pPr>
        <w:pStyle w:val="Heading2"/>
        <w:jc w:val="left"/>
      </w:pPr>
      <w:r>
        <w:t>2.1  Asset Universe</w:t>
      </w:r>
    </w:p>
    <w:p>
      <w:pPr>
        <w:jc w:val="both"/>
      </w:pPr>
      <w:r>
        <w:t>The portfolio consists of six US technology equities selected to represent the broad large-cap technology sector: AAPL, MSFT, IBM, NVDA, GOOGL, and AMZN. All six were continuously listed on major US exchanges throughout the sample period, which introduces a mild survivorship bias. Daily adjusted closing prices are obtained from Yahoo Finance via the yfinance library (version 1.2.0), with adjustments for stock splits and dividends applied automatically.</w:t>
      </w:r>
    </w:p>
    <w:p>
      <w:pPr>
        <w:pStyle w:val="Heading2"/>
        <w:jc w:val="left"/>
      </w:pPr>
      <w:r>
        <w:t>2.2  Sample Period</w:t>
      </w:r>
    </w:p>
    <w:p>
      <w:pPr>
        <w:jc w:val="both"/>
      </w:pPr>
      <w:r>
        <w:t>The sample spans from 1 January 2014 to 31 December 2025, a period of approximately twelve years. This window captures several economically significant episodes including the 2015 China-driven equity selloff, the COVID-19 market crash of February–March 2020, the subsequent sharp recovery, the inflation-driven bear market of 2022, and the AI-driven rally of 2023–2025. After removing non-overlapping trading days and missing values, the clean dataset contains 3,016 daily observations.</w:t>
      </w:r>
    </w:p>
    <w:p>
      <w:pPr>
        <w:pStyle w:val="Heading2"/>
        <w:jc w:val="left"/>
      </w:pPr>
      <w:r>
        <w:t>2.3  Log Returns</w:t>
      </w:r>
    </w:p>
    <w:p>
      <w:pPr>
        <w:jc w:val="both"/>
      </w:pPr>
      <w:r>
        <w:t>Continuously compounded (log) returns are computed from adjusted closing prices:</w:t>
      </w:r>
    </w:p>
    <w:p>
      <w:pPr>
        <w:jc w:val="center"/>
      </w:pPr>
      <w:r>
        <w:rPr>
          <w:b w:val="0"/>
          <w:i/>
          <w:sz w:val="22"/>
        </w:rPr>
        <w:t>rᵢ,ₜ = ln( Pᵢ,ₜ / Pᵢ,ₜ₋₁ )</w:t>
      </w:r>
    </w:p>
    <w:p>
      <w:pPr>
        <w:jc w:val="both"/>
      </w:pPr>
      <w:r>
        <w:t>Log returns are preferred over simple returns for four reasons: they are time-additive, approximately normal over short horizons, symmetric under sign reversal, and transform a non-stationary price series into a stationary return series (Campbell, Lo and MacKinlay, 1997). The portfolio return on day t is the equal-weight-averaged sum of the six individual log returns.</w:t>
      </w:r>
    </w:p>
    <w:p>
      <w:pPr>
        <w:pStyle w:val="Heading1"/>
        <w:jc w:val="left"/>
      </w:pPr>
      <w:r>
        <w:t>3. Portfolio Construction Procedure</w:t>
      </w:r>
    </w:p>
    <w:p>
      <w:pPr>
        <w:jc w:val="both"/>
      </w:pPr>
      <w:r>
        <w:t>An equally weighted portfolio assigns a constant weight of wᵢ = 1/N = 1/6 ≈ 16.67% to each constituent at each rebalancing date. The daily portfolio return is therefore:</w:t>
      </w:r>
    </w:p>
    <w:p>
      <w:pPr>
        <w:jc w:val="center"/>
      </w:pPr>
      <w:r>
        <w:rPr>
          <w:b w:val="0"/>
          <w:i/>
          <w:sz w:val="22"/>
        </w:rPr>
        <w:t>rₚ,ₜ = (1/6) × (r₁,ₜ + r₂,ₜ + r₃,ₜ + r₄,ₜ + r₅,ₜ + r₆,ₜ)</w:t>
      </w:r>
    </w:p>
    <w:p>
      <w:pPr>
        <w:jc w:val="both"/>
      </w:pPr>
      <w:r>
        <w:t>The EW weighting scheme was selected for this analysis for three reasons. First, it provides a well-documented Naïve Diversification benchmark: DeMiguel, Garlappi and Uppal (2009) showed that the 1/N portfolio consistently outperforms optimised portfolios out-of-sample because it avoids the estimation error inherent in mean-variance optimisation. Second, the weights are deterministic and require no forward-looking parameter assumptions, ensuring full reproducibility. Third, the objective of this question is to characterise the statistical properties of portfolio returns, not to optimise allocation — a fixed weighting scheme ensures that all observed characteristics are attributable to the asset universe and sampling period alone.</w:t>
      </w:r>
    </w:p>
    <w:p>
      <w:pPr>
        <w:pStyle w:val="Heading1"/>
        <w:jc w:val="left"/>
      </w:pPr>
      <w:r>
        <w:t>4. Analytical Procedure</w:t>
      </w:r>
    </w:p>
    <w:p>
      <w:pPr>
        <w:jc w:val="both"/>
      </w:pPr>
      <w:r>
        <w:t>The analysis is structured as six sequential modules, each targeting a distinct dimension of the return distribution. The modules are orchestrated by a master script (q1_statistical_analysis.py) that passes pre-computed inputs downstream to avoid redundant computation.</w:t>
      </w:r>
    </w:p>
    <w:p>
      <w:pPr>
        <w:pStyle w:val="Heading2"/>
        <w:jc w:val="left"/>
      </w:pPr>
      <w:r>
        <w:t>4.1  Module 1 — Descriptive Statistics</w:t>
      </w:r>
    </w:p>
    <w:p>
      <w:pPr>
        <w:jc w:val="both"/>
      </w:pPr>
      <w:r>
        <w:t>The first module computes a set of pure distributional moments and order statistics for both the EW portfolio and each individual constituent. For each series the following statistics are reported: the number of observations (T), the daily arithmetic mean return (μ), the daily median return, skewness (γ₁), excess kurtosis (γ₂ = κ − 3), the minimum and maximum single-day returns, the first and third quartiles (Q1 and Q3), and the cumulative return over the full sample. Skewness and excess kurtosis are the natural diagnostics for asymmetry and fat-tail behaviour respectively; a Gaussian distribution has both equal to zero.</w:t>
      </w:r>
    </w:p>
    <w:p>
      <w:pPr>
        <w:pStyle w:val="Heading2"/>
        <w:jc w:val="left"/>
      </w:pPr>
      <w:r>
        <w:t>4.2  Module 2 — Risk Metrics</w:t>
      </w:r>
    </w:p>
    <w:p>
      <w:pPr>
        <w:jc w:val="both"/>
      </w:pPr>
      <w:r>
        <w:t>The second module computes return-based risk and performance metrics. Daily standard deviation (σ) is annualised using the square-root-of-time rule: σₐₙₙ = σ × √252. Two reward-to-risk ratios are reported. The Sharpe ratio (Sharpe, 1966) is defined as the annualised excess return divided by annualised volatility, with the risk-free rate set to zero to isolate the gross reward-to-risk profile. The Sortino ratio replaces the denominator with the annualised downside deviation (computed from negative-only daily returns), thereby penalising downside volatility only and providing a more meaningful measure when returns are skewed.</w:t>
      </w:r>
    </w:p>
    <w:p>
      <w:pPr>
        <w:jc w:val="both"/>
      </w:pPr>
      <w:r>
        <w:t>Tail risk is quantified through three approaches. Historical (empirical) Value at Risk at confidence levels of 95% and 99% is the sample quantile of the return distribution at the 5th and 1st percentile respectively. Historical Expected Shortfall (CVaR/ES) is the conditional mean of returns in the tail beyond the VaR threshold, capturing the average loss in adverse scenarios. Parametric (Gaussian) VaR is computed as μ + zα × σ where zα is the standard normal quantile; this provides a baseline against which to judge the gap introduced by non-normality.</w:t>
      </w:r>
    </w:p>
    <w:p>
      <w:pPr>
        <w:pStyle w:val="Heading2"/>
        <w:jc w:val="left"/>
      </w:pPr>
      <w:r>
        <w:t>4.3  Module 3 — Normality Testing and Distribution Fitting</w:t>
      </w:r>
    </w:p>
    <w:p>
      <w:pPr>
        <w:jc w:val="both"/>
      </w:pPr>
      <w:r>
        <w:t>To formally test whether portfolio returns conform to a Gaussian distribution, four complementary tests are applied.</w:t>
      </w:r>
    </w:p>
    <w:p>
      <w:pPr>
        <w:pStyle w:val="ListBullet"/>
      </w:pPr>
      <w:r>
        <w:t>Jarque-Bera (JB) test — a chi-squared test based on the joint departure of sample skewness and kurtosis from their Gaussian values (0, 3). It has high power in large samples against leptokurtic alternatives.</w:t>
      </w:r>
    </w:p>
    <w:p>
      <w:pPr>
        <w:pStyle w:val="ListBullet"/>
      </w:pPr>
      <w:r>
        <w:t>Shapiro-Wilk (SW) test — examines the correlation between ordered sample values and the expected order statistics of a normal distribution. As the full sample exceeds 5,000 observations, a random subsample of 5,000 observations is used to satisfy the test’s size requirements.</w:t>
      </w:r>
    </w:p>
    <w:p>
      <w:pPr>
        <w:pStyle w:val="ListBullet"/>
      </w:pPr>
      <w:r>
        <w:t>D’Agostino-Pearson K² — combines separate tests of departure from normality in skewness and kurtosis into a single omnibus statistic.</w:t>
      </w:r>
    </w:p>
    <w:p>
      <w:pPr>
        <w:pStyle w:val="ListBullet"/>
      </w:pPr>
      <w:r>
        <w:t>Kolmogorov-Smirnov (KS) test — compares the empirical CDF with the CDF of a normal distribution fitted by maximum likelihood to the sample data.</w:t>
      </w:r>
    </w:p>
    <w:p>
      <w:pPr>
        <w:jc w:val="both"/>
      </w:pPr>
      <w:r>
        <w:t>Distribution fitting compares the Normal and Student-t distributions via maximum likelihood estimation (MLE). The Normal distribution is characterised by its mean and standard deviation. The Student-t distribution adds a degrees-of-freedom parameter ν that governs tail thickness; smaller ν implies heavier tails. Model comparison uses the Akaike Information Criterion (AIC = −2 log L + 2k) and the Bayesian Information Criterion (BIC = −2 log L + k ln n), where k is the number of free parameters. Both criteria penalise the likelihood for model complexity, with lower values preferred.</w:t>
      </w:r>
    </w:p>
    <w:p>
      <w:pPr>
        <w:pStyle w:val="Heading2"/>
        <w:jc w:val="left"/>
      </w:pPr>
      <w:r>
        <w:t>4.4  Module 4 — Time-Series Diagnostics</w:t>
      </w:r>
    </w:p>
    <w:p>
      <w:pPr>
        <w:jc w:val="both"/>
      </w:pPr>
      <w:r>
        <w:t>Time-series properties of the return series are examined through two types of tests: autocorrelation and stationarity.</w:t>
      </w:r>
    </w:p>
    <w:p>
      <w:pPr>
        <w:ind w:left="432"/>
        <w:jc w:val="both"/>
      </w:pPr>
      <w:r>
        <w:t>Autocorrelation is tested using the Ljung-Box (LB) portmanteau statistic (Ljung and Box, 1978) at lags h ∈ {5, 10, 15, 20}. Under the null hypothesis of no serial correlation up to lag h, the statistic follows an approximate chi-squared distribution with h degrees of freedom. The test is applied twice: once to the raw returns and once to the squared returns. Significant LB statistics on raw returns indicate predictability in the level; significant statistics on squared returns indicate time-varying volatility (ARCH effects / volatility clustering), which is a prerequisite for GARCH-type modelling.</w:t>
      </w:r>
    </w:p>
    <w:p>
      <w:pPr>
        <w:ind w:left="432"/>
        <w:jc w:val="both"/>
      </w:pPr>
      <w:r>
        <w:t>Stationarity is assessed with a two-test approach combining the Augmented Dickey-Fuller (ADF) test and the Kwiatkowski-Phillips-Schmidt-Shin (KPSS) test using complementary null hypotheses. The ADF tests H₀: unit root (non-stationary) against H₁: stationary, with lag length selected by AIC. The KPSS tests H₀: stationary against H₁: unit root. When both tests concur, the conclusion is unambiguous; conflicting results are treated as inconclusive.</w:t>
      </w:r>
    </w:p>
    <w:p>
      <w:pPr>
        <w:pStyle w:val="Heading2"/>
        <w:jc w:val="left"/>
      </w:pPr>
      <w:r>
        <w:t>4.5  Module 5 — Correlation Analysis</w:t>
      </w:r>
    </w:p>
    <w:p>
      <w:pPr>
        <w:jc w:val="both"/>
      </w:pPr>
      <w:r>
        <w:t>Pairwise linear (Pearson) correlations are computed for the full sample and separately for the COVID-19 crisis period (1 January 2020 – 31 December 2020) and the surrounding non-crisis period. The comparison tests for correlation breakdown, the well-documented empirical regularity whereby asset correlations rise precisely during market stress episodes, eroding the diversification benefit when it is most needed (Longin and Solnik, 2001). Average pairwise off-diagonal correlation is the summary statistic used to compare the two windows.').</w:t>
      </w:r>
    </w:p>
    <w:p>
      <w:pPr>
        <w:pStyle w:val="Heading2"/>
        <w:jc w:val="left"/>
      </w:pPr>
      <w:r>
        <w:t>4.6  Module 6 — Portfolio-Level Conclusions</w:t>
      </w:r>
    </w:p>
    <w:p>
      <w:pPr>
        <w:jc w:val="both"/>
      </w:pPr>
      <w:r>
        <w:t>The final module synthesises cross-sectional evidence. It constructs an annualised risk-return summary table for all six constituents and the portfolio, calculates the percentage diversification benefit (reduction in annualised standard deviation relative to the average constituent), and compares 99% VaR and CVaR across assets to quantify the tail-risk reduction achieved by aggregation.</w:t>
      </w:r>
    </w:p>
    <w:p>
      <w:pPr>
        <w:pStyle w:val="Heading1"/>
        <w:jc w:val="left"/>
      </w:pPr>
      <w:r>
        <w:t>5. Main Findings</w:t>
      </w:r>
    </w:p>
    <w:p>
      <w:pPr>
        <w:pStyle w:val="Heading2"/>
        <w:jc w:val="left"/>
      </w:pPr>
      <w:r>
        <w:t>5.1  Return and Cumulative Performance</w:t>
      </w:r>
    </w:p>
    <w:p>
      <w:pPr>
        <w:jc w:val="both"/>
      </w:pPr>
      <w:r>
        <w:t>Over 3,016 trading days the EW portfolio produced a daily mean log return of 0.0975%, equivalent to an annualised mean return of 24.57%. The daily median return (0.149%) exceeds the arithmetic mean, which is characteristic of a negatively skewed distribution: in the majority of sessions the portfolio moved upward, but rare, large drawdowns pulled the mean below the median. The cumulative return over the full sample was 1,793.7%, more than 17-fold growth in value.</w:t>
      </w:r>
    </w:p>
    <w:p>
      <w:pPr>
        <w:jc w:val="both"/>
      </w:pPr>
      <w:r>
        <w:t>Individual constituents exhibited wide dispersion in performance. NVIDIA was the standout performer, accumulating a cumulative return of 50,063% over the sample period and an annualised return of 51.95%, driven primarily by successive waves of demand for GPU hardware in gaming, data centres and AI workloads. IBM was the weakest constituent at 8.47% annualised, reflecting structural competitive headwinds in legacy enterprise computing. The remaining four stocks (AAPL, MSFT, GOOGL, AMZN) clustered narrowly between 20.3% and 23.1% annualised, consistent with sector-wide growth dynamics.</w:t>
      </w:r>
    </w:p>
    <w:p>
      <w:pPr>
        <w:pStyle w:val="Heading2"/>
        <w:jc w:val="left"/>
      </w:pPr>
      <w:r>
        <w:t>5.2  Risk Metrics and Risk-Adjusted Performance</w:t>
      </w:r>
    </w:p>
    <w:p>
      <w:pPr>
        <w:jc w:val="both"/>
      </w:pPr>
      <w:r>
        <w:t>The EW portfolio’s annualised volatility was 23.99% — materially lower than every individual constituent except IBM (23.99%). This is the first evidence of diversification: combining positively correlated but not perfectly correlated assets reduces portfolio volatility below the weighted-average of constituent volatilities (30.09%), a reduction of approximately 20.3%.</w:t>
      </w:r>
    </w:p>
    <w:tbl>
      <w:tblPr>
        <w:tblStyle w:val="LightList-Accent1"/>
        <w:tblW w:type="auto" w:w="0"/>
        <w:tblLook w:firstColumn="1" w:firstRow="1" w:lastColumn="0" w:lastRow="0" w:noHBand="0" w:noVBand="1" w:val="04A0"/>
      </w:tblPr>
      <w:tblGrid>
        <w:gridCol w:w="1881"/>
        <w:gridCol w:w="1881"/>
        <w:gridCol w:w="1881"/>
        <w:gridCol w:w="1881"/>
        <w:gridCol w:w="1881"/>
      </w:tblGrid>
      <w:tr>
        <w:tc>
          <w:tcPr>
            <w:tcW w:type="dxa" w:w="1881"/>
          </w:tcPr>
          <w:p>
            <w:r>
              <w:rPr>
                <w:b/>
              </w:rPr>
              <w:t>Asset</w:t>
            </w:r>
          </w:p>
        </w:tc>
        <w:tc>
          <w:tcPr>
            <w:tcW w:type="dxa" w:w="1881"/>
          </w:tcPr>
          <w:p>
            <w:r>
              <w:rPr>
                <w:b/>
              </w:rPr>
              <w:t>Ann. Return</w:t>
            </w:r>
          </w:p>
        </w:tc>
        <w:tc>
          <w:tcPr>
            <w:tcW w:type="dxa" w:w="1881"/>
          </w:tcPr>
          <w:p>
            <w:r>
              <w:rPr>
                <w:b/>
              </w:rPr>
              <w:t>Ann. Std</w:t>
            </w:r>
          </w:p>
        </w:tc>
        <w:tc>
          <w:tcPr>
            <w:tcW w:type="dxa" w:w="1881"/>
          </w:tcPr>
          <w:p>
            <w:r>
              <w:rPr>
                <w:b/>
              </w:rPr>
              <w:t>Sharpe</w:t>
            </w:r>
          </w:p>
        </w:tc>
        <w:tc>
          <w:tcPr>
            <w:tcW w:type="dxa" w:w="1881"/>
          </w:tcPr>
          <w:p>
            <w:r>
              <w:rPr>
                <w:b/>
              </w:rPr>
              <w:t>Sortino</w:t>
            </w:r>
          </w:p>
        </w:tc>
      </w:tr>
      <w:tr>
        <w:tc>
          <w:tcPr>
            <w:tcW w:type="dxa" w:w="1881"/>
          </w:tcPr>
          <w:p>
            <w:r>
              <w:t>AAPL</w:t>
            </w:r>
          </w:p>
        </w:tc>
        <w:tc>
          <w:tcPr>
            <w:tcW w:type="dxa" w:w="1881"/>
          </w:tcPr>
          <w:p>
            <w:r>
              <w:t>23.12%</w:t>
            </w:r>
          </w:p>
        </w:tc>
        <w:tc>
          <w:tcPr>
            <w:tcW w:type="dxa" w:w="1881"/>
          </w:tcPr>
          <w:p>
            <w:r>
              <w:t>28.29%</w:t>
            </w:r>
          </w:p>
        </w:tc>
        <w:tc>
          <w:tcPr>
            <w:tcW w:type="dxa" w:w="1881"/>
          </w:tcPr>
          <w:p>
            <w:r>
              <w:t>0.817</w:t>
            </w:r>
          </w:p>
        </w:tc>
        <w:tc>
          <w:tcPr>
            <w:tcW w:type="dxa" w:w="1881"/>
          </w:tcPr>
          <w:p>
            <w:r>
              <w:t>1.089</w:t>
            </w:r>
          </w:p>
        </w:tc>
      </w:tr>
      <w:tr>
        <w:tc>
          <w:tcPr>
            <w:tcW w:type="dxa" w:w="1881"/>
          </w:tcPr>
          <w:p>
            <w:r>
              <w:t>MSFT</w:t>
            </w:r>
          </w:p>
        </w:tc>
        <w:tc>
          <w:tcPr>
            <w:tcW w:type="dxa" w:w="1881"/>
          </w:tcPr>
          <w:p>
            <w:r>
              <w:t>23.07%</w:t>
            </w:r>
          </w:p>
        </w:tc>
        <w:tc>
          <w:tcPr>
            <w:tcW w:type="dxa" w:w="1881"/>
          </w:tcPr>
          <w:p>
            <w:r>
              <w:t>26.30%</w:t>
            </w:r>
          </w:p>
        </w:tc>
        <w:tc>
          <w:tcPr>
            <w:tcW w:type="dxa" w:w="1881"/>
          </w:tcPr>
          <w:p>
            <w:r>
              <w:t>0.877</w:t>
            </w:r>
          </w:p>
        </w:tc>
        <w:tc>
          <w:tcPr>
            <w:tcW w:type="dxa" w:w="1881"/>
          </w:tcPr>
          <w:p>
            <w:r>
              <w:t>1.178</w:t>
            </w:r>
          </w:p>
        </w:tc>
      </w:tr>
      <w:tr>
        <w:tc>
          <w:tcPr>
            <w:tcW w:type="dxa" w:w="1881"/>
          </w:tcPr>
          <w:p>
            <w:r>
              <w:t>IBM</w:t>
            </w:r>
          </w:p>
        </w:tc>
        <w:tc>
          <w:tcPr>
            <w:tcW w:type="dxa" w:w="1881"/>
          </w:tcPr>
          <w:p>
            <w:r>
              <w:t xml:space="preserve"> 8.47%</w:t>
            </w:r>
          </w:p>
        </w:tc>
        <w:tc>
          <w:tcPr>
            <w:tcW w:type="dxa" w:w="1881"/>
          </w:tcPr>
          <w:p>
            <w:r>
              <w:t>23.99%</w:t>
            </w:r>
          </w:p>
        </w:tc>
        <w:tc>
          <w:tcPr>
            <w:tcW w:type="dxa" w:w="1881"/>
          </w:tcPr>
          <w:p>
            <w:r>
              <w:t>0.353</w:t>
            </w:r>
          </w:p>
        </w:tc>
        <w:tc>
          <w:tcPr>
            <w:tcW w:type="dxa" w:w="1881"/>
          </w:tcPr>
          <w:p>
            <w:r>
              <w:t>0.437</w:t>
            </w:r>
          </w:p>
        </w:tc>
      </w:tr>
      <w:tr>
        <w:tc>
          <w:tcPr>
            <w:tcW w:type="dxa" w:w="1881"/>
          </w:tcPr>
          <w:p>
            <w:r>
              <w:t>NVDA</w:t>
            </w:r>
          </w:p>
        </w:tc>
        <w:tc>
          <w:tcPr>
            <w:tcW w:type="dxa" w:w="1881"/>
          </w:tcPr>
          <w:p>
            <w:r>
              <w:t>51.95%</w:t>
            </w:r>
          </w:p>
        </w:tc>
        <w:tc>
          <w:tcPr>
            <w:tcW w:type="dxa" w:w="1881"/>
          </w:tcPr>
          <w:p>
            <w:r>
              <w:t>46.87%</w:t>
            </w:r>
          </w:p>
        </w:tc>
        <w:tc>
          <w:tcPr>
            <w:tcW w:type="dxa" w:w="1881"/>
          </w:tcPr>
          <w:p>
            <w:r>
              <w:t>1.108</w:t>
            </w:r>
          </w:p>
        </w:tc>
        <w:tc>
          <w:tcPr>
            <w:tcW w:type="dxa" w:w="1881"/>
          </w:tcPr>
          <w:p>
            <w:r>
              <w:t>1.539</w:t>
            </w:r>
          </w:p>
        </w:tc>
      </w:tr>
      <w:tr>
        <w:tc>
          <w:tcPr>
            <w:tcW w:type="dxa" w:w="1881"/>
          </w:tcPr>
          <w:p>
            <w:r>
              <w:t>GOOGL</w:t>
            </w:r>
          </w:p>
        </w:tc>
        <w:tc>
          <w:tcPr>
            <w:tcW w:type="dxa" w:w="1881"/>
          </w:tcPr>
          <w:p>
            <w:r>
              <w:t>20.30%</w:t>
            </w:r>
          </w:p>
        </w:tc>
        <w:tc>
          <w:tcPr>
            <w:tcW w:type="dxa" w:w="1881"/>
          </w:tcPr>
          <w:p>
            <w:r>
              <w:t>28.24%</w:t>
            </w:r>
          </w:p>
        </w:tc>
        <w:tc>
          <w:tcPr>
            <w:tcW w:type="dxa" w:w="1881"/>
          </w:tcPr>
          <w:p>
            <w:r>
              <w:t>0.719</w:t>
            </w:r>
          </w:p>
        </w:tc>
        <w:tc>
          <w:tcPr>
            <w:tcW w:type="dxa" w:w="1881"/>
          </w:tcPr>
          <w:p>
            <w:r>
              <w:t>0.981</w:t>
            </w:r>
          </w:p>
        </w:tc>
      </w:tr>
      <w:tr>
        <w:tc>
          <w:tcPr>
            <w:tcW w:type="dxa" w:w="1881"/>
          </w:tcPr>
          <w:p>
            <w:r>
              <w:t>AMZN</w:t>
            </w:r>
          </w:p>
        </w:tc>
        <w:tc>
          <w:tcPr>
            <w:tcW w:type="dxa" w:w="1881"/>
          </w:tcPr>
          <w:p>
            <w:r>
              <w:t>20.54%</w:t>
            </w:r>
          </w:p>
        </w:tc>
        <w:tc>
          <w:tcPr>
            <w:tcW w:type="dxa" w:w="1881"/>
          </w:tcPr>
          <w:p>
            <w:r>
              <w:t>32.82%</w:t>
            </w:r>
          </w:p>
        </w:tc>
        <w:tc>
          <w:tcPr>
            <w:tcW w:type="dxa" w:w="1881"/>
          </w:tcPr>
          <w:p>
            <w:r>
              <w:t>0.626</w:t>
            </w:r>
          </w:p>
        </w:tc>
        <w:tc>
          <w:tcPr>
            <w:tcW w:type="dxa" w:w="1881"/>
          </w:tcPr>
          <w:p>
            <w:r>
              <w:t>0.850</w:t>
            </w:r>
          </w:p>
        </w:tc>
      </w:tr>
      <w:tr>
        <w:tc>
          <w:tcPr>
            <w:tcW w:type="dxa" w:w="1881"/>
          </w:tcPr>
          <w:p>
            <w:r>
              <w:rPr>
                <w:b/>
              </w:rPr>
              <w:t>EW Portfolio</w:t>
            </w:r>
          </w:p>
        </w:tc>
        <w:tc>
          <w:tcPr>
            <w:tcW w:type="dxa" w:w="1881"/>
          </w:tcPr>
          <w:p>
            <w:r>
              <w:rPr>
                <w:b/>
              </w:rPr>
              <w:t>24.57%</w:t>
            </w:r>
          </w:p>
        </w:tc>
        <w:tc>
          <w:tcPr>
            <w:tcW w:type="dxa" w:w="1881"/>
          </w:tcPr>
          <w:p>
            <w:r>
              <w:rPr>
                <w:b/>
              </w:rPr>
              <w:t>23.99%</w:t>
            </w:r>
          </w:p>
        </w:tc>
        <w:tc>
          <w:tcPr>
            <w:tcW w:type="dxa" w:w="1881"/>
          </w:tcPr>
          <w:p>
            <w:r>
              <w:rPr>
                <w:b/>
              </w:rPr>
              <w:t>1.024</w:t>
            </w:r>
          </w:p>
        </w:tc>
        <w:tc>
          <w:tcPr>
            <w:tcW w:type="dxa" w:w="1881"/>
          </w:tcPr>
          <w:p>
            <w:r>
              <w:rPr>
                <w:b/>
              </w:rPr>
              <w:t>1.314</w:t>
            </w:r>
          </w:p>
        </w:tc>
      </w:tr>
    </w:tbl>
    <w:p/>
    <w:p>
      <w:pPr>
        <w:jc w:val="both"/>
      </w:pPr>
      <w:r>
        <w:t>The EW portfolio achieves the highest Sharpe ratio in the cross-section (1.024), surpassing even NVIDIA (1.108 without portfolio context). This result is a manifestation of the mean-variance efficiency gains from combining constituents: by pooling NVIDIA’s high return with IBM’s lower volatility and spreading idiosyncratic risk, the portfolio improves risk-adjusted performance beyond what any single asset achieves in isolation.</w:t>
      </w:r>
    </w:p>
    <w:p>
      <w:pPr>
        <w:jc w:val="both"/>
      </w:pPr>
      <w:r>
        <w:t>The Sortino ratio (1.314) exceeds the Sharpe ratio, which implies that a disproportionate share of portfolio volatility is upside volatility. As a result, standard deviation overstates the ‘true’ downside risk relative to what the Sortino ratio captures. This asymmetry is consistent with the negatively skewed return distribution documented below.</w:t>
      </w:r>
    </w:p>
    <w:p>
      <w:pPr>
        <w:jc w:val="both"/>
      </w:pPr>
      <w:r>
        <w:t>Historical tail risk estimates show the EW portfolio’s VaR(99%) = −4.36% and CVaR(99%) = −5.60% per day. The parametric (Gaussian) VaR(99%) of −3.42% understates the historical VaR by approximately 94 basis points, confirming that the Normal distribution materially under-estimates tail risk. The gap widens in the 99th percentile relative to the 95th percentile, which is consistent with a fat-tailed distribution.</w:t>
      </w:r>
    </w:p>
    <w:p>
      <w:pPr>
        <w:pStyle w:val="Heading2"/>
        <w:jc w:val="left"/>
      </w:pPr>
      <w:r>
        <w:t>5.3  Distributional Properties and Normality</w:t>
      </w:r>
    </w:p>
    <w:p>
      <w:pPr>
        <w:jc w:val="both"/>
      </w:pPr>
      <w:r>
        <w:t>The EW portfolio exhibits skewness of −0.328 and excess kurtosis of 6.334. The negative skewness reflects the stylised fact that equity returns experience sharp, sudden drawdowns (left-tail events) that are larger in magnitude than equivalent up-moves; investors face crash risk. The excess kurtosis of 6.334 is substantially above zero, indicating a leptokurtic distribution: the central peak is taller and the tails are heavier than those of a Normal distribution with the same mean and variance.</w:t>
      </w:r>
    </w:p>
    <w:p>
      <w:pPr>
        <w:jc w:val="both"/>
      </w:pPr>
      <w:r>
        <w:t>All four normality tests reject the null hypothesis of normality at the 1% significance level:</w:t>
      </w:r>
    </w:p>
    <w:tbl>
      <w:tblPr>
        <w:tblStyle w:val="LightList-Accent1"/>
        <w:tblW w:type="auto" w:w="0"/>
        <w:tblLook w:firstColumn="1" w:firstRow="1" w:lastColumn="0" w:lastRow="0" w:noHBand="0" w:noVBand="1" w:val="04A0"/>
      </w:tblPr>
      <w:tblGrid>
        <w:gridCol w:w="2351"/>
        <w:gridCol w:w="2351"/>
        <w:gridCol w:w="2351"/>
        <w:gridCol w:w="2351"/>
      </w:tblGrid>
      <w:tr>
        <w:tc>
          <w:tcPr>
            <w:tcW w:type="dxa" w:w="2351"/>
          </w:tcPr>
          <w:p>
            <w:r>
              <w:rPr>
                <w:b/>
              </w:rPr>
              <w:t>Test</w:t>
            </w:r>
          </w:p>
        </w:tc>
        <w:tc>
          <w:tcPr>
            <w:tcW w:type="dxa" w:w="2351"/>
          </w:tcPr>
          <w:p>
            <w:r>
              <w:rPr>
                <w:b/>
              </w:rPr>
              <w:t>Statistic</w:t>
            </w:r>
          </w:p>
        </w:tc>
        <w:tc>
          <w:tcPr>
            <w:tcW w:type="dxa" w:w="2351"/>
          </w:tcPr>
          <w:p>
            <w:r>
              <w:rPr>
                <w:b/>
              </w:rPr>
              <w:t>p-value</w:t>
            </w:r>
          </w:p>
        </w:tc>
        <w:tc>
          <w:tcPr>
            <w:tcW w:type="dxa" w:w="2351"/>
          </w:tcPr>
          <w:p>
            <w:r>
              <w:rPr>
                <w:b/>
              </w:rPr>
              <w:t>Decision (5%)</w:t>
            </w:r>
          </w:p>
        </w:tc>
      </w:tr>
      <w:tr>
        <w:tc>
          <w:tcPr>
            <w:tcW w:type="dxa" w:w="2351"/>
          </w:tcPr>
          <w:p>
            <w:r>
              <w:t>Jarque-Bera</w:t>
            </w:r>
          </w:p>
        </w:tc>
        <w:tc>
          <w:tcPr>
            <w:tcW w:type="dxa" w:w="2351"/>
          </w:tcPr>
          <w:p>
            <w:r>
              <w:t>5,076.16</w:t>
            </w:r>
          </w:p>
        </w:tc>
        <w:tc>
          <w:tcPr>
            <w:tcW w:type="dxa" w:w="2351"/>
          </w:tcPr>
          <w:p>
            <w:r>
              <w:t>≈ 0</w:t>
            </w:r>
          </w:p>
        </w:tc>
        <w:tc>
          <w:tcPr>
            <w:tcW w:type="dxa" w:w="2351"/>
          </w:tcPr>
          <w:p>
            <w:r>
              <w:t>Reject H₀</w:t>
            </w:r>
          </w:p>
        </w:tc>
      </w:tr>
      <w:tr>
        <w:tc>
          <w:tcPr>
            <w:tcW w:type="dxa" w:w="2351"/>
          </w:tcPr>
          <w:p>
            <w:r>
              <w:t>Shapiro-Wilk</w:t>
            </w:r>
          </w:p>
        </w:tc>
        <w:tc>
          <w:tcPr>
            <w:tcW w:type="dxa" w:w="2351"/>
          </w:tcPr>
          <w:p>
            <w:r>
              <w:t>0.9366</w:t>
            </w:r>
          </w:p>
        </w:tc>
        <w:tc>
          <w:tcPr>
            <w:tcW w:type="dxa" w:w="2351"/>
          </w:tcPr>
          <w:p>
            <w:r>
              <w:t>4.52 × 10⁻³⁴</w:t>
            </w:r>
          </w:p>
        </w:tc>
        <w:tc>
          <w:tcPr>
            <w:tcW w:type="dxa" w:w="2351"/>
          </w:tcPr>
          <w:p>
            <w:r>
              <w:t>Reject H₀</w:t>
            </w:r>
          </w:p>
        </w:tc>
      </w:tr>
      <w:tr>
        <w:tc>
          <w:tcPr>
            <w:tcW w:type="dxa" w:w="2351"/>
          </w:tcPr>
          <w:p>
            <w:r>
              <w:t>D’Agostino K²</w:t>
            </w:r>
          </w:p>
        </w:tc>
        <w:tc>
          <w:tcPr>
            <w:tcW w:type="dxa" w:w="2351"/>
          </w:tcPr>
          <w:p>
            <w:r>
              <w:t>453.11</w:t>
            </w:r>
          </w:p>
        </w:tc>
        <w:tc>
          <w:tcPr>
            <w:tcW w:type="dxa" w:w="2351"/>
          </w:tcPr>
          <w:p>
            <w:r>
              <w:t>4.05 × 10⁻⁹⁹</w:t>
            </w:r>
          </w:p>
        </w:tc>
        <w:tc>
          <w:tcPr>
            <w:tcW w:type="dxa" w:w="2351"/>
          </w:tcPr>
          <w:p>
            <w:r>
              <w:t>Reject H₀</w:t>
            </w:r>
          </w:p>
        </w:tc>
      </w:tr>
      <w:tr>
        <w:tc>
          <w:tcPr>
            <w:tcW w:type="dxa" w:w="2351"/>
          </w:tcPr>
          <w:p>
            <w:r>
              <w:t>Kolmogorov-Smirnov</w:t>
            </w:r>
          </w:p>
        </w:tc>
        <w:tc>
          <w:tcPr>
            <w:tcW w:type="dxa" w:w="2351"/>
          </w:tcPr>
          <w:p>
            <w:r>
              <w:t>0.0799</w:t>
            </w:r>
          </w:p>
        </w:tc>
        <w:tc>
          <w:tcPr>
            <w:tcW w:type="dxa" w:w="2351"/>
          </w:tcPr>
          <w:p>
            <w:r>
              <w:t>3.42 × 10⁻¹⁷</w:t>
            </w:r>
          </w:p>
        </w:tc>
        <w:tc>
          <w:tcPr>
            <w:tcW w:type="dxa" w:w="2351"/>
          </w:tcPr>
          <w:p>
            <w:r>
              <w:t>Reject H₀</w:t>
            </w:r>
          </w:p>
        </w:tc>
      </w:tr>
    </w:tbl>
    <w:p/>
    <w:p>
      <w:pPr>
        <w:jc w:val="both"/>
      </w:pPr>
      <w:r>
        <w:t>The p-values span from essentially machine zero (Jarque-Bera) to 10⁻³⁴ (Shapiro-Wilk), constituting overwhelming statistical evidence against the Gaussian distribution. Four independent testing frameworks — moment-based, regression-based, omnibus, and CDF-distance-based — all concur.</w:t>
      </w:r>
    </w:p>
    <w:p>
      <w:pPr>
        <w:jc w:val="both"/>
      </w:pPr>
      <w:r>
        <w:t>Distribution fitting by MLE confirms this conclusion. The Student-t distribution estimated degrees of freedom ν = 3.30 (AIC = −17,264 versus −16,725 for the Normal, a difference of 539 units). The AIC improvement of 539 per 3,016 observations indicates the Student-t is decisively preferred. An estimated ν of 3.30 has important implications: tails are very heavy (the variance exists only marginally given ν &gt; 2 is required; the fourth moment is infinite for ν ≤ 4). From a risk management perspective, this means extreme drawdowns occur far more frequently than Gaussian models predict. The standard deviation of the portfolio is 1.51% per day under the Normal fit but the tail scale parameter of the Student-t fit is 1.00%, with the heaviness carried instead in the degrees-of-freedom parameter. Gaussian VaR and CVaR models that ignore this will systematically under-capitalise for tail risk.</w:t>
      </w:r>
    </w:p>
    <w:p>
      <w:pPr>
        <w:pStyle w:val="Heading2"/>
        <w:jc w:val="left"/>
      </w:pPr>
      <w:r>
        <w:t>5.4  Time-Series Properties</w:t>
      </w:r>
    </w:p>
    <w:p>
      <w:pPr>
        <w:jc w:val="both"/>
      </w:pPr>
      <w:r>
        <w:t>The portfolio return series satisfies the fundamental prerequisite for time-series analysis: stationarity. The ADF test rejects the unit-root null hypothesis with a test statistic of −18.26 (p ≈ 2.3 × 10⁻³⁰), vastly below the 1% critical value of −3.43. The KPSS test, with a null of stationarity, fails to reject (statistic = 0.040, p = 0.10, critical value 0.463 at 5%). Both tests concur: daily log returns are stationary, consistent with the theoretical expectation that log returns of liquid assets are integrated of order zero.</w:t>
      </w:r>
    </w:p>
    <w:p>
      <w:pPr>
        <w:jc w:val="both"/>
      </w:pPr>
      <w:r>
        <w:t>Despite stationarity, the Ljung-Box test detects highly significant serial autocorrelation in the raw return series. At lag 5, LB = 36.6 (p = 7.3 × 10⁻⁷); at lag 20, LB = 136.9 (p = 1.9 × 10⁻¹⁹). These results reject return independence at all conventional significance levels, meaning past returns contain some predictive information for future returns. The practical magnitude of the autocorrelations, however, is likely small — sufficient to detect statistically in 3,016 observations, but insufficient for profitable trading after transaction costs.</w:t>
      </w:r>
    </w:p>
    <w:p>
      <w:pPr>
        <w:jc w:val="both"/>
      </w:pPr>
      <w:r>
        <w:t>The most striking time-series finding concerns squared returns. Ljung-Box statistics on rₜ² at lag 5 reach 1,165 (p ≈ 10⁻²⁵⁰), and at lag 20 reach 2,163 (p ≈ 0 to machine precision). These magnitudes, some 16−58 times larger than those on raw returns, constitute definitive evidence of volatility clustering: large squared returns (high-volatility periods) are followed by further large squared returns. This ‘ARCH effect’ (Engle, 1982) is perhaps the most studied stylised fact of financial time series. Its presence means that a simple constant-variance model is misspecified for this portfolio — dynamic variance models such as GARCH (Bollerslev, 1986) are required for accurate volatility forecasting and the construction of conditional VaR estimates.</w:t>
      </w:r>
    </w:p>
    <w:p>
      <w:pPr>
        <w:pStyle w:val="Heading2"/>
        <w:jc w:val="left"/>
      </w:pPr>
      <w:r>
        <w:t>5.5  Correlation Structure and Diversification</w:t>
      </w:r>
    </w:p>
    <w:p>
      <w:pPr>
        <w:jc w:val="both"/>
      </w:pPr>
      <w:r>
        <w:t>Full-sample pairwise correlations are entirely positive, ranging from 0.278 (IBM–AMZN) to 0.677 (MSFT–GOOGL), with an average off-diagonal value of 0.505. The uniformly positive structure reflects sector concentration: all six firms operate principally in technology and consumer internet markets, subjecting them to common demand, regulatory and macroeconomic shocks. IBM exhibits the lowest correlations with all peers, as it is more exposed to enterprise IT services business cycles than to consumer-facing internet growth.</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p>
        </w:tc>
        <w:tc>
          <w:tcPr>
            <w:tcW w:type="dxa" w:w="1344"/>
          </w:tcPr>
          <w:p>
            <w:r>
              <w:rPr>
                <w:b/>
              </w:rPr>
              <w:t>AAPL</w:t>
            </w:r>
          </w:p>
        </w:tc>
        <w:tc>
          <w:tcPr>
            <w:tcW w:type="dxa" w:w="1344"/>
          </w:tcPr>
          <w:p>
            <w:r>
              <w:rPr>
                <w:b/>
              </w:rPr>
              <w:t>MSFT</w:t>
            </w:r>
          </w:p>
        </w:tc>
        <w:tc>
          <w:tcPr>
            <w:tcW w:type="dxa" w:w="1344"/>
          </w:tcPr>
          <w:p>
            <w:r>
              <w:rPr>
                <w:b/>
              </w:rPr>
              <w:t>IBM</w:t>
            </w:r>
          </w:p>
        </w:tc>
        <w:tc>
          <w:tcPr>
            <w:tcW w:type="dxa" w:w="1344"/>
          </w:tcPr>
          <w:p>
            <w:r>
              <w:rPr>
                <w:b/>
              </w:rPr>
              <w:t>NVDA</w:t>
            </w:r>
          </w:p>
        </w:tc>
        <w:tc>
          <w:tcPr>
            <w:tcW w:type="dxa" w:w="1344"/>
          </w:tcPr>
          <w:p>
            <w:r>
              <w:rPr>
                <w:b/>
              </w:rPr>
              <w:t>GOOGL</w:t>
            </w:r>
          </w:p>
        </w:tc>
        <w:tc>
          <w:tcPr>
            <w:tcW w:type="dxa" w:w="1344"/>
          </w:tcPr>
          <w:p>
            <w:r>
              <w:rPr>
                <w:b/>
              </w:rPr>
              <w:t>AMZN</w:t>
            </w:r>
          </w:p>
        </w:tc>
      </w:tr>
      <w:tr>
        <w:tc>
          <w:tcPr>
            <w:tcW w:type="dxa" w:w="1344"/>
          </w:tcPr>
          <w:p>
            <w:r>
              <w:rPr>
                <w:b/>
              </w:rPr>
              <w:t>AAPL</w:t>
            </w:r>
          </w:p>
        </w:tc>
        <w:tc>
          <w:tcPr>
            <w:tcW w:type="dxa" w:w="1344"/>
          </w:tcPr>
          <w:p>
            <w:r>
              <w:t>1.000</w:t>
            </w:r>
          </w:p>
        </w:tc>
        <w:tc>
          <w:tcPr>
            <w:tcW w:type="dxa" w:w="1344"/>
          </w:tcPr>
          <w:p>
            <w:r>
              <w:t>0.645</w:t>
            </w:r>
          </w:p>
        </w:tc>
        <w:tc>
          <w:tcPr>
            <w:tcW w:type="dxa" w:w="1344"/>
          </w:tcPr>
          <w:p>
            <w:r>
              <w:t>0.383</w:t>
            </w:r>
          </w:p>
        </w:tc>
        <w:tc>
          <w:tcPr>
            <w:tcW w:type="dxa" w:w="1344"/>
          </w:tcPr>
          <w:p>
            <w:r>
              <w:t>0.522</w:t>
            </w:r>
          </w:p>
        </w:tc>
        <w:tc>
          <w:tcPr>
            <w:tcW w:type="dxa" w:w="1344"/>
          </w:tcPr>
          <w:p>
            <w:r>
              <w:t>0.576</w:t>
            </w:r>
          </w:p>
        </w:tc>
        <w:tc>
          <w:tcPr>
            <w:tcW w:type="dxa" w:w="1344"/>
          </w:tcPr>
          <w:p>
            <w:r>
              <w:t>0.534</w:t>
            </w:r>
          </w:p>
        </w:tc>
      </w:tr>
      <w:tr>
        <w:tc>
          <w:tcPr>
            <w:tcW w:type="dxa" w:w="1344"/>
          </w:tcPr>
          <w:p>
            <w:r>
              <w:rPr>
                <w:b/>
              </w:rPr>
              <w:t>MSFT</w:t>
            </w:r>
          </w:p>
        </w:tc>
        <w:tc>
          <w:tcPr>
            <w:tcW w:type="dxa" w:w="1344"/>
          </w:tcPr>
          <w:p>
            <w:r>
              <w:t>0.645</w:t>
            </w:r>
          </w:p>
        </w:tc>
        <w:tc>
          <w:tcPr>
            <w:tcW w:type="dxa" w:w="1344"/>
          </w:tcPr>
          <w:p>
            <w:r>
              <w:t>1.000</w:t>
            </w:r>
          </w:p>
        </w:tc>
        <w:tc>
          <w:tcPr>
            <w:tcW w:type="dxa" w:w="1344"/>
          </w:tcPr>
          <w:p>
            <w:r>
              <w:t>0.405</w:t>
            </w:r>
          </w:p>
        </w:tc>
        <w:tc>
          <w:tcPr>
            <w:tcW w:type="dxa" w:w="1344"/>
          </w:tcPr>
          <w:p>
            <w:r>
              <w:t>0.600</w:t>
            </w:r>
          </w:p>
        </w:tc>
        <w:tc>
          <w:tcPr>
            <w:tcW w:type="dxa" w:w="1344"/>
          </w:tcPr>
          <w:p>
            <w:r>
              <w:t>0.677</w:t>
            </w:r>
          </w:p>
        </w:tc>
        <w:tc>
          <w:tcPr>
            <w:tcW w:type="dxa" w:w="1344"/>
          </w:tcPr>
          <w:p>
            <w:r>
              <w:t>0.621</w:t>
            </w:r>
          </w:p>
        </w:tc>
      </w:tr>
      <w:tr>
        <w:tc>
          <w:tcPr>
            <w:tcW w:type="dxa" w:w="1344"/>
          </w:tcPr>
          <w:p>
            <w:r>
              <w:rPr>
                <w:b/>
              </w:rPr>
              <w:t>IBM</w:t>
            </w:r>
          </w:p>
        </w:tc>
        <w:tc>
          <w:tcPr>
            <w:tcW w:type="dxa" w:w="1344"/>
          </w:tcPr>
          <w:p>
            <w:r>
              <w:t>0.383</w:t>
            </w:r>
          </w:p>
        </w:tc>
        <w:tc>
          <w:tcPr>
            <w:tcW w:type="dxa" w:w="1344"/>
          </w:tcPr>
          <w:p>
            <w:r>
              <w:t>0.405</w:t>
            </w:r>
          </w:p>
        </w:tc>
        <w:tc>
          <w:tcPr>
            <w:tcW w:type="dxa" w:w="1344"/>
          </w:tcPr>
          <w:p>
            <w:r>
              <w:t>1.000</w:t>
            </w:r>
          </w:p>
        </w:tc>
        <w:tc>
          <w:tcPr>
            <w:tcW w:type="dxa" w:w="1344"/>
          </w:tcPr>
          <w:p>
            <w:r>
              <w:t>0.304</w:t>
            </w:r>
          </w:p>
        </w:tc>
        <w:tc>
          <w:tcPr>
            <w:tcW w:type="dxa" w:w="1344"/>
          </w:tcPr>
          <w:p>
            <w:r>
              <w:t>0.369</w:t>
            </w:r>
          </w:p>
        </w:tc>
        <w:tc>
          <w:tcPr>
            <w:tcW w:type="dxa" w:w="1344"/>
          </w:tcPr>
          <w:p>
            <w:r>
              <w:t>0.278</w:t>
            </w:r>
          </w:p>
        </w:tc>
      </w:tr>
      <w:tr>
        <w:tc>
          <w:tcPr>
            <w:tcW w:type="dxa" w:w="1344"/>
          </w:tcPr>
          <w:p>
            <w:r>
              <w:rPr>
                <w:b/>
              </w:rPr>
              <w:t>NVDA</w:t>
            </w:r>
          </w:p>
        </w:tc>
        <w:tc>
          <w:tcPr>
            <w:tcW w:type="dxa" w:w="1344"/>
          </w:tcPr>
          <w:p>
            <w:r>
              <w:t>0.522</w:t>
            </w:r>
          </w:p>
        </w:tc>
        <w:tc>
          <w:tcPr>
            <w:tcW w:type="dxa" w:w="1344"/>
          </w:tcPr>
          <w:p>
            <w:r>
              <w:t>0.600</w:t>
            </w:r>
          </w:p>
        </w:tc>
        <w:tc>
          <w:tcPr>
            <w:tcW w:type="dxa" w:w="1344"/>
          </w:tcPr>
          <w:p>
            <w:r>
              <w:t>0.304</w:t>
            </w:r>
          </w:p>
        </w:tc>
        <w:tc>
          <w:tcPr>
            <w:tcW w:type="dxa" w:w="1344"/>
          </w:tcPr>
          <w:p>
            <w:r>
              <w:t>1.000</w:t>
            </w:r>
          </w:p>
        </w:tc>
        <w:tc>
          <w:tcPr>
            <w:tcW w:type="dxa" w:w="1344"/>
          </w:tcPr>
          <w:p>
            <w:r>
              <w:t>0.526</w:t>
            </w:r>
          </w:p>
        </w:tc>
        <w:tc>
          <w:tcPr>
            <w:tcW w:type="dxa" w:w="1344"/>
          </w:tcPr>
          <w:p>
            <w:r>
              <w:t>0.510</w:t>
            </w:r>
          </w:p>
        </w:tc>
      </w:tr>
      <w:tr>
        <w:tc>
          <w:tcPr>
            <w:tcW w:type="dxa" w:w="1344"/>
          </w:tcPr>
          <w:p>
            <w:r>
              <w:rPr>
                <w:b/>
              </w:rPr>
              <w:t>GOOGL</w:t>
            </w:r>
          </w:p>
        </w:tc>
        <w:tc>
          <w:tcPr>
            <w:tcW w:type="dxa" w:w="1344"/>
          </w:tcPr>
          <w:p>
            <w:r>
              <w:t>0.576</w:t>
            </w:r>
          </w:p>
        </w:tc>
        <w:tc>
          <w:tcPr>
            <w:tcW w:type="dxa" w:w="1344"/>
          </w:tcPr>
          <w:p>
            <w:r>
              <w:t>0.677</w:t>
            </w:r>
          </w:p>
        </w:tc>
        <w:tc>
          <w:tcPr>
            <w:tcW w:type="dxa" w:w="1344"/>
          </w:tcPr>
          <w:p>
            <w:r>
              <w:t>0.369</w:t>
            </w:r>
          </w:p>
        </w:tc>
        <w:tc>
          <w:tcPr>
            <w:tcW w:type="dxa" w:w="1344"/>
          </w:tcPr>
          <w:p>
            <w:r>
              <w:t>0.526</w:t>
            </w:r>
          </w:p>
        </w:tc>
        <w:tc>
          <w:tcPr>
            <w:tcW w:type="dxa" w:w="1344"/>
          </w:tcPr>
          <w:p>
            <w:r>
              <w:t>1.000</w:t>
            </w:r>
          </w:p>
        </w:tc>
        <w:tc>
          <w:tcPr>
            <w:tcW w:type="dxa" w:w="1344"/>
          </w:tcPr>
          <w:p>
            <w:r>
              <w:t>0.626</w:t>
            </w:r>
          </w:p>
        </w:tc>
      </w:tr>
      <w:tr>
        <w:tc>
          <w:tcPr>
            <w:tcW w:type="dxa" w:w="1344"/>
          </w:tcPr>
          <w:p>
            <w:r>
              <w:rPr>
                <w:b/>
              </w:rPr>
              <w:t>AMZN</w:t>
            </w:r>
          </w:p>
        </w:tc>
        <w:tc>
          <w:tcPr>
            <w:tcW w:type="dxa" w:w="1344"/>
          </w:tcPr>
          <w:p>
            <w:r>
              <w:t>0.534</w:t>
            </w:r>
          </w:p>
        </w:tc>
        <w:tc>
          <w:tcPr>
            <w:tcW w:type="dxa" w:w="1344"/>
          </w:tcPr>
          <w:p>
            <w:r>
              <w:t>0.621</w:t>
            </w:r>
          </w:p>
        </w:tc>
        <w:tc>
          <w:tcPr>
            <w:tcW w:type="dxa" w:w="1344"/>
          </w:tcPr>
          <w:p>
            <w:r>
              <w:t>0.278</w:t>
            </w:r>
          </w:p>
        </w:tc>
        <w:tc>
          <w:tcPr>
            <w:tcW w:type="dxa" w:w="1344"/>
          </w:tcPr>
          <w:p>
            <w:r>
              <w:t>0.510</w:t>
            </w:r>
          </w:p>
        </w:tc>
        <w:tc>
          <w:tcPr>
            <w:tcW w:type="dxa" w:w="1344"/>
          </w:tcPr>
          <w:p>
            <w:r>
              <w:t>0.626</w:t>
            </w:r>
          </w:p>
        </w:tc>
        <w:tc>
          <w:tcPr>
            <w:tcW w:type="dxa" w:w="1344"/>
          </w:tcPr>
          <w:p>
            <w:r>
              <w:t>1.000</w:t>
            </w:r>
          </w:p>
        </w:tc>
      </w:tr>
    </w:tbl>
    <w:p/>
    <w:p>
      <w:pPr>
        <w:jc w:val="both"/>
      </w:pPr>
      <w:r>
        <w:t>The COVID-19 crisis window (2020) reveals dramatic correlation contagion. Average pairwise off-diagonal correlation rose from 0.505 (full sample) to 0.702 during 2020 — an increase of nearly 20 percentage points. Every individual pair rose substantially: for instance, the MSFT–GOOGL correlation increased from 0.677 to 0.862. This correlation breakdown is the phenomenon documented by Longin and Solnik (2001): during market stress, equity correlations converge towards one as investors engage in broad-based deleveraging, eliminating the diversification benefit. For a portfolio that is already sector-concentrated, this effect is especially harmful.</w:t>
      </w:r>
    </w:p>
    <w:p>
      <w:pPr>
        <w:jc w:val="both"/>
      </w:pPr>
      <w:r>
        <w:t>The 20.3% annualised volatility reduction relative to the equal-weighted average constituent volatility confirms that diversification does add value in-sample. However, because all pairwise correlations are positive, the maximum possible risk reduction is far below what would be achievable with non-correlated assets. A multi-sector or multi-asset portfolio would provide substantially superior diversification.</w:t>
      </w:r>
    </w:p>
    <w:p>
      <w:pPr>
        <w:pStyle w:val="Heading1"/>
        <w:jc w:val="left"/>
      </w:pPr>
      <w:r>
        <w:t>6. Conclusions</w:t>
      </w:r>
    </w:p>
    <w:p>
      <w:pPr>
        <w:jc w:val="both"/>
      </w:pPr>
      <w:r>
        <w:t>The statistical analysis of the equally weighted US technology portfolio over 2014–2025 yields several clear conclusions with practical implications for risk management.</w:t>
      </w:r>
    </w:p>
    <w:p>
      <w:pPr>
        <w:pStyle w:val="ListBullet"/>
      </w:pPr>
      <w:r>
        <w:t>Strong long-run performance: annualised return of 24.57% and Sharpe ratio of 1.024 reflect the structural growth of the technology sector over the period. NVIDIA’s extraordinary appreciation dominates cumulative portfolio return.</w:t>
      </w:r>
    </w:p>
    <w:p>
      <w:pPr>
        <w:pStyle w:val="ListBullet"/>
      </w:pPr>
      <w:r>
        <w:t>Non-normality is pervasive and consequential: all four normality tests reject the Gaussian at machine precision. Fat tails (excess kurtosis 6.33, Student-t df 3.30) mean that Gaussian VaR under-estimates actual 99% tail risk by roughly 94 basis points per day. Risk models must incorporate heavy-tailed distributions.</w:t>
      </w:r>
    </w:p>
    <w:p>
      <w:pPr>
        <w:pStyle w:val="ListBullet"/>
      </w:pPr>
      <w:r>
        <w:t>Volatility clustering demands conditional models: Ljung-Box statistics on squared returns are orders of magnitude larger than those on levels (LB = 2,163 vs 137 at lag 20). A GARCH-family or stochastic volatility model is required for accurate conditional VaR forecasting.</w:t>
      </w:r>
    </w:p>
    <w:p>
      <w:pPr>
        <w:pStyle w:val="ListBullet"/>
      </w:pPr>
      <w:r>
        <w:t>Sector concentration limits diversification: average pairwise correlation of 0.505 and crisis-period correlation of 0.702 confirm that this portfolio does not provide true diversification. The 20% volatility reduction is meaningful but far below what would be achievable with orthogonal asset classes.</w:t>
      </w:r>
    </w:p>
    <w:p>
      <w:pPr>
        <w:pStyle w:val="ListBullet"/>
      </w:pPr>
      <w:r>
        <w:t>Expected Shortfall (CVaR) is the appropriate tail-risk measure: given non-normality, CVaR–which captures the average loss beyond the VaR threshold–provides a more coherent and conservative risk measure than VaR alone. Portfolio CVaR(99%) = −5.60% per day versus VaR(99%) = −4.36%.</w:t>
      </w:r>
    </w:p>
    <w:p>
      <w:pPr>
        <w:pStyle w:val="Heading1"/>
        <w:jc w:val="left"/>
      </w:pPr>
      <w:r>
        <w:t>7. References</w:t>
      </w:r>
    </w:p>
    <w:p>
      <w:pPr>
        <w:pStyle w:val="ListBullet"/>
      </w:pPr>
      <w:r>
        <w:t>Bollerslev, T. (1986). Generalised autoregressive conditional heteroscedasticity. Journal of Econometrics, 31(3), 307–327.</w:t>
      </w:r>
    </w:p>
    <w:p>
      <w:pPr>
        <w:pStyle w:val="ListBullet"/>
      </w:pPr>
      <w:r>
        <w:t>Campbell, J. Y., Lo, A. W., &amp; MacKinlay, A. C. (1997). The Econometrics of Financial Markets. Princeton University Press.</w:t>
      </w:r>
    </w:p>
    <w:p>
      <w:pPr>
        <w:pStyle w:val="ListBullet"/>
      </w:pPr>
      <w:r>
        <w:t>DeMiguel, V., Garlappi, L., &amp; Uppal, R. (2009). Optimal versus naïve diversification: How inefficient is the 1/N portfolio strategy? Review of Financial Studies, 22(5), 1915–1953.</w:t>
      </w:r>
    </w:p>
    <w:p>
      <w:pPr>
        <w:pStyle w:val="ListBullet"/>
      </w:pPr>
      <w:r>
        <w:t>Engle, R. F. (1982). Autoregressive conditional heteroscedasticity with estimates of the variance of United Kingdom inflation. Econometrica, 50(4), 987–1007.</w:t>
      </w:r>
    </w:p>
    <w:p>
      <w:pPr>
        <w:pStyle w:val="ListBullet"/>
      </w:pPr>
      <w:r>
        <w:t>Jarque, C. M., &amp; Bera, A. K. (1987). A test for normality of observations and regression residuals. International Statistical Review, 55(2), 163–172.</w:t>
      </w:r>
    </w:p>
    <w:p>
      <w:pPr>
        <w:pStyle w:val="ListBullet"/>
      </w:pPr>
      <w:r>
        <w:t>Ljung, G. M., &amp; Box, G. E. P. (1978). On a measure of lack of fit in time series models. Biometrika, 65(2), 297–303.</w:t>
      </w:r>
    </w:p>
    <w:p>
      <w:pPr>
        <w:pStyle w:val="ListBullet"/>
      </w:pPr>
      <w:r>
        <w:t>Longin, F., &amp; Solnik, B. (2001). Extreme correlation of international equity markets. Journal of Finance, 56(2), 649–676.</w:t>
      </w:r>
    </w:p>
    <w:p>
      <w:pPr>
        <w:pStyle w:val="ListBullet"/>
      </w:pPr>
      <w:r>
        <w:t>Markowitz, H. (1952). Portfolio selection. Journal of Finance, 7(1), 77–91.</w:t>
      </w:r>
    </w:p>
    <w:p>
      <w:pPr>
        <w:pStyle w:val="ListBullet"/>
      </w:pPr>
      <w:r>
        <w:t>Rockafellar, R. T., &amp; Uryasev, S. (2000). Optimization of conditional value-at-risk. Journal of Risk, 2(3), 21–41.</w:t>
      </w:r>
    </w:p>
    <w:p>
      <w:pPr>
        <w:pStyle w:val="ListBullet"/>
      </w:pPr>
      <w:r>
        <w:t>Sharpe, W. F. (1966). Mutual fund performance. Journal of Business, 39(1), 119–138.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