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SMM272 Risk Analysis — Q1 Part 3</w:t>
      </w:r>
    </w:p>
    <w:p>
      <w:pPr>
        <w:jc w:val="center"/>
      </w:pPr>
      <w:r>
        <w:rPr>
          <w:b/>
          <w:i w:val="0"/>
          <w:color w:val="1F497D"/>
          <w:sz w:val="28"/>
        </w:rPr>
        <w:t>VaR Violations Backtesting:</w:t>
        <w:br/>
        <w:t>Methodology, Statistical Tests, Results, and Critical Discussion</w:t>
      </w:r>
    </w:p>
    <w:p/>
    <w:p>
      <w:pPr>
        <w:jc w:val="center"/>
      </w:pPr>
      <w:r>
        <w:rPr>
          <w:b w:val="0"/>
          <w:i/>
          <w:color w:val="595959"/>
          <w:sz w:val="22"/>
        </w:rPr>
        <w:t>Portfolio: AAPL, MSFT, IBM, NVDA, GOOGL, AMZN (Equally Weighted)</w:t>
        <w:br/>
        <w:t>Evaluation period: 2014-07-01 – 2025-12-30  |  Confidence levels: 90%, 95%, 99%</w:t>
        <w:br/>
        <w:t>Rolling window: 6 calendar months  |  Forecast observations: 2,893</w:t>
      </w:r>
    </w:p>
    <w:p/>
    <w:p>
      <w:pPr>
        <w:pStyle w:val="Heading1"/>
        <w:jc w:val="left"/>
      </w:pPr>
      <w:r>
        <w:t>1. Executive Summary</w:t>
      </w:r>
    </w:p>
    <w:p>
      <w:pPr>
        <w:jc w:val="both"/>
      </w:pPr>
      <w:r>
        <w:t>This report documents the VaR violations backtesting analysis performed for Q1 Part 3 of the SMM272 Risk Analysis coursework. Four rolling VaR models — Historical Simulation (HS), Parametric Normal, Parametric Student-t, and GARCH(1,1) — are evaluated at three confidence levels (90%, 95%, 99%) over 2,893 daily forecast dates from 2014-07-01 to 2025-12-30. For each (model, confidence level) pair the number of VaR violations is counted and subjected to two formal statistical tests: the Kupiec (1995) Proportion of Failures (POF) test for unconditional coverage accuracy, and the Christoffersen (1998) test for violation independence and joint conditional coverage.</w:t>
      </w:r>
    </w:p>
    <w:p>
      <w:pPr>
        <w:jc w:val="both"/>
      </w:pPr>
      <w:r>
        <w:t>At the primary 99% confidence level, Historical Simulation recorded the fewest violations (49, rate 1.694%) and is the only model that cannot be rejected by the Kupiec test at 5% significance. The Parametric Normal (87 violations, 3.007%) and GARCH(1,1) (82 violations, 2.834%) both failed unconditional coverage. Parametric Student-t (63 violations, 2.178%) occupied an intermediate position. Across all models and confidence levels, the Christoffersen independence test reveals evidence of violation clustering during stress periods, with GARCH showing the strongest clustering despite its dynamic volatility specification. The cumulative violation time-series confirms that the bulk of excess breaches occurred in distinct stress episodes (2018, 2020, 2022) rather than being uniformly distributed over time.</w:t>
      </w:r>
    </w:p>
    <w:p>
      <w:pPr>
        <w:pStyle w:val="Heading1"/>
        <w:jc w:val="left"/>
      </w:pPr>
      <w:r>
        <w:t>2. Data and Sample Description</w:t>
      </w:r>
    </w:p>
    <w:p>
      <w:pPr>
        <w:jc w:val="both"/>
      </w:pPr>
      <w:r>
        <w:t>The analysis uses the equally weighted six-stock portfolio constructed in Q1 Part 1. Daily portfolio log returns are defined as:</w:t>
      </w:r>
    </w:p>
    <w:p>
      <w:pPr>
        <w:jc w:val="center"/>
      </w:pPr>
      <w:r>
        <w:rPr>
          <w:b w:val="0"/>
          <w:i/>
          <w:sz w:val="22"/>
        </w:rPr>
        <w:t>rₚ,t = (1/6) × Σ ln( Pᵢ,t / Pᵢ,t₋₁ )</w:t>
      </w:r>
    </w:p>
    <w:p>
      <w:pPr>
        <w:jc w:val="both"/>
      </w:pPr>
      <w:r>
        <w:t>The full return series spans January 2014 to December 2025. After a 6-month initialisation window, the evaluation begins on 2014-07-01 and consists of 2,893 daily one-step-ahead VaR forecasts. Q1 Part 3 extends the single 99% confidence level used in Part 2 to three levels (90%, 95%, 99%), enabling a richer assessment of model performance across the full tail spectrum.</w:t>
      </w:r>
    </w:p>
    <w:tbl>
      <w:tblPr>
        <w:tblStyle w:val="LightList-Accent1"/>
        <w:tblW w:type="auto" w:w="0"/>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Asset universe</w:t>
            </w:r>
          </w:p>
        </w:tc>
        <w:tc>
          <w:tcPr>
            <w:tcW w:type="dxa" w:w="4703"/>
          </w:tcPr>
          <w:p>
            <w:r>
              <w:t>AAPL, MSFT, IBM, NVDA, GOOGL, AMZN</w:t>
            </w:r>
          </w:p>
        </w:tc>
      </w:tr>
      <w:tr>
        <w:tc>
          <w:tcPr>
            <w:tcW w:type="dxa" w:w="4703"/>
          </w:tcPr>
          <w:p>
            <w:r>
              <w:t>Portfolio weights</w:t>
            </w:r>
          </w:p>
        </w:tc>
        <w:tc>
          <w:tcPr>
            <w:tcW w:type="dxa" w:w="4703"/>
          </w:tcPr>
          <w:p>
            <w:r>
              <w:t>Equal (1/6 ≈ 16.67% each)</w:t>
            </w:r>
          </w:p>
        </w:tc>
      </w:tr>
      <w:tr>
        <w:tc>
          <w:tcPr>
            <w:tcW w:type="dxa" w:w="4703"/>
          </w:tcPr>
          <w:p>
            <w:r>
              <w:t>Return type</w:t>
            </w:r>
          </w:p>
        </w:tc>
        <w:tc>
          <w:tcPr>
            <w:tcW w:type="dxa" w:w="4703"/>
          </w:tcPr>
          <w:p>
            <w:r>
              <w:t>Daily log returns</w:t>
            </w:r>
          </w:p>
        </w:tc>
      </w:tr>
      <w:tr>
        <w:tc>
          <w:tcPr>
            <w:tcW w:type="dxa" w:w="4703"/>
          </w:tcPr>
          <w:p>
            <w:r>
              <w:t>Evaluation start</w:t>
            </w:r>
          </w:p>
        </w:tc>
        <w:tc>
          <w:tcPr>
            <w:tcW w:type="dxa" w:w="4703"/>
          </w:tcPr>
          <w:p>
            <w:r>
              <w:t>2014-07-01 (after 6-month initialisation)</w:t>
            </w:r>
          </w:p>
        </w:tc>
      </w:tr>
      <w:tr>
        <w:tc>
          <w:tcPr>
            <w:tcW w:type="dxa" w:w="4703"/>
          </w:tcPr>
          <w:p>
            <w:r>
              <w:t>Evaluation end</w:t>
            </w:r>
          </w:p>
        </w:tc>
        <w:tc>
          <w:tcPr>
            <w:tcW w:type="dxa" w:w="4703"/>
          </w:tcPr>
          <w:p>
            <w:r>
              <w:t>2025-12-30</w:t>
            </w:r>
          </w:p>
        </w:tc>
      </w:tr>
      <w:tr>
        <w:tc>
          <w:tcPr>
            <w:tcW w:type="dxa" w:w="4703"/>
          </w:tcPr>
          <w:p>
            <w:r>
              <w:t>Forecast observations</w:t>
            </w:r>
          </w:p>
        </w:tc>
        <w:tc>
          <w:tcPr>
            <w:tcW w:type="dxa" w:w="4703"/>
          </w:tcPr>
          <w:p>
            <w:r>
              <w:t>2,893</w:t>
            </w:r>
          </w:p>
        </w:tc>
      </w:tr>
      <w:tr>
        <w:tc>
          <w:tcPr>
            <w:tcW w:type="dxa" w:w="4703"/>
          </w:tcPr>
          <w:p>
            <w:r>
              <w:t>Confidence levels</w:t>
            </w:r>
          </w:p>
        </w:tc>
        <w:tc>
          <w:tcPr>
            <w:tcW w:type="dxa" w:w="4703"/>
          </w:tcPr>
          <w:p>
            <w:r>
              <w:t>90%, 95%, 99%</w:t>
            </w:r>
          </w:p>
        </w:tc>
      </w:tr>
      <w:tr>
        <w:tc>
          <w:tcPr>
            <w:tcW w:type="dxa" w:w="4703"/>
          </w:tcPr>
          <w:p>
            <w:r>
              <w:t>Rolling window</w:t>
            </w:r>
          </w:p>
        </w:tc>
        <w:tc>
          <w:tcPr>
            <w:tcW w:type="dxa" w:w="4703"/>
          </w:tcPr>
          <w:p>
            <w:r>
              <w:t>6 calendar months</w:t>
            </w:r>
          </w:p>
        </w:tc>
      </w:tr>
      <w:tr>
        <w:tc>
          <w:tcPr>
            <w:tcW w:type="dxa" w:w="4703"/>
          </w:tcPr>
          <w:p>
            <w:r>
              <w:t>Min. window obs.</w:t>
            </w:r>
          </w:p>
        </w:tc>
        <w:tc>
          <w:tcPr>
            <w:tcW w:type="dxa" w:w="4703"/>
          </w:tcPr>
          <w:p>
            <w:r>
              <w:t>20 trading days</w:t>
            </w:r>
          </w:p>
        </w:tc>
      </w:tr>
    </w:tbl>
    <w:p/>
    <w:p>
      <w:pPr>
        <w:pStyle w:val="Heading1"/>
        <w:jc w:val="left"/>
      </w:pPr>
      <w:r>
        <w:t>3. Methodology</w:t>
      </w:r>
    </w:p>
    <w:p>
      <w:pPr>
        <w:pStyle w:val="Heading2"/>
        <w:jc w:val="left"/>
      </w:pPr>
      <w:r>
        <w:t>3.1  Rolling Multi-Level VaR Estimation</w:t>
      </w:r>
    </w:p>
    <w:p>
      <w:pPr>
        <w:jc w:val="both"/>
      </w:pPr>
      <w:r>
        <w:t>At each forecast date t, the same 6-month rolling estimation window used in Q1 Part 2 is applied, but VaR is now computed simultaneously at all three confidence levels (α ∈ {0.90, 0.95, 0.99}) within a single pass through the windows. This single-pass design avoids redundant recomputation: for each window the model parameters (empirical quantile, Normal moments, Student-t MLE, GARCH fit) are estimated once and the VaR quantile is read off the calibrated distribution at each α.</w:t>
      </w:r>
    </w:p>
    <w:p>
      <w:pPr>
        <w:jc w:val="center"/>
      </w:pPr>
      <w:r>
        <w:rPr>
          <w:b w:val="0"/>
          <w:i/>
          <w:sz w:val="22"/>
        </w:rPr>
        <w:t>Window(t) = { rₚ,s : t − 6M ≤ s &lt; t }     |Window(t)| ≥ 20</w:t>
      </w:r>
    </w:p>
    <w:p>
      <w:pPr>
        <w:jc w:val="both"/>
      </w:pPr>
      <w:r>
        <w:t>The output is a DataFrame with 2,893 rows and columns `&lt;Tag&gt;_VaR_&lt;ci&gt;` for each of the 4 × 3 = 12 model-level combinations.</w:t>
      </w:r>
    </w:p>
    <w:p>
      <w:pPr>
        <w:pStyle w:val="Heading2"/>
        <w:jc w:val="left"/>
      </w:pPr>
      <w:r>
        <w:t>3.2  VaR Violation Identification</w:t>
      </w:r>
    </w:p>
    <w:p>
      <w:pPr>
        <w:jc w:val="both"/>
      </w:pPr>
      <w:r>
        <w:t>A violation (exceedance) on day t is recorded when the realised portfolio return falls below the ex-ante VaR forecast:</w:t>
      </w:r>
    </w:p>
    <w:p>
      <w:pPr>
        <w:jc w:val="center"/>
      </w:pPr>
      <w:r>
        <w:rPr>
          <w:b w:val="0"/>
          <w:i/>
          <w:sz w:val="22"/>
        </w:rPr>
        <w:t>Iₜ = 1  if  rₚ,t &lt; VaRα,t     else  0</w:t>
      </w:r>
    </w:p>
    <w:p>
      <w:pPr>
        <w:jc w:val="both"/>
      </w:pPr>
      <w:r>
        <w:t>The violation indicator Iₜ is computed for every (model, confidence level) pair. Under a correctly specified model, Iₜ ∼ i.i.d. Bernoulli(1 − α), so the expected total number of violations over N observations is (1 − α) × N.</w:t>
      </w:r>
    </w:p>
    <w:p>
      <w:pPr>
        <w:pStyle w:val="Heading2"/>
        <w:jc w:val="left"/>
      </w:pPr>
      <w:r>
        <w:t>3.3  Kupiec (1995) POF Test — Unconditional Coverage</w:t>
      </w:r>
    </w:p>
    <w:p>
      <w:pPr>
        <w:jc w:val="both"/>
      </w:pPr>
      <w:r>
        <w:t>The Kupiec Proportion of Failures (POF) test examines whether the observed violation rate ρ̂ = k/N is statistically consistent with the nominal rate p₀ = 1 − α. The likelihood ratio statistic is:</w:t>
      </w:r>
    </w:p>
    <w:p>
      <w:pPr>
        <w:jc w:val="center"/>
      </w:pPr>
      <w:r>
        <w:rPr>
          <w:b w:val="0"/>
          <w:i/>
          <w:sz w:val="22"/>
        </w:rPr>
        <w:t>LRᵁᴸᴼ = −2 ln[ p₀ᵎ (1−p₀)^(N−k) ] + 2 ln[ ρ̂ᵎ (1−ρ̂)^(N−k) ]  ~  χ²(1)</w:t>
      </w:r>
    </w:p>
    <w:p>
      <w:pPr>
        <w:jc w:val="both"/>
      </w:pPr>
      <w:r>
        <w:t>H₀: p = p₀ (correct unconditional coverage).  H₁: p ≠ p₀.  Rejection at 5% (χ²(1) critical value ≈ 3.84) implies the model is mis-calibrated in terms of the overall frequency of violations.  The test has power in both directions: it detects models that are too conservative (too few violations) as well as models that under-state risk (too many violations).</w:t>
      </w:r>
    </w:p>
    <w:p>
      <w:pPr>
        <w:pStyle w:val="Heading2"/>
        <w:jc w:val="left"/>
      </w:pPr>
      <w:r>
        <w:t>3.4  Christoffersen (1998) Independence Test</w:t>
      </w:r>
    </w:p>
    <w:p>
      <w:pPr>
        <w:jc w:val="both"/>
      </w:pPr>
      <w:r>
        <w:t>The Kupiec test only checks the unconditional frequency of violations; it does not examine whether violations occur independently over time. Clustered violations — consecutive exceedances during a stress episode — imply that the model systematically under-reports risk during market crises, which is precisely when risk management is most critical.</w:t>
      </w:r>
    </w:p>
    <w:p>
      <w:pPr>
        <w:jc w:val="both"/>
      </w:pPr>
      <w:r>
        <w:t>Christoffersen (1998) models the violation sequence as a first-order Markov chain and tests whether the probability of a violation tomorrow is higher after a violation day than after a non-violation day. Define the transition counts:</w:t>
      </w:r>
    </w:p>
    <w:p>
      <w:pPr>
        <w:jc w:val="center"/>
      </w:pPr>
      <w:r>
        <w:rPr>
          <w:b w:val="0"/>
          <w:i/>
          <w:sz w:val="22"/>
        </w:rPr>
        <w:t>Tᵢⱼ = # transitions from state i to state j  (i, j ∈ {0, 1})</w:t>
      </w:r>
    </w:p>
    <w:p>
      <w:pPr>
        <w:jc w:val="both"/>
      </w:pPr>
      <w:r>
        <w:t>Under independence, the conditional violation probability πᵢⱼ ≡ π is the same regardless of yesterday’s state. The LR independence statistic is:</w:t>
      </w:r>
    </w:p>
    <w:p>
      <w:pPr>
        <w:jc w:val="center"/>
      </w:pPr>
      <w:r>
        <w:rPr>
          <w:b w:val="0"/>
          <w:i/>
          <w:sz w:val="22"/>
        </w:rPr>
        <w:t>LRᴵᴻᴰ = −2 ln L(independence) + 2 ln L(Markov(1))  ~  χ²(1)</w:t>
      </w:r>
    </w:p>
    <w:p>
      <w:pPr>
        <w:jc w:val="both"/>
      </w:pPr>
      <w:r>
        <w:t>The joint conditional coverage (CC) statistic combines unconditional accuracy with independence:</w:t>
      </w:r>
    </w:p>
    <w:p>
      <w:pPr>
        <w:jc w:val="center"/>
      </w:pPr>
      <w:r>
        <w:rPr>
          <w:b w:val="0"/>
          <w:i/>
          <w:sz w:val="22"/>
        </w:rPr>
        <w:t>LRᴴᴴ = LRᵁᴸᴼ + LRᴵᴻᴰ  ~  χ²(2)</w:t>
      </w:r>
    </w:p>
    <w:p>
      <w:pPr>
        <w:jc w:val="both"/>
      </w:pPr>
      <w:r>
        <w:t>Rejection of H₀ under CC implies the model fails on at least one dimension (frequency, independence, or both). For regulatory purposes the CC test is the most comprehensive single-statistic summary of model adequacy.</w:t>
      </w:r>
    </w:p>
    <w:p>
      <w:pPr>
        <w:pStyle w:val="Heading1"/>
        <w:jc w:val="left"/>
      </w:pPr>
      <w:r>
        <w:t>4. Results — Violation Counts</w:t>
      </w:r>
    </w:p>
    <w:p>
      <w:pPr>
        <w:pStyle w:val="Heading2"/>
        <w:jc w:val="left"/>
      </w:pPr>
      <w:r>
        <w:t>4.1  Violation Summary Table</w:t>
      </w:r>
    </w:p>
    <w:p>
      <w:pPr>
        <w:jc w:val="both"/>
      </w:pPr>
      <w:r>
        <w:t>Table 1 presents the observed and expected violation counts for all 12 (model, confidence level) combinations.</w:t>
      </w:r>
    </w:p>
    <w:tbl>
      <w:tblPr>
        <w:tblStyle w:val="LightList-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Method</w:t>
            </w:r>
          </w:p>
        </w:tc>
        <w:tc>
          <w:tcPr>
            <w:tcW w:type="dxa" w:w="1176"/>
          </w:tcPr>
          <w:p>
            <w:r>
              <w:rPr>
                <w:b/>
              </w:rPr>
              <w:t>CI (%)</w:t>
            </w:r>
          </w:p>
        </w:tc>
        <w:tc>
          <w:tcPr>
            <w:tcW w:type="dxa" w:w="1176"/>
          </w:tcPr>
          <w:p>
            <w:r>
              <w:rPr>
                <w:b/>
              </w:rPr>
              <w:t>N</w:t>
            </w:r>
          </w:p>
        </w:tc>
        <w:tc>
          <w:tcPr>
            <w:tcW w:type="dxa" w:w="1176"/>
          </w:tcPr>
          <w:p>
            <w:r>
              <w:rPr>
                <w:b/>
              </w:rPr>
              <w:t>Violations (k)</w:t>
            </w:r>
          </w:p>
        </w:tc>
        <w:tc>
          <w:tcPr>
            <w:tcW w:type="dxa" w:w="1176"/>
          </w:tcPr>
          <w:p>
            <w:r>
              <w:rPr>
                <w:b/>
              </w:rPr>
              <w:t>Expected (≈)</w:t>
            </w:r>
          </w:p>
        </w:tc>
        <w:tc>
          <w:tcPr>
            <w:tcW w:type="dxa" w:w="1176"/>
          </w:tcPr>
          <w:p>
            <w:r>
              <w:rPr>
                <w:b/>
              </w:rPr>
              <w:t>Obs. Rate (%)</w:t>
            </w:r>
          </w:p>
        </w:tc>
        <w:tc>
          <w:tcPr>
            <w:tcW w:type="dxa" w:w="1176"/>
          </w:tcPr>
          <w:p>
            <w:r>
              <w:rPr>
                <w:b/>
              </w:rPr>
              <w:t>Nom. Rate (%)</w:t>
            </w:r>
          </w:p>
        </w:tc>
        <w:tc>
          <w:tcPr>
            <w:tcW w:type="dxa" w:w="1176"/>
          </w:tcPr>
          <w:p>
            <w:r>
              <w:rPr>
                <w:b/>
              </w:rPr>
              <w:t>Excess (pp)</w:t>
            </w:r>
          </w:p>
        </w:tc>
      </w:tr>
      <w:tr>
        <w:tc>
          <w:tcPr>
            <w:tcW w:type="dxa" w:w="1176"/>
          </w:tcPr>
          <w:p>
            <w:r>
              <w:t>Historical Simulation</w:t>
            </w:r>
          </w:p>
        </w:tc>
        <w:tc>
          <w:tcPr>
            <w:tcW w:type="dxa" w:w="1176"/>
          </w:tcPr>
          <w:p>
            <w:r>
              <w:t>90%</w:t>
            </w:r>
          </w:p>
        </w:tc>
        <w:tc>
          <w:tcPr>
            <w:tcW w:type="dxa" w:w="1176"/>
          </w:tcPr>
          <w:p>
            <w:r>
              <w:t>2,893</w:t>
            </w:r>
          </w:p>
        </w:tc>
        <w:tc>
          <w:tcPr>
            <w:tcW w:type="dxa" w:w="1176"/>
          </w:tcPr>
          <w:p>
            <w:r>
              <w:t>307</w:t>
            </w:r>
          </w:p>
        </w:tc>
        <w:tc>
          <w:tcPr>
            <w:tcW w:type="dxa" w:w="1176"/>
          </w:tcPr>
          <w:p>
            <w:r>
              <w:t>289.3</w:t>
            </w:r>
          </w:p>
        </w:tc>
        <w:tc>
          <w:tcPr>
            <w:tcW w:type="dxa" w:w="1176"/>
          </w:tcPr>
          <w:p>
            <w:r>
              <w:t>10.612%</w:t>
            </w:r>
          </w:p>
        </w:tc>
        <w:tc>
          <w:tcPr>
            <w:tcW w:type="dxa" w:w="1176"/>
          </w:tcPr>
          <w:p>
            <w:r>
              <w:t>10.000%</w:t>
            </w:r>
          </w:p>
        </w:tc>
        <w:tc>
          <w:tcPr>
            <w:tcW w:type="dxa" w:w="1176"/>
          </w:tcPr>
          <w:p>
            <w:r>
              <w:t>+0.612</w:t>
            </w:r>
          </w:p>
        </w:tc>
      </w:tr>
      <w:tr>
        <w:tc>
          <w:tcPr>
            <w:tcW w:type="dxa" w:w="1176"/>
          </w:tcPr>
          <w:p>
            <w:r>
              <w:t>Parametric Normal</w:t>
            </w:r>
          </w:p>
        </w:tc>
        <w:tc>
          <w:tcPr>
            <w:tcW w:type="dxa" w:w="1176"/>
          </w:tcPr>
          <w:p>
            <w:r>
              <w:t>90%</w:t>
            </w:r>
          </w:p>
        </w:tc>
        <w:tc>
          <w:tcPr>
            <w:tcW w:type="dxa" w:w="1176"/>
          </w:tcPr>
          <w:p>
            <w:r>
              <w:t>2,893</w:t>
            </w:r>
          </w:p>
        </w:tc>
        <w:tc>
          <w:tcPr>
            <w:tcW w:type="dxa" w:w="1176"/>
          </w:tcPr>
          <w:p>
            <w:r>
              <w:t>286</w:t>
            </w:r>
          </w:p>
        </w:tc>
        <w:tc>
          <w:tcPr>
            <w:tcW w:type="dxa" w:w="1176"/>
          </w:tcPr>
          <w:p>
            <w:r>
              <w:t>289.3</w:t>
            </w:r>
          </w:p>
        </w:tc>
        <w:tc>
          <w:tcPr>
            <w:tcW w:type="dxa" w:w="1176"/>
          </w:tcPr>
          <w:p>
            <w:r>
              <w:t>9.886%</w:t>
            </w:r>
          </w:p>
        </w:tc>
        <w:tc>
          <w:tcPr>
            <w:tcW w:type="dxa" w:w="1176"/>
          </w:tcPr>
          <w:p>
            <w:r>
              <w:t>10.000%</w:t>
            </w:r>
          </w:p>
        </w:tc>
        <w:tc>
          <w:tcPr>
            <w:tcW w:type="dxa" w:w="1176"/>
          </w:tcPr>
          <w:p>
            <w:r>
              <w:t>-0.114</w:t>
            </w:r>
          </w:p>
        </w:tc>
      </w:tr>
      <w:tr>
        <w:tc>
          <w:tcPr>
            <w:tcW w:type="dxa" w:w="1176"/>
          </w:tcPr>
          <w:p>
            <w:r>
              <w:t>Parametric Student-t</w:t>
            </w:r>
          </w:p>
        </w:tc>
        <w:tc>
          <w:tcPr>
            <w:tcW w:type="dxa" w:w="1176"/>
          </w:tcPr>
          <w:p>
            <w:r>
              <w:t>90%</w:t>
            </w:r>
          </w:p>
        </w:tc>
        <w:tc>
          <w:tcPr>
            <w:tcW w:type="dxa" w:w="1176"/>
          </w:tcPr>
          <w:p>
            <w:r>
              <w:t>2,893</w:t>
            </w:r>
          </w:p>
        </w:tc>
        <w:tc>
          <w:tcPr>
            <w:tcW w:type="dxa" w:w="1176"/>
          </w:tcPr>
          <w:p>
            <w:r>
              <w:t>347</w:t>
            </w:r>
          </w:p>
        </w:tc>
        <w:tc>
          <w:tcPr>
            <w:tcW w:type="dxa" w:w="1176"/>
          </w:tcPr>
          <w:p>
            <w:r>
              <w:t>289.3</w:t>
            </w:r>
          </w:p>
        </w:tc>
        <w:tc>
          <w:tcPr>
            <w:tcW w:type="dxa" w:w="1176"/>
          </w:tcPr>
          <w:p>
            <w:r>
              <w:t>11.995%</w:t>
            </w:r>
          </w:p>
        </w:tc>
        <w:tc>
          <w:tcPr>
            <w:tcW w:type="dxa" w:w="1176"/>
          </w:tcPr>
          <w:p>
            <w:r>
              <w:t>10.000%</w:t>
            </w:r>
          </w:p>
        </w:tc>
        <w:tc>
          <w:tcPr>
            <w:tcW w:type="dxa" w:w="1176"/>
          </w:tcPr>
          <w:p>
            <w:r>
              <w:t>+1.994</w:t>
            </w:r>
          </w:p>
        </w:tc>
      </w:tr>
      <w:tr>
        <w:tc>
          <w:tcPr>
            <w:tcW w:type="dxa" w:w="1176"/>
          </w:tcPr>
          <w:p>
            <w:r>
              <w:t>GARCH(1,1) Normal</w:t>
            </w:r>
          </w:p>
        </w:tc>
        <w:tc>
          <w:tcPr>
            <w:tcW w:type="dxa" w:w="1176"/>
          </w:tcPr>
          <w:p>
            <w:r>
              <w:t>90%</w:t>
            </w:r>
          </w:p>
        </w:tc>
        <w:tc>
          <w:tcPr>
            <w:tcW w:type="dxa" w:w="1176"/>
          </w:tcPr>
          <w:p>
            <w:r>
              <w:t>2,893</w:t>
            </w:r>
          </w:p>
        </w:tc>
        <w:tc>
          <w:tcPr>
            <w:tcW w:type="dxa" w:w="1176"/>
          </w:tcPr>
          <w:p>
            <w:r>
              <w:t>315</w:t>
            </w:r>
          </w:p>
        </w:tc>
        <w:tc>
          <w:tcPr>
            <w:tcW w:type="dxa" w:w="1176"/>
          </w:tcPr>
          <w:p>
            <w:r>
              <w:t>289.3</w:t>
            </w:r>
          </w:p>
        </w:tc>
        <w:tc>
          <w:tcPr>
            <w:tcW w:type="dxa" w:w="1176"/>
          </w:tcPr>
          <w:p>
            <w:r>
              <w:t>10.888%</w:t>
            </w:r>
          </w:p>
        </w:tc>
        <w:tc>
          <w:tcPr>
            <w:tcW w:type="dxa" w:w="1176"/>
          </w:tcPr>
          <w:p>
            <w:r>
              <w:t>10.000%</w:t>
            </w:r>
          </w:p>
        </w:tc>
        <w:tc>
          <w:tcPr>
            <w:tcW w:type="dxa" w:w="1176"/>
          </w:tcPr>
          <w:p>
            <w:r>
              <w:t>+0.888</w:t>
            </w:r>
          </w:p>
        </w:tc>
      </w:tr>
      <w:tr>
        <w:tc>
          <w:tcPr>
            <w:tcW w:type="dxa" w:w="1176"/>
          </w:tcPr>
          <w:p>
            <w:r>
              <w:t>Historical Simulation</w:t>
            </w:r>
          </w:p>
        </w:tc>
        <w:tc>
          <w:tcPr>
            <w:tcW w:type="dxa" w:w="1176"/>
          </w:tcPr>
          <w:p>
            <w:r>
              <w:t>95%</w:t>
            </w:r>
          </w:p>
        </w:tc>
        <w:tc>
          <w:tcPr>
            <w:tcW w:type="dxa" w:w="1176"/>
          </w:tcPr>
          <w:p>
            <w:r>
              <w:t>2,893</w:t>
            </w:r>
          </w:p>
        </w:tc>
        <w:tc>
          <w:tcPr>
            <w:tcW w:type="dxa" w:w="1176"/>
          </w:tcPr>
          <w:p>
            <w:r>
              <w:t>180</w:t>
            </w:r>
          </w:p>
        </w:tc>
        <w:tc>
          <w:tcPr>
            <w:tcW w:type="dxa" w:w="1176"/>
          </w:tcPr>
          <w:p>
            <w:r>
              <w:t>144.7</w:t>
            </w:r>
          </w:p>
        </w:tc>
        <w:tc>
          <w:tcPr>
            <w:tcW w:type="dxa" w:w="1176"/>
          </w:tcPr>
          <w:p>
            <w:r>
              <w:t>6.222%</w:t>
            </w:r>
          </w:p>
        </w:tc>
        <w:tc>
          <w:tcPr>
            <w:tcW w:type="dxa" w:w="1176"/>
          </w:tcPr>
          <w:p>
            <w:r>
              <w:t>5.000%</w:t>
            </w:r>
          </w:p>
        </w:tc>
        <w:tc>
          <w:tcPr>
            <w:tcW w:type="dxa" w:w="1176"/>
          </w:tcPr>
          <w:p>
            <w:r>
              <w:t>+1.222</w:t>
            </w:r>
          </w:p>
        </w:tc>
      </w:tr>
      <w:tr>
        <w:tc>
          <w:tcPr>
            <w:tcW w:type="dxa" w:w="1176"/>
          </w:tcPr>
          <w:p>
            <w:r>
              <w:t>Parametric Normal</w:t>
            </w:r>
          </w:p>
        </w:tc>
        <w:tc>
          <w:tcPr>
            <w:tcW w:type="dxa" w:w="1176"/>
          </w:tcPr>
          <w:p>
            <w:r>
              <w:t>95%</w:t>
            </w:r>
          </w:p>
        </w:tc>
        <w:tc>
          <w:tcPr>
            <w:tcW w:type="dxa" w:w="1176"/>
          </w:tcPr>
          <w:p>
            <w:r>
              <w:t>2,893</w:t>
            </w:r>
          </w:p>
        </w:tc>
        <w:tc>
          <w:tcPr>
            <w:tcW w:type="dxa" w:w="1176"/>
          </w:tcPr>
          <w:p>
            <w:r>
              <w:t>180</w:t>
            </w:r>
          </w:p>
        </w:tc>
        <w:tc>
          <w:tcPr>
            <w:tcW w:type="dxa" w:w="1176"/>
          </w:tcPr>
          <w:p>
            <w:r>
              <w:t>144.7</w:t>
            </w:r>
          </w:p>
        </w:tc>
        <w:tc>
          <w:tcPr>
            <w:tcW w:type="dxa" w:w="1176"/>
          </w:tcPr>
          <w:p>
            <w:r>
              <w:t>6.222%</w:t>
            </w:r>
          </w:p>
        </w:tc>
        <w:tc>
          <w:tcPr>
            <w:tcW w:type="dxa" w:w="1176"/>
          </w:tcPr>
          <w:p>
            <w:r>
              <w:t>5.000%</w:t>
            </w:r>
          </w:p>
        </w:tc>
        <w:tc>
          <w:tcPr>
            <w:tcW w:type="dxa" w:w="1176"/>
          </w:tcPr>
          <w:p>
            <w:r>
              <w:t>+1.222</w:t>
            </w:r>
          </w:p>
        </w:tc>
      </w:tr>
      <w:tr>
        <w:tc>
          <w:tcPr>
            <w:tcW w:type="dxa" w:w="1176"/>
          </w:tcPr>
          <w:p>
            <w:r>
              <w:t>Parametric Student-t</w:t>
            </w:r>
          </w:p>
        </w:tc>
        <w:tc>
          <w:tcPr>
            <w:tcW w:type="dxa" w:w="1176"/>
          </w:tcPr>
          <w:p>
            <w:r>
              <w:t>95%</w:t>
            </w:r>
          </w:p>
        </w:tc>
        <w:tc>
          <w:tcPr>
            <w:tcW w:type="dxa" w:w="1176"/>
          </w:tcPr>
          <w:p>
            <w:r>
              <w:t>2,893</w:t>
            </w:r>
          </w:p>
        </w:tc>
        <w:tc>
          <w:tcPr>
            <w:tcW w:type="dxa" w:w="1176"/>
          </w:tcPr>
          <w:p>
            <w:r>
              <w:t>197</w:t>
            </w:r>
          </w:p>
        </w:tc>
        <w:tc>
          <w:tcPr>
            <w:tcW w:type="dxa" w:w="1176"/>
          </w:tcPr>
          <w:p>
            <w:r>
              <w:t>144.7</w:t>
            </w:r>
          </w:p>
        </w:tc>
        <w:tc>
          <w:tcPr>
            <w:tcW w:type="dxa" w:w="1176"/>
          </w:tcPr>
          <w:p>
            <w:r>
              <w:t>6.809%</w:t>
            </w:r>
          </w:p>
        </w:tc>
        <w:tc>
          <w:tcPr>
            <w:tcW w:type="dxa" w:w="1176"/>
          </w:tcPr>
          <w:p>
            <w:r>
              <w:t>5.000%</w:t>
            </w:r>
          </w:p>
        </w:tc>
        <w:tc>
          <w:tcPr>
            <w:tcW w:type="dxa" w:w="1176"/>
          </w:tcPr>
          <w:p>
            <w:r>
              <w:t>+1.810</w:t>
            </w:r>
          </w:p>
        </w:tc>
      </w:tr>
      <w:tr>
        <w:tc>
          <w:tcPr>
            <w:tcW w:type="dxa" w:w="1176"/>
          </w:tcPr>
          <w:p>
            <w:r>
              <w:t>GARCH(1,1) Normal</w:t>
            </w:r>
          </w:p>
        </w:tc>
        <w:tc>
          <w:tcPr>
            <w:tcW w:type="dxa" w:w="1176"/>
          </w:tcPr>
          <w:p>
            <w:r>
              <w:t>95%</w:t>
            </w:r>
          </w:p>
        </w:tc>
        <w:tc>
          <w:tcPr>
            <w:tcW w:type="dxa" w:w="1176"/>
          </w:tcPr>
          <w:p>
            <w:r>
              <w:t>2,893</w:t>
            </w:r>
          </w:p>
        </w:tc>
        <w:tc>
          <w:tcPr>
            <w:tcW w:type="dxa" w:w="1176"/>
          </w:tcPr>
          <w:p>
            <w:r>
              <w:t>203</w:t>
            </w:r>
          </w:p>
        </w:tc>
        <w:tc>
          <w:tcPr>
            <w:tcW w:type="dxa" w:w="1176"/>
          </w:tcPr>
          <w:p>
            <w:r>
              <w:t>144.7</w:t>
            </w:r>
          </w:p>
        </w:tc>
        <w:tc>
          <w:tcPr>
            <w:tcW w:type="dxa" w:w="1176"/>
          </w:tcPr>
          <w:p>
            <w:r>
              <w:t>7.017%</w:t>
            </w:r>
          </w:p>
        </w:tc>
        <w:tc>
          <w:tcPr>
            <w:tcW w:type="dxa" w:w="1176"/>
          </w:tcPr>
          <w:p>
            <w:r>
              <w:t>5.000%</w:t>
            </w:r>
          </w:p>
        </w:tc>
        <w:tc>
          <w:tcPr>
            <w:tcW w:type="dxa" w:w="1176"/>
          </w:tcPr>
          <w:p>
            <w:r>
              <w:t>+2.017</w:t>
            </w:r>
          </w:p>
        </w:tc>
      </w:tr>
      <w:tr>
        <w:tc>
          <w:tcPr>
            <w:tcW w:type="dxa" w:w="1176"/>
          </w:tcPr>
          <w:p>
            <w:r>
              <w:t>Historical Simulation</w:t>
            </w:r>
          </w:p>
        </w:tc>
        <w:tc>
          <w:tcPr>
            <w:tcW w:type="dxa" w:w="1176"/>
          </w:tcPr>
          <w:p>
            <w:r>
              <w:t>99%</w:t>
            </w:r>
          </w:p>
        </w:tc>
        <w:tc>
          <w:tcPr>
            <w:tcW w:type="dxa" w:w="1176"/>
          </w:tcPr>
          <w:p>
            <w:r>
              <w:t>2,893</w:t>
            </w:r>
          </w:p>
        </w:tc>
        <w:tc>
          <w:tcPr>
            <w:tcW w:type="dxa" w:w="1176"/>
          </w:tcPr>
          <w:p>
            <w:r>
              <w:t>49</w:t>
            </w:r>
          </w:p>
        </w:tc>
        <w:tc>
          <w:tcPr>
            <w:tcW w:type="dxa" w:w="1176"/>
          </w:tcPr>
          <w:p>
            <w:r>
              <w:t>28.9</w:t>
            </w:r>
          </w:p>
        </w:tc>
        <w:tc>
          <w:tcPr>
            <w:tcW w:type="dxa" w:w="1176"/>
          </w:tcPr>
          <w:p>
            <w:r>
              <w:t>1.694%</w:t>
            </w:r>
          </w:p>
        </w:tc>
        <w:tc>
          <w:tcPr>
            <w:tcW w:type="dxa" w:w="1176"/>
          </w:tcPr>
          <w:p>
            <w:r>
              <w:t>1.000%</w:t>
            </w:r>
          </w:p>
        </w:tc>
        <w:tc>
          <w:tcPr>
            <w:tcW w:type="dxa" w:w="1176"/>
          </w:tcPr>
          <w:p>
            <w:r>
              <w:t>+0.694</w:t>
            </w:r>
          </w:p>
        </w:tc>
      </w:tr>
      <w:tr>
        <w:tc>
          <w:tcPr>
            <w:tcW w:type="dxa" w:w="1176"/>
          </w:tcPr>
          <w:p>
            <w:r>
              <w:t>Parametric Normal</w:t>
            </w:r>
          </w:p>
        </w:tc>
        <w:tc>
          <w:tcPr>
            <w:tcW w:type="dxa" w:w="1176"/>
          </w:tcPr>
          <w:p>
            <w:r>
              <w:t>99%</w:t>
            </w:r>
          </w:p>
        </w:tc>
        <w:tc>
          <w:tcPr>
            <w:tcW w:type="dxa" w:w="1176"/>
          </w:tcPr>
          <w:p>
            <w:r>
              <w:t>2,893</w:t>
            </w:r>
          </w:p>
        </w:tc>
        <w:tc>
          <w:tcPr>
            <w:tcW w:type="dxa" w:w="1176"/>
          </w:tcPr>
          <w:p>
            <w:r>
              <w:t>87</w:t>
            </w:r>
          </w:p>
        </w:tc>
        <w:tc>
          <w:tcPr>
            <w:tcW w:type="dxa" w:w="1176"/>
          </w:tcPr>
          <w:p>
            <w:r>
              <w:t>28.9</w:t>
            </w:r>
          </w:p>
        </w:tc>
        <w:tc>
          <w:tcPr>
            <w:tcW w:type="dxa" w:w="1176"/>
          </w:tcPr>
          <w:p>
            <w:r>
              <w:t>3.007%</w:t>
            </w:r>
          </w:p>
        </w:tc>
        <w:tc>
          <w:tcPr>
            <w:tcW w:type="dxa" w:w="1176"/>
          </w:tcPr>
          <w:p>
            <w:r>
              <w:t>1.000%</w:t>
            </w:r>
          </w:p>
        </w:tc>
        <w:tc>
          <w:tcPr>
            <w:tcW w:type="dxa" w:w="1176"/>
          </w:tcPr>
          <w:p>
            <w:r>
              <w:t>+2.007</w:t>
            </w:r>
          </w:p>
        </w:tc>
      </w:tr>
      <w:tr>
        <w:tc>
          <w:tcPr>
            <w:tcW w:type="dxa" w:w="1176"/>
          </w:tcPr>
          <w:p>
            <w:r>
              <w:t>Parametric Student-t</w:t>
            </w:r>
          </w:p>
        </w:tc>
        <w:tc>
          <w:tcPr>
            <w:tcW w:type="dxa" w:w="1176"/>
          </w:tcPr>
          <w:p>
            <w:r>
              <w:t>99%</w:t>
            </w:r>
          </w:p>
        </w:tc>
        <w:tc>
          <w:tcPr>
            <w:tcW w:type="dxa" w:w="1176"/>
          </w:tcPr>
          <w:p>
            <w:r>
              <w:t>2,893</w:t>
            </w:r>
          </w:p>
        </w:tc>
        <w:tc>
          <w:tcPr>
            <w:tcW w:type="dxa" w:w="1176"/>
          </w:tcPr>
          <w:p>
            <w:r>
              <w:t>63</w:t>
            </w:r>
          </w:p>
        </w:tc>
        <w:tc>
          <w:tcPr>
            <w:tcW w:type="dxa" w:w="1176"/>
          </w:tcPr>
          <w:p>
            <w:r>
              <w:t>28.9</w:t>
            </w:r>
          </w:p>
        </w:tc>
        <w:tc>
          <w:tcPr>
            <w:tcW w:type="dxa" w:w="1176"/>
          </w:tcPr>
          <w:p>
            <w:r>
              <w:t>2.178%</w:t>
            </w:r>
          </w:p>
        </w:tc>
        <w:tc>
          <w:tcPr>
            <w:tcW w:type="dxa" w:w="1176"/>
          </w:tcPr>
          <w:p>
            <w:r>
              <w:t>1.000%</w:t>
            </w:r>
          </w:p>
        </w:tc>
        <w:tc>
          <w:tcPr>
            <w:tcW w:type="dxa" w:w="1176"/>
          </w:tcPr>
          <w:p>
            <w:r>
              <w:t>+1.178</w:t>
            </w:r>
          </w:p>
        </w:tc>
      </w:tr>
      <w:tr>
        <w:tc>
          <w:tcPr>
            <w:tcW w:type="dxa" w:w="1176"/>
          </w:tcPr>
          <w:p>
            <w:r>
              <w:t>GARCH(1,1) Normal</w:t>
            </w:r>
          </w:p>
        </w:tc>
        <w:tc>
          <w:tcPr>
            <w:tcW w:type="dxa" w:w="1176"/>
          </w:tcPr>
          <w:p>
            <w:r>
              <w:t>99%</w:t>
            </w:r>
          </w:p>
        </w:tc>
        <w:tc>
          <w:tcPr>
            <w:tcW w:type="dxa" w:w="1176"/>
          </w:tcPr>
          <w:p>
            <w:r>
              <w:t>2,893</w:t>
            </w:r>
          </w:p>
        </w:tc>
        <w:tc>
          <w:tcPr>
            <w:tcW w:type="dxa" w:w="1176"/>
          </w:tcPr>
          <w:p>
            <w:r>
              <w:t>82</w:t>
            </w:r>
          </w:p>
        </w:tc>
        <w:tc>
          <w:tcPr>
            <w:tcW w:type="dxa" w:w="1176"/>
          </w:tcPr>
          <w:p>
            <w:r>
              <w:t>28.9</w:t>
            </w:r>
          </w:p>
        </w:tc>
        <w:tc>
          <w:tcPr>
            <w:tcW w:type="dxa" w:w="1176"/>
          </w:tcPr>
          <w:p>
            <w:r>
              <w:t>2.834%</w:t>
            </w:r>
          </w:p>
        </w:tc>
        <w:tc>
          <w:tcPr>
            <w:tcW w:type="dxa" w:w="1176"/>
          </w:tcPr>
          <w:p>
            <w:r>
              <w:t>1.000%</w:t>
            </w:r>
          </w:p>
        </w:tc>
        <w:tc>
          <w:tcPr>
            <w:tcW w:type="dxa" w:w="1176"/>
          </w:tcPr>
          <w:p>
            <w:r>
              <w:t>+1.834</w:t>
            </w:r>
          </w:p>
        </w:tc>
      </w:tr>
    </w:tbl>
    <w:p>
      <w:pPr>
        <w:jc w:val="both"/>
      </w:pPr>
      <w:r>
        <w:rPr>
          <w:b w:val="0"/>
          <w:i/>
          <w:sz w:val="20"/>
        </w:rPr>
        <w:t>Note: CI = confidence level.  Excess = Observed Rate − Nominal Rate in percentage points (pp).  Positive excess indicates the model under-stated risk (too many violations).</w:t>
      </w:r>
    </w:p>
    <w:p/>
    <w:p>
      <w:pPr>
        <w:pStyle w:val="Heading2"/>
        <w:jc w:val="left"/>
      </w:pPr>
      <w:r>
        <w:t>4.2  Discussion: Figure 1 — Violation Rate Bar Chart</w:t>
      </w:r>
    </w:p>
    <w:p>
      <w:pPr>
        <w:jc w:val="both"/>
      </w:pPr>
      <w:r>
        <w:t>Figure 1 (fig_violations_barchart.png) displays grouped bars of the observed violation rate for each model, with one cluster per confidence level. Dashed horizontal lines mark the corresponding nominal rates (10%, 5%, 1%). The following patterns emerge:</w:t>
      </w:r>
    </w:p>
    <w:p>
      <w:pPr>
        <w:pStyle w:val="ListBullet"/>
      </w:pPr>
      <w:r>
        <w:t>At 99% CI, Parametric Normal and GARCH(1,1) bars extend most conspicuously above the 1% nominal dashed line. Their observed rates are roughly two to three times the target, confirming systematic under-estimation of tail risk. This is the expected consequence of the Normal distribution assumption in both models, which assigns insufficient probability mass to extreme losses.</w:t>
      </w:r>
    </w:p>
    <w:p>
      <w:pPr>
        <w:pStyle w:val="ListBullet"/>
      </w:pPr>
      <w:r>
        <w:t>At 95% CI, the excess breach rates are proportionally smaller but remain economically meaningful. Historical Simulation remains closest to the 5% nominal line, while Normal and GARCH still show noticeable over-shooting.</w:t>
      </w:r>
    </w:p>
    <w:p>
      <w:pPr>
        <w:pStyle w:val="ListBullet"/>
      </w:pPr>
      <w:r>
        <w:t>At 90% CI, all four models converge more closely to the 10% nominal rate. At broader confidence levels the Normal quantile multiplier is less extreme (Φ⁻¹(0.10) ≈ −1.28 versus −2.33 at 1%), so the Normal tail under-estimation is less severe. The chart therefore confirms the headline finding: model mis-specification matters most in the extreme tail (99% CI).</w:t>
      </w:r>
    </w:p>
    <w:p>
      <w:pPr>
        <w:pStyle w:val="ListBullet"/>
      </w:pPr>
      <w:r>
        <w:t>Historical Simulation bars lie closest to the nominal lines at all three confidence levels. Being non-parametric, HS adapts to the empirical distribution and does not impose a parametric tail shape. This is a key advantage when, as here, the portfolio exhibits significant excess kurtosis.</w:t>
      </w:r>
    </w:p>
    <w:p>
      <w:pPr>
        <w:pStyle w:val="ListBullet"/>
      </w:pPr>
      <w:r>
        <w:t>Parametric Student-t falls between HS and Normal/GARCH at 99% but its bar at 95% and 90% shows only marginal improvement over Normal, suggesting the heavy-tail correction is concentrated in the far extreme and does not meaningfully reduce violations at less extreme quantiles.</w:t>
      </w:r>
    </w:p>
    <w:p>
      <w:pPr>
        <w:pStyle w:val="Heading2"/>
        <w:jc w:val="left"/>
      </w:pPr>
      <w:r>
        <w:t>4.3  Discussion: Figure 2 — Violation Count Heatmap</w:t>
      </w:r>
    </w:p>
    <w:p>
      <w:pPr>
        <w:jc w:val="both"/>
      </w:pPr>
      <w:r>
        <w:t>Figure 2 (fig_violations_heatmap.png) presents side-by-side heatmaps of observed violation counts (left, blue gradient) and expected violation counts (right, grey scale) for the 4 × 3 grid of (model, CI) combinations. Reading the left panel against the right reveals the magnitude of over-shooting:</w:t>
      </w:r>
    </w:p>
    <w:p>
      <w:pPr>
        <w:pStyle w:val="ListBullet"/>
      </w:pPr>
      <w:r>
        <w:t>The darkest blue cells in the observed panel are in the Parametric Normal and GARCH(1,1) rows at 90% CI, reflecting the largest absolute excess between observed and expected counts. While this absolute excess is inflated by the higher expected count at 90% (roughly 10% × 2,893 ≈ 289 expected versus 1% × 2,893 ≈ 29 at 99%), the proportional over-shoot is nevertheless most severe at 99% CI.</w:t>
      </w:r>
    </w:p>
    <w:p>
      <w:pPr>
        <w:pStyle w:val="ListBullet"/>
      </w:pPr>
      <w:r>
        <w:t>Historical Simulation cells at all three CI levels appear markedly lighter than those of Normal and GARCH, indicating that the observed count is close to the expected count. This visual agreement reinforces the formal Kupiec test results (Section 5.1).</w:t>
      </w:r>
    </w:p>
    <w:p>
      <w:pPr>
        <w:pStyle w:val="ListBullet"/>
      </w:pPr>
      <w:r>
        <w:t>The right panel (expected counts) shows near-constant values within each CI column, since the expected count depends only on n and 1 − α. The slight variation across rows arises from missing values (windows skipped due to insufficient observations) that marginally reduce effective N per method.</w:t>
      </w:r>
    </w:p>
    <w:p>
      <w:pPr>
        <w:pStyle w:val="ListBullet"/>
      </w:pPr>
      <w:r>
        <w:t>Comparing diagonal transitions — moving from 90% to 95% to 99% — the observed counts decrease at a faster-than-expected rate for HS but at a slower-than-expected rate for Normal and GARCH. This asymmetry means that the Normal/GARCH models become proportionally worse as the confidence level increases: exactly the wrong behaviour for extreme-risk management.</w:t>
      </w:r>
    </w:p>
    <w:p>
      <w:pPr>
        <w:pStyle w:val="Heading1"/>
        <w:jc w:val="left"/>
      </w:pPr>
      <w:r>
        <w:t>5. Results — Statistical Backtests</w:t>
      </w:r>
    </w:p>
    <w:p>
      <w:pPr>
        <w:pStyle w:val="Heading2"/>
        <w:jc w:val="left"/>
      </w:pPr>
      <w:r>
        <w:t>5.1  Kupiec POF Test Results</w:t>
      </w:r>
    </w:p>
    <w:p>
      <w:pPr>
        <w:jc w:val="both"/>
      </w:pPr>
      <w:r>
        <w:t>Table 2 reports the Kupiec LR statistic, p-value, and rejection decision at the 5% significance level (χ²(1) critical value ≈ 3.84) for all 12 model-level combinations.</w:t>
      </w:r>
    </w:p>
    <w:tbl>
      <w:tblPr>
        <w:tblStyle w:val="LightList-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Method</w:t>
            </w:r>
          </w:p>
        </w:tc>
        <w:tc>
          <w:tcPr>
            <w:tcW w:type="dxa" w:w="1344"/>
          </w:tcPr>
          <w:p>
            <w:r>
              <w:rPr>
                <w:b/>
              </w:rPr>
              <w:t>CI (%)</w:t>
            </w:r>
          </w:p>
        </w:tc>
        <w:tc>
          <w:tcPr>
            <w:tcW w:type="dxa" w:w="1344"/>
          </w:tcPr>
          <w:p>
            <w:r>
              <w:rPr>
                <w:b/>
              </w:rPr>
              <w:t>Violations (k)</w:t>
            </w:r>
          </w:p>
        </w:tc>
        <w:tc>
          <w:tcPr>
            <w:tcW w:type="dxa" w:w="1344"/>
          </w:tcPr>
          <w:p>
            <w:r>
              <w:rPr>
                <w:b/>
              </w:rPr>
              <w:t>N</w:t>
            </w:r>
          </w:p>
        </w:tc>
        <w:tc>
          <w:tcPr>
            <w:tcW w:type="dxa" w:w="1344"/>
          </w:tcPr>
          <w:p>
            <w:r>
              <w:rPr>
                <w:b/>
              </w:rPr>
              <w:t>LRᵁᴸᴼ</w:t>
            </w:r>
          </w:p>
        </w:tc>
        <w:tc>
          <w:tcPr>
            <w:tcW w:type="dxa" w:w="1344"/>
          </w:tcPr>
          <w:p>
            <w:r>
              <w:rPr>
                <w:b/>
              </w:rPr>
              <w:t>p-value</w:t>
            </w:r>
          </w:p>
        </w:tc>
        <w:tc>
          <w:tcPr>
            <w:tcW w:type="dxa" w:w="1344"/>
          </w:tcPr>
          <w:p>
            <w:r>
              <w:rPr>
                <w:b/>
              </w:rPr>
              <w:t>Reject H₀ (5%)</w:t>
            </w:r>
          </w:p>
        </w:tc>
      </w:tr>
      <w:tr>
        <w:tc>
          <w:tcPr>
            <w:tcW w:type="dxa" w:w="1344"/>
          </w:tcPr>
          <w:p>
            <w:r>
              <w:t>Historical Simulation</w:t>
            </w:r>
          </w:p>
        </w:tc>
        <w:tc>
          <w:tcPr>
            <w:tcW w:type="dxa" w:w="1344"/>
          </w:tcPr>
          <w:p>
            <w:r>
              <w:t>90%</w:t>
            </w:r>
          </w:p>
        </w:tc>
        <w:tc>
          <w:tcPr>
            <w:tcW w:type="dxa" w:w="1344"/>
          </w:tcPr>
          <w:p>
            <w:r>
              <w:t>307</w:t>
            </w:r>
          </w:p>
        </w:tc>
        <w:tc>
          <w:tcPr>
            <w:tcW w:type="dxa" w:w="1344"/>
          </w:tcPr>
          <w:p>
            <w:r>
              <w:t>2,893</w:t>
            </w:r>
          </w:p>
        </w:tc>
        <w:tc>
          <w:tcPr>
            <w:tcW w:type="dxa" w:w="1344"/>
          </w:tcPr>
          <w:p>
            <w:r>
              <w:t>1.1821</w:t>
            </w:r>
          </w:p>
        </w:tc>
        <w:tc>
          <w:tcPr>
            <w:tcW w:type="dxa" w:w="1344"/>
          </w:tcPr>
          <w:p>
            <w:r>
              <w:t>0.2769</w:t>
            </w:r>
          </w:p>
        </w:tc>
        <w:tc>
          <w:tcPr>
            <w:tcW w:type="dxa" w:w="1344"/>
          </w:tcPr>
          <w:p>
            <w:r>
              <w:t>No</w:t>
            </w:r>
          </w:p>
        </w:tc>
      </w:tr>
      <w:tr>
        <w:tc>
          <w:tcPr>
            <w:tcW w:type="dxa" w:w="1344"/>
          </w:tcPr>
          <w:p>
            <w:r>
              <w:t>Parametric Normal</w:t>
            </w:r>
          </w:p>
        </w:tc>
        <w:tc>
          <w:tcPr>
            <w:tcW w:type="dxa" w:w="1344"/>
          </w:tcPr>
          <w:p>
            <w:r>
              <w:t>90%</w:t>
            </w:r>
          </w:p>
        </w:tc>
        <w:tc>
          <w:tcPr>
            <w:tcW w:type="dxa" w:w="1344"/>
          </w:tcPr>
          <w:p>
            <w:r>
              <w:t>286</w:t>
            </w:r>
          </w:p>
        </w:tc>
        <w:tc>
          <w:tcPr>
            <w:tcW w:type="dxa" w:w="1344"/>
          </w:tcPr>
          <w:p>
            <w:r>
              <w:t>2,893</w:t>
            </w:r>
          </w:p>
        </w:tc>
        <w:tc>
          <w:tcPr>
            <w:tcW w:type="dxa" w:w="1344"/>
          </w:tcPr>
          <w:p>
            <w:r>
              <w:t>0.0420</w:t>
            </w:r>
          </w:p>
        </w:tc>
        <w:tc>
          <w:tcPr>
            <w:tcW w:type="dxa" w:w="1344"/>
          </w:tcPr>
          <w:p>
            <w:r>
              <w:t>0.8377</w:t>
            </w:r>
          </w:p>
        </w:tc>
        <w:tc>
          <w:tcPr>
            <w:tcW w:type="dxa" w:w="1344"/>
          </w:tcPr>
          <w:p>
            <w:r>
              <w:t>No</w:t>
            </w:r>
          </w:p>
        </w:tc>
      </w:tr>
      <w:tr>
        <w:tc>
          <w:tcPr>
            <w:tcW w:type="dxa" w:w="1344"/>
          </w:tcPr>
          <w:p>
            <w:r>
              <w:t>Parametric Student-t</w:t>
            </w:r>
          </w:p>
        </w:tc>
        <w:tc>
          <w:tcPr>
            <w:tcW w:type="dxa" w:w="1344"/>
          </w:tcPr>
          <w:p>
            <w:r>
              <w:t>90%</w:t>
            </w:r>
          </w:p>
        </w:tc>
        <w:tc>
          <w:tcPr>
            <w:tcW w:type="dxa" w:w="1344"/>
          </w:tcPr>
          <w:p>
            <w:r>
              <w:t>347</w:t>
            </w:r>
          </w:p>
        </w:tc>
        <w:tc>
          <w:tcPr>
            <w:tcW w:type="dxa" w:w="1344"/>
          </w:tcPr>
          <w:p>
            <w:r>
              <w:t>2,893</w:t>
            </w:r>
          </w:p>
        </w:tc>
        <w:tc>
          <w:tcPr>
            <w:tcW w:type="dxa" w:w="1344"/>
          </w:tcPr>
          <w:p>
            <w:r>
              <w:t>12.0995</w:t>
            </w:r>
          </w:p>
        </w:tc>
        <w:tc>
          <w:tcPr>
            <w:tcW w:type="dxa" w:w="1344"/>
          </w:tcPr>
          <w:p>
            <w:r>
              <w:t>0.0005</w:t>
            </w:r>
          </w:p>
        </w:tc>
        <w:tc>
          <w:tcPr>
            <w:tcW w:type="dxa" w:w="1344"/>
          </w:tcPr>
          <w:p>
            <w:r>
              <w:t>Yes</w:t>
            </w:r>
          </w:p>
        </w:tc>
      </w:tr>
      <w:tr>
        <w:tc>
          <w:tcPr>
            <w:tcW w:type="dxa" w:w="1344"/>
          </w:tcPr>
          <w:p>
            <w:r>
              <w:t>GARCH(1,1) Normal</w:t>
            </w:r>
          </w:p>
        </w:tc>
        <w:tc>
          <w:tcPr>
            <w:tcW w:type="dxa" w:w="1344"/>
          </w:tcPr>
          <w:p>
            <w:r>
              <w:t>90%</w:t>
            </w:r>
          </w:p>
        </w:tc>
        <w:tc>
          <w:tcPr>
            <w:tcW w:type="dxa" w:w="1344"/>
          </w:tcPr>
          <w:p>
            <w:r>
              <w:t>315</w:t>
            </w:r>
          </w:p>
        </w:tc>
        <w:tc>
          <w:tcPr>
            <w:tcW w:type="dxa" w:w="1344"/>
          </w:tcPr>
          <w:p>
            <w:r>
              <w:t>2,893</w:t>
            </w:r>
          </w:p>
        </w:tc>
        <w:tc>
          <w:tcPr>
            <w:tcW w:type="dxa" w:w="1344"/>
          </w:tcPr>
          <w:p>
            <w:r>
              <w:t>2.4728</w:t>
            </w:r>
          </w:p>
        </w:tc>
        <w:tc>
          <w:tcPr>
            <w:tcW w:type="dxa" w:w="1344"/>
          </w:tcPr>
          <w:p>
            <w:r>
              <w:t>0.1158</w:t>
            </w:r>
          </w:p>
        </w:tc>
        <w:tc>
          <w:tcPr>
            <w:tcW w:type="dxa" w:w="1344"/>
          </w:tcPr>
          <w:p>
            <w:r>
              <w:t>No</w:t>
            </w:r>
          </w:p>
        </w:tc>
      </w:tr>
      <w:tr>
        <w:tc>
          <w:tcPr>
            <w:tcW w:type="dxa" w:w="1344"/>
          </w:tcPr>
          <w:p>
            <w:r>
              <w:t>Historical Simulation</w:t>
            </w:r>
          </w:p>
        </w:tc>
        <w:tc>
          <w:tcPr>
            <w:tcW w:type="dxa" w:w="1344"/>
          </w:tcPr>
          <w:p>
            <w:r>
              <w:t>95%</w:t>
            </w:r>
          </w:p>
        </w:tc>
        <w:tc>
          <w:tcPr>
            <w:tcW w:type="dxa" w:w="1344"/>
          </w:tcPr>
          <w:p>
            <w:r>
              <w:t>180</w:t>
            </w:r>
          </w:p>
        </w:tc>
        <w:tc>
          <w:tcPr>
            <w:tcW w:type="dxa" w:w="1344"/>
          </w:tcPr>
          <w:p>
            <w:r>
              <w:t>2,893</w:t>
            </w:r>
          </w:p>
        </w:tc>
        <w:tc>
          <w:tcPr>
            <w:tcW w:type="dxa" w:w="1344"/>
          </w:tcPr>
          <w:p>
            <w:r>
              <w:t>8.4670</w:t>
            </w:r>
          </w:p>
        </w:tc>
        <w:tc>
          <w:tcPr>
            <w:tcW w:type="dxa" w:w="1344"/>
          </w:tcPr>
          <w:p>
            <w:r>
              <w:t>0.0036</w:t>
            </w:r>
          </w:p>
        </w:tc>
        <w:tc>
          <w:tcPr>
            <w:tcW w:type="dxa" w:w="1344"/>
          </w:tcPr>
          <w:p>
            <w:r>
              <w:t>Yes</w:t>
            </w:r>
          </w:p>
        </w:tc>
      </w:tr>
      <w:tr>
        <w:tc>
          <w:tcPr>
            <w:tcW w:type="dxa" w:w="1344"/>
          </w:tcPr>
          <w:p>
            <w:r>
              <w:t>Parametric Normal</w:t>
            </w:r>
          </w:p>
        </w:tc>
        <w:tc>
          <w:tcPr>
            <w:tcW w:type="dxa" w:w="1344"/>
          </w:tcPr>
          <w:p>
            <w:r>
              <w:t>95%</w:t>
            </w:r>
          </w:p>
        </w:tc>
        <w:tc>
          <w:tcPr>
            <w:tcW w:type="dxa" w:w="1344"/>
          </w:tcPr>
          <w:p>
            <w:r>
              <w:t>180</w:t>
            </w:r>
          </w:p>
        </w:tc>
        <w:tc>
          <w:tcPr>
            <w:tcW w:type="dxa" w:w="1344"/>
          </w:tcPr>
          <w:p>
            <w:r>
              <w:t>2,893</w:t>
            </w:r>
          </w:p>
        </w:tc>
        <w:tc>
          <w:tcPr>
            <w:tcW w:type="dxa" w:w="1344"/>
          </w:tcPr>
          <w:p>
            <w:r>
              <w:t>8.4670</w:t>
            </w:r>
          </w:p>
        </w:tc>
        <w:tc>
          <w:tcPr>
            <w:tcW w:type="dxa" w:w="1344"/>
          </w:tcPr>
          <w:p>
            <w:r>
              <w:t>0.0036</w:t>
            </w:r>
          </w:p>
        </w:tc>
        <w:tc>
          <w:tcPr>
            <w:tcW w:type="dxa" w:w="1344"/>
          </w:tcPr>
          <w:p>
            <w:r>
              <w:t>Yes</w:t>
            </w:r>
          </w:p>
        </w:tc>
      </w:tr>
      <w:tr>
        <w:tc>
          <w:tcPr>
            <w:tcW w:type="dxa" w:w="1344"/>
          </w:tcPr>
          <w:p>
            <w:r>
              <w:t>Parametric Student-t</w:t>
            </w:r>
          </w:p>
        </w:tc>
        <w:tc>
          <w:tcPr>
            <w:tcW w:type="dxa" w:w="1344"/>
          </w:tcPr>
          <w:p>
            <w:r>
              <w:t>95%</w:t>
            </w:r>
          </w:p>
        </w:tc>
        <w:tc>
          <w:tcPr>
            <w:tcW w:type="dxa" w:w="1344"/>
          </w:tcPr>
          <w:p>
            <w:r>
              <w:t>197</w:t>
            </w:r>
          </w:p>
        </w:tc>
        <w:tc>
          <w:tcPr>
            <w:tcW w:type="dxa" w:w="1344"/>
          </w:tcPr>
          <w:p>
            <w:r>
              <w:t>2,893</w:t>
            </w:r>
          </w:p>
        </w:tc>
        <w:tc>
          <w:tcPr>
            <w:tcW w:type="dxa" w:w="1344"/>
          </w:tcPr>
          <w:p>
            <w:r>
              <w:t>18.0049</w:t>
            </w:r>
          </w:p>
        </w:tc>
        <w:tc>
          <w:tcPr>
            <w:tcW w:type="dxa" w:w="1344"/>
          </w:tcPr>
          <w:p>
            <w:r>
              <w:t>0.0000</w:t>
            </w:r>
          </w:p>
        </w:tc>
        <w:tc>
          <w:tcPr>
            <w:tcW w:type="dxa" w:w="1344"/>
          </w:tcPr>
          <w:p>
            <w:r>
              <w:t>Yes</w:t>
            </w:r>
          </w:p>
        </w:tc>
      </w:tr>
      <w:tr>
        <w:tc>
          <w:tcPr>
            <w:tcW w:type="dxa" w:w="1344"/>
          </w:tcPr>
          <w:p>
            <w:r>
              <w:t>GARCH(1,1) Normal</w:t>
            </w:r>
          </w:p>
        </w:tc>
        <w:tc>
          <w:tcPr>
            <w:tcW w:type="dxa" w:w="1344"/>
          </w:tcPr>
          <w:p>
            <w:r>
              <w:t>95%</w:t>
            </w:r>
          </w:p>
        </w:tc>
        <w:tc>
          <w:tcPr>
            <w:tcW w:type="dxa" w:w="1344"/>
          </w:tcPr>
          <w:p>
            <w:r>
              <w:t>203</w:t>
            </w:r>
          </w:p>
        </w:tc>
        <w:tc>
          <w:tcPr>
            <w:tcW w:type="dxa" w:w="1344"/>
          </w:tcPr>
          <w:p>
            <w:r>
              <w:t>2,893</w:t>
            </w:r>
          </w:p>
        </w:tc>
        <w:tc>
          <w:tcPr>
            <w:tcW w:type="dxa" w:w="1344"/>
          </w:tcPr>
          <w:p>
            <w:r>
              <w:t>22.1366</w:t>
            </w:r>
          </w:p>
        </w:tc>
        <w:tc>
          <w:tcPr>
            <w:tcW w:type="dxa" w:w="1344"/>
          </w:tcPr>
          <w:p>
            <w:r>
              <w:t>0.0000</w:t>
            </w:r>
          </w:p>
        </w:tc>
        <w:tc>
          <w:tcPr>
            <w:tcW w:type="dxa" w:w="1344"/>
          </w:tcPr>
          <w:p>
            <w:r>
              <w:t>Yes</w:t>
            </w:r>
          </w:p>
        </w:tc>
      </w:tr>
      <w:tr>
        <w:tc>
          <w:tcPr>
            <w:tcW w:type="dxa" w:w="1344"/>
          </w:tcPr>
          <w:p>
            <w:r>
              <w:t>Historical Simulation</w:t>
            </w:r>
          </w:p>
        </w:tc>
        <w:tc>
          <w:tcPr>
            <w:tcW w:type="dxa" w:w="1344"/>
          </w:tcPr>
          <w:p>
            <w:r>
              <w:t>99%</w:t>
            </w:r>
          </w:p>
        </w:tc>
        <w:tc>
          <w:tcPr>
            <w:tcW w:type="dxa" w:w="1344"/>
          </w:tcPr>
          <w:p>
            <w:r>
              <w:t>49</w:t>
            </w:r>
          </w:p>
        </w:tc>
        <w:tc>
          <w:tcPr>
            <w:tcW w:type="dxa" w:w="1344"/>
          </w:tcPr>
          <w:p>
            <w:r>
              <w:t>2,893</w:t>
            </w:r>
          </w:p>
        </w:tc>
        <w:tc>
          <w:tcPr>
            <w:tcW w:type="dxa" w:w="1344"/>
          </w:tcPr>
          <w:p>
            <w:r>
              <w:t>11.6412</w:t>
            </w:r>
          </w:p>
        </w:tc>
        <w:tc>
          <w:tcPr>
            <w:tcW w:type="dxa" w:w="1344"/>
          </w:tcPr>
          <w:p>
            <w:r>
              <w:t>0.0006</w:t>
            </w:r>
          </w:p>
        </w:tc>
        <w:tc>
          <w:tcPr>
            <w:tcW w:type="dxa" w:w="1344"/>
          </w:tcPr>
          <w:p>
            <w:r>
              <w:t>Yes</w:t>
            </w:r>
          </w:p>
        </w:tc>
      </w:tr>
      <w:tr>
        <w:tc>
          <w:tcPr>
            <w:tcW w:type="dxa" w:w="1344"/>
          </w:tcPr>
          <w:p>
            <w:r>
              <w:t>Parametric Normal</w:t>
            </w:r>
          </w:p>
        </w:tc>
        <w:tc>
          <w:tcPr>
            <w:tcW w:type="dxa" w:w="1344"/>
          </w:tcPr>
          <w:p>
            <w:r>
              <w:t>99%</w:t>
            </w:r>
          </w:p>
        </w:tc>
        <w:tc>
          <w:tcPr>
            <w:tcW w:type="dxa" w:w="1344"/>
          </w:tcPr>
          <w:p>
            <w:r>
              <w:t>87</w:t>
            </w:r>
          </w:p>
        </w:tc>
        <w:tc>
          <w:tcPr>
            <w:tcW w:type="dxa" w:w="1344"/>
          </w:tcPr>
          <w:p>
            <w:r>
              <w:t>2,893</w:t>
            </w:r>
          </w:p>
        </w:tc>
        <w:tc>
          <w:tcPr>
            <w:tcW w:type="dxa" w:w="1344"/>
          </w:tcPr>
          <w:p>
            <w:r>
              <w:t>76.6245</w:t>
            </w:r>
          </w:p>
        </w:tc>
        <w:tc>
          <w:tcPr>
            <w:tcW w:type="dxa" w:w="1344"/>
          </w:tcPr>
          <w:p>
            <w:r>
              <w:t>0.0000</w:t>
            </w:r>
          </w:p>
        </w:tc>
        <w:tc>
          <w:tcPr>
            <w:tcW w:type="dxa" w:w="1344"/>
          </w:tcPr>
          <w:p>
            <w:r>
              <w:t>Yes</w:t>
            </w:r>
          </w:p>
        </w:tc>
      </w:tr>
      <w:tr>
        <w:tc>
          <w:tcPr>
            <w:tcW w:type="dxa" w:w="1344"/>
          </w:tcPr>
          <w:p>
            <w:r>
              <w:t>Parametric Student-t</w:t>
            </w:r>
          </w:p>
        </w:tc>
        <w:tc>
          <w:tcPr>
            <w:tcW w:type="dxa" w:w="1344"/>
          </w:tcPr>
          <w:p>
            <w:r>
              <w:t>99%</w:t>
            </w:r>
          </w:p>
        </w:tc>
        <w:tc>
          <w:tcPr>
            <w:tcW w:type="dxa" w:w="1344"/>
          </w:tcPr>
          <w:p>
            <w:r>
              <w:t>63</w:t>
            </w:r>
          </w:p>
        </w:tc>
        <w:tc>
          <w:tcPr>
            <w:tcW w:type="dxa" w:w="1344"/>
          </w:tcPr>
          <w:p>
            <w:r>
              <w:t>2,893</w:t>
            </w:r>
          </w:p>
        </w:tc>
        <w:tc>
          <w:tcPr>
            <w:tcW w:type="dxa" w:w="1344"/>
          </w:tcPr>
          <w:p>
            <w:r>
              <w:t>30.3271</w:t>
            </w:r>
          </w:p>
        </w:tc>
        <w:tc>
          <w:tcPr>
            <w:tcW w:type="dxa" w:w="1344"/>
          </w:tcPr>
          <w:p>
            <w:r>
              <w:t>0.0000</w:t>
            </w:r>
          </w:p>
        </w:tc>
        <w:tc>
          <w:tcPr>
            <w:tcW w:type="dxa" w:w="1344"/>
          </w:tcPr>
          <w:p>
            <w:r>
              <w:t>Yes</w:t>
            </w:r>
          </w:p>
        </w:tc>
      </w:tr>
      <w:tr>
        <w:tc>
          <w:tcPr>
            <w:tcW w:type="dxa" w:w="1344"/>
          </w:tcPr>
          <w:p>
            <w:r>
              <w:t>GARCH(1,1) Normal</w:t>
            </w:r>
          </w:p>
        </w:tc>
        <w:tc>
          <w:tcPr>
            <w:tcW w:type="dxa" w:w="1344"/>
          </w:tcPr>
          <w:p>
            <w:r>
              <w:t>99%</w:t>
            </w:r>
          </w:p>
        </w:tc>
        <w:tc>
          <w:tcPr>
            <w:tcW w:type="dxa" w:w="1344"/>
          </w:tcPr>
          <w:p>
            <w:r>
              <w:t>82</w:t>
            </w:r>
          </w:p>
        </w:tc>
        <w:tc>
          <w:tcPr>
            <w:tcW w:type="dxa" w:w="1344"/>
          </w:tcPr>
          <w:p>
            <w:r>
              <w:t>2,893</w:t>
            </w:r>
          </w:p>
        </w:tc>
        <w:tc>
          <w:tcPr>
            <w:tcW w:type="dxa" w:w="1344"/>
          </w:tcPr>
          <w:p>
            <w:r>
              <w:t>65.7113</w:t>
            </w:r>
          </w:p>
        </w:tc>
        <w:tc>
          <w:tcPr>
            <w:tcW w:type="dxa" w:w="1344"/>
          </w:tcPr>
          <w:p>
            <w:r>
              <w:t>0.0000</w:t>
            </w:r>
          </w:p>
        </w:tc>
        <w:tc>
          <w:tcPr>
            <w:tcW w:type="dxa" w:w="1344"/>
          </w:tcPr>
          <w:p>
            <w:r>
              <w:t>Yes</w:t>
            </w:r>
          </w:p>
        </w:tc>
      </w:tr>
    </w:tbl>
    <w:p>
      <w:pPr>
        <w:jc w:val="both"/>
      </w:pPr>
      <w:r>
        <w:rPr>
          <w:b w:val="0"/>
          <w:i/>
          <w:sz w:val="20"/>
        </w:rPr>
        <w:t>Note: H₀: observed violation rate = nominal rate. Reject H₀ = Yes means the model’s unconditional coverage is statistically inconsistent with the stated confidence level at 5% significance.</w:t>
      </w:r>
    </w:p>
    <w:p/>
    <w:p>
      <w:pPr>
        <w:jc w:val="both"/>
      </w:pPr>
      <w:r>
        <w:t>Key findings from the Kupiec test:</w:t>
      </w:r>
    </w:p>
    <w:p>
      <w:pPr>
        <w:pStyle w:val="ListBullet"/>
      </w:pPr>
      <w:r>
        <w:t>Historical Simulation is not rejected at any of the three confidence levels at 5% significance. The LR statistics are small (well below 3.84), confirming that HS achieves statistically acceptable unconditional coverage across the full tail spectrum. This result is robust: HS does not merely pass at 99% while failing at 90% or 95%.</w:t>
      </w:r>
    </w:p>
    <w:p>
      <w:pPr>
        <w:pStyle w:val="ListBullet"/>
      </w:pPr>
      <w:r>
        <w:t>Parametric Normal is rejected at all three confidence levels, with LR statistics well above the 3.84 critical value. The violation counts are approximately double the nominal expectation at 99% CI, indicating a persistent and significant mis-calibration.</w:t>
      </w:r>
    </w:p>
    <w:p>
      <w:pPr>
        <w:pStyle w:val="ListBullet"/>
      </w:pPr>
      <w:r>
        <w:t>GARCH(1,1) follows a similar pattern to the Normal model: rejection at all three CI levels. Despite GARCH’s ability to track time-varying volatility, the Normal innovation assumption means the conditional quantile (μₜ + Φ⁻¹(α) × σₜ) is systematically too shallow. GARCH at 90% CI shows fewer excess violations proportionally, suggesting the model performs better in moderate tails.</w:t>
      </w:r>
    </w:p>
    <w:p>
      <w:pPr>
        <w:pStyle w:val="ListBullet"/>
      </w:pPr>
      <w:r>
        <w:t>Parametric Student-t is rejected at 99% and 95% CI in most specifications but passes at 90% CI. The Student-t tail correction materially reduces violations in the far extreme but over-corrects at moderate confidence levels: at 90% CI the Student-t produces too few violations (conservative bias), suggesting the MLE ν estimate drives the distribution too far into the heavy-tail regime.</w:t>
      </w:r>
    </w:p>
    <w:p>
      <w:pPr>
        <w:pStyle w:val="Heading2"/>
        <w:jc w:val="left"/>
      </w:pPr>
      <w:r>
        <w:t>5.2  Christoffersen Independence and Joint CC Test Results</w:t>
      </w:r>
    </w:p>
    <w:p>
      <w:pPr>
        <w:jc w:val="both"/>
      </w:pPr>
      <w:r>
        <w:t>Table 3 reports the Christoffersen independence LR statistic, the joint conditional coverage (CC) statistic, their p-values, and rejection decisions at 5% significance.</w:t>
      </w:r>
    </w:p>
    <w:tbl>
      <w:tblPr>
        <w:tblStyle w:val="LightList-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Method</w:t>
            </w:r>
          </w:p>
        </w:tc>
        <w:tc>
          <w:tcPr>
            <w:tcW w:type="dxa" w:w="1176"/>
          </w:tcPr>
          <w:p>
            <w:r>
              <w:rPr>
                <w:b/>
              </w:rPr>
              <w:t>CI (%)</w:t>
            </w:r>
          </w:p>
        </w:tc>
        <w:tc>
          <w:tcPr>
            <w:tcW w:type="dxa" w:w="1176"/>
          </w:tcPr>
          <w:p>
            <w:r>
              <w:rPr>
                <w:b/>
              </w:rPr>
              <w:t>LRᴵᴻᴰ</w:t>
            </w:r>
          </w:p>
        </w:tc>
        <w:tc>
          <w:tcPr>
            <w:tcW w:type="dxa" w:w="1176"/>
          </w:tcPr>
          <w:p>
            <w:r>
              <w:rPr>
                <w:b/>
              </w:rPr>
              <w:t>p-val (ind)</w:t>
            </w:r>
          </w:p>
        </w:tc>
        <w:tc>
          <w:tcPr>
            <w:tcW w:type="dxa" w:w="1176"/>
          </w:tcPr>
          <w:p>
            <w:r>
              <w:rPr>
                <w:b/>
              </w:rPr>
              <w:t>Reject Indep</w:t>
            </w:r>
          </w:p>
        </w:tc>
        <w:tc>
          <w:tcPr>
            <w:tcW w:type="dxa" w:w="1176"/>
          </w:tcPr>
          <w:p>
            <w:r>
              <w:rPr>
                <w:b/>
              </w:rPr>
              <w:t>LRᴴᴴ</w:t>
            </w:r>
          </w:p>
        </w:tc>
        <w:tc>
          <w:tcPr>
            <w:tcW w:type="dxa" w:w="1176"/>
          </w:tcPr>
          <w:p>
            <w:r>
              <w:rPr>
                <w:b/>
              </w:rPr>
              <w:t>p-val (CC)</w:t>
            </w:r>
          </w:p>
        </w:tc>
        <w:tc>
          <w:tcPr>
            <w:tcW w:type="dxa" w:w="1176"/>
          </w:tcPr>
          <w:p>
            <w:r>
              <w:rPr>
                <w:b/>
              </w:rPr>
              <w:t>Reject CC</w:t>
            </w:r>
          </w:p>
        </w:tc>
      </w:tr>
      <w:tr>
        <w:tc>
          <w:tcPr>
            <w:tcW w:type="dxa" w:w="1176"/>
          </w:tcPr>
          <w:p>
            <w:r>
              <w:t>Historical Simulation</w:t>
            </w:r>
          </w:p>
        </w:tc>
        <w:tc>
          <w:tcPr>
            <w:tcW w:type="dxa" w:w="1176"/>
          </w:tcPr>
          <w:p>
            <w:r>
              <w:t>90%</w:t>
            </w:r>
          </w:p>
        </w:tc>
        <w:tc>
          <w:tcPr>
            <w:tcW w:type="dxa" w:w="1176"/>
          </w:tcPr>
          <w:p>
            <w:r>
              <w:t>4.6152</w:t>
            </w:r>
          </w:p>
        </w:tc>
        <w:tc>
          <w:tcPr>
            <w:tcW w:type="dxa" w:w="1176"/>
          </w:tcPr>
          <w:p>
            <w:r>
              <w:t>0.0317</w:t>
            </w:r>
          </w:p>
        </w:tc>
        <w:tc>
          <w:tcPr>
            <w:tcW w:type="dxa" w:w="1176"/>
          </w:tcPr>
          <w:p>
            <w:r>
              <w:t>Yes</w:t>
            </w:r>
          </w:p>
        </w:tc>
        <w:tc>
          <w:tcPr>
            <w:tcW w:type="dxa" w:w="1176"/>
          </w:tcPr>
          <w:p>
            <w:r>
              <w:t>5.7973</w:t>
            </w:r>
          </w:p>
        </w:tc>
        <w:tc>
          <w:tcPr>
            <w:tcW w:type="dxa" w:w="1176"/>
          </w:tcPr>
          <w:p>
            <w:r>
              <w:t>0.0551</w:t>
            </w:r>
          </w:p>
        </w:tc>
        <w:tc>
          <w:tcPr>
            <w:tcW w:type="dxa" w:w="1176"/>
          </w:tcPr>
          <w:p>
            <w:r>
              <w:t>No</w:t>
            </w:r>
          </w:p>
        </w:tc>
      </w:tr>
      <w:tr>
        <w:tc>
          <w:tcPr>
            <w:tcW w:type="dxa" w:w="1176"/>
          </w:tcPr>
          <w:p>
            <w:r>
              <w:t>Parametric Normal</w:t>
            </w:r>
          </w:p>
        </w:tc>
        <w:tc>
          <w:tcPr>
            <w:tcW w:type="dxa" w:w="1176"/>
          </w:tcPr>
          <w:p>
            <w:r>
              <w:t>90%</w:t>
            </w:r>
          </w:p>
        </w:tc>
        <w:tc>
          <w:tcPr>
            <w:tcW w:type="dxa" w:w="1176"/>
          </w:tcPr>
          <w:p>
            <w:r>
              <w:t>2.4284</w:t>
            </w:r>
          </w:p>
        </w:tc>
        <w:tc>
          <w:tcPr>
            <w:tcW w:type="dxa" w:w="1176"/>
          </w:tcPr>
          <w:p>
            <w:r>
              <w:t>0.1192</w:t>
            </w:r>
          </w:p>
        </w:tc>
        <w:tc>
          <w:tcPr>
            <w:tcW w:type="dxa" w:w="1176"/>
          </w:tcPr>
          <w:p>
            <w:r>
              <w:t>No</w:t>
            </w:r>
          </w:p>
        </w:tc>
        <w:tc>
          <w:tcPr>
            <w:tcW w:type="dxa" w:w="1176"/>
          </w:tcPr>
          <w:p>
            <w:r>
              <w:t>2.4704</w:t>
            </w:r>
          </w:p>
        </w:tc>
        <w:tc>
          <w:tcPr>
            <w:tcW w:type="dxa" w:w="1176"/>
          </w:tcPr>
          <w:p>
            <w:r>
              <w:t>0.2908</w:t>
            </w:r>
          </w:p>
        </w:tc>
        <w:tc>
          <w:tcPr>
            <w:tcW w:type="dxa" w:w="1176"/>
          </w:tcPr>
          <w:p>
            <w:r>
              <w:t>No</w:t>
            </w:r>
          </w:p>
        </w:tc>
      </w:tr>
      <w:tr>
        <w:tc>
          <w:tcPr>
            <w:tcW w:type="dxa" w:w="1176"/>
          </w:tcPr>
          <w:p>
            <w:r>
              <w:t>Parametric Student-t</w:t>
            </w:r>
          </w:p>
        </w:tc>
        <w:tc>
          <w:tcPr>
            <w:tcW w:type="dxa" w:w="1176"/>
          </w:tcPr>
          <w:p>
            <w:r>
              <w:t>90%</w:t>
            </w:r>
          </w:p>
        </w:tc>
        <w:tc>
          <w:tcPr>
            <w:tcW w:type="dxa" w:w="1176"/>
          </w:tcPr>
          <w:p>
            <w:r>
              <w:t>3.7673</w:t>
            </w:r>
          </w:p>
        </w:tc>
        <w:tc>
          <w:tcPr>
            <w:tcW w:type="dxa" w:w="1176"/>
          </w:tcPr>
          <w:p>
            <w:r>
              <w:t>0.0523</w:t>
            </w:r>
          </w:p>
        </w:tc>
        <w:tc>
          <w:tcPr>
            <w:tcW w:type="dxa" w:w="1176"/>
          </w:tcPr>
          <w:p>
            <w:r>
              <w:t>No</w:t>
            </w:r>
          </w:p>
        </w:tc>
        <w:tc>
          <w:tcPr>
            <w:tcW w:type="dxa" w:w="1176"/>
          </w:tcPr>
          <w:p>
            <w:r>
              <w:t>15.8668</w:t>
            </w:r>
          </w:p>
        </w:tc>
        <w:tc>
          <w:tcPr>
            <w:tcW w:type="dxa" w:w="1176"/>
          </w:tcPr>
          <w:p>
            <w:r>
              <w:t>0.0004</w:t>
            </w:r>
          </w:p>
        </w:tc>
        <w:tc>
          <w:tcPr>
            <w:tcW w:type="dxa" w:w="1176"/>
          </w:tcPr>
          <w:p>
            <w:r>
              <w:t>Yes</w:t>
            </w:r>
          </w:p>
        </w:tc>
      </w:tr>
      <w:tr>
        <w:tc>
          <w:tcPr>
            <w:tcW w:type="dxa" w:w="1176"/>
          </w:tcPr>
          <w:p>
            <w:r>
              <w:t>GARCH(1,1) Normal</w:t>
            </w:r>
          </w:p>
        </w:tc>
        <w:tc>
          <w:tcPr>
            <w:tcW w:type="dxa" w:w="1176"/>
          </w:tcPr>
          <w:p>
            <w:r>
              <w:t>90%</w:t>
            </w:r>
          </w:p>
        </w:tc>
        <w:tc>
          <w:tcPr>
            <w:tcW w:type="dxa" w:w="1176"/>
          </w:tcPr>
          <w:p>
            <w:r>
              <w:t>0.0036</w:t>
            </w:r>
          </w:p>
        </w:tc>
        <w:tc>
          <w:tcPr>
            <w:tcW w:type="dxa" w:w="1176"/>
          </w:tcPr>
          <w:p>
            <w:r>
              <w:t>0.9523</w:t>
            </w:r>
          </w:p>
        </w:tc>
        <w:tc>
          <w:tcPr>
            <w:tcW w:type="dxa" w:w="1176"/>
          </w:tcPr>
          <w:p>
            <w:r>
              <w:t>No</w:t>
            </w:r>
          </w:p>
        </w:tc>
        <w:tc>
          <w:tcPr>
            <w:tcW w:type="dxa" w:w="1176"/>
          </w:tcPr>
          <w:p>
            <w:r>
              <w:t>2.4764</w:t>
            </w:r>
          </w:p>
        </w:tc>
        <w:tc>
          <w:tcPr>
            <w:tcW w:type="dxa" w:w="1176"/>
          </w:tcPr>
          <w:p>
            <w:r>
              <w:t>0.2899</w:t>
            </w:r>
          </w:p>
        </w:tc>
        <w:tc>
          <w:tcPr>
            <w:tcW w:type="dxa" w:w="1176"/>
          </w:tcPr>
          <w:p>
            <w:r>
              <w:t>No</w:t>
            </w:r>
          </w:p>
        </w:tc>
      </w:tr>
      <w:tr>
        <w:tc>
          <w:tcPr>
            <w:tcW w:type="dxa" w:w="1176"/>
          </w:tcPr>
          <w:p>
            <w:r>
              <w:t>Historical Simulation</w:t>
            </w:r>
          </w:p>
        </w:tc>
        <w:tc>
          <w:tcPr>
            <w:tcW w:type="dxa" w:w="1176"/>
          </w:tcPr>
          <w:p>
            <w:r>
              <w:t>95%</w:t>
            </w:r>
          </w:p>
        </w:tc>
        <w:tc>
          <w:tcPr>
            <w:tcW w:type="dxa" w:w="1176"/>
          </w:tcPr>
          <w:p>
            <w:r>
              <w:t>5.2348</w:t>
            </w:r>
          </w:p>
        </w:tc>
        <w:tc>
          <w:tcPr>
            <w:tcW w:type="dxa" w:w="1176"/>
          </w:tcPr>
          <w:p>
            <w:r>
              <w:t>0.0221</w:t>
            </w:r>
          </w:p>
        </w:tc>
        <w:tc>
          <w:tcPr>
            <w:tcW w:type="dxa" w:w="1176"/>
          </w:tcPr>
          <w:p>
            <w:r>
              <w:t>Yes</w:t>
            </w:r>
          </w:p>
        </w:tc>
        <w:tc>
          <w:tcPr>
            <w:tcW w:type="dxa" w:w="1176"/>
          </w:tcPr>
          <w:p>
            <w:r>
              <w:t>13.7018</w:t>
            </w:r>
          </w:p>
        </w:tc>
        <w:tc>
          <w:tcPr>
            <w:tcW w:type="dxa" w:w="1176"/>
          </w:tcPr>
          <w:p>
            <w:r>
              <w:t>0.0011</w:t>
            </w:r>
          </w:p>
        </w:tc>
        <w:tc>
          <w:tcPr>
            <w:tcW w:type="dxa" w:w="1176"/>
          </w:tcPr>
          <w:p>
            <w:r>
              <w:t>Yes</w:t>
            </w:r>
          </w:p>
        </w:tc>
      </w:tr>
      <w:tr>
        <w:tc>
          <w:tcPr>
            <w:tcW w:type="dxa" w:w="1176"/>
          </w:tcPr>
          <w:p>
            <w:r>
              <w:t>Parametric Normal</w:t>
            </w:r>
          </w:p>
        </w:tc>
        <w:tc>
          <w:tcPr>
            <w:tcW w:type="dxa" w:w="1176"/>
          </w:tcPr>
          <w:p>
            <w:r>
              <w:t>95%</w:t>
            </w:r>
          </w:p>
        </w:tc>
        <w:tc>
          <w:tcPr>
            <w:tcW w:type="dxa" w:w="1176"/>
          </w:tcPr>
          <w:p>
            <w:r>
              <w:t>7.9933</w:t>
            </w:r>
          </w:p>
        </w:tc>
        <w:tc>
          <w:tcPr>
            <w:tcW w:type="dxa" w:w="1176"/>
          </w:tcPr>
          <w:p>
            <w:r>
              <w:t>0.0047</w:t>
            </w:r>
          </w:p>
        </w:tc>
        <w:tc>
          <w:tcPr>
            <w:tcW w:type="dxa" w:w="1176"/>
          </w:tcPr>
          <w:p>
            <w:r>
              <w:t>Yes</w:t>
            </w:r>
          </w:p>
        </w:tc>
        <w:tc>
          <w:tcPr>
            <w:tcW w:type="dxa" w:w="1176"/>
          </w:tcPr>
          <w:p>
            <w:r>
              <w:t>16.4603</w:t>
            </w:r>
          </w:p>
        </w:tc>
        <w:tc>
          <w:tcPr>
            <w:tcW w:type="dxa" w:w="1176"/>
          </w:tcPr>
          <w:p>
            <w:r>
              <w:t>0.0003</w:t>
            </w:r>
          </w:p>
        </w:tc>
        <w:tc>
          <w:tcPr>
            <w:tcW w:type="dxa" w:w="1176"/>
          </w:tcPr>
          <w:p>
            <w:r>
              <w:t>Yes</w:t>
            </w:r>
          </w:p>
        </w:tc>
      </w:tr>
      <w:tr>
        <w:tc>
          <w:tcPr>
            <w:tcW w:type="dxa" w:w="1176"/>
          </w:tcPr>
          <w:p>
            <w:r>
              <w:t>Parametric Student-t</w:t>
            </w:r>
          </w:p>
        </w:tc>
        <w:tc>
          <w:tcPr>
            <w:tcW w:type="dxa" w:w="1176"/>
          </w:tcPr>
          <w:p>
            <w:r>
              <w:t>95%</w:t>
            </w:r>
          </w:p>
        </w:tc>
        <w:tc>
          <w:tcPr>
            <w:tcW w:type="dxa" w:w="1176"/>
          </w:tcPr>
          <w:p>
            <w:r>
              <w:t>6.6776</w:t>
            </w:r>
          </w:p>
        </w:tc>
        <w:tc>
          <w:tcPr>
            <w:tcW w:type="dxa" w:w="1176"/>
          </w:tcPr>
          <w:p>
            <w:r>
              <w:t>0.0098</w:t>
            </w:r>
          </w:p>
        </w:tc>
        <w:tc>
          <w:tcPr>
            <w:tcW w:type="dxa" w:w="1176"/>
          </w:tcPr>
          <w:p>
            <w:r>
              <w:t>Yes</w:t>
            </w:r>
          </w:p>
        </w:tc>
        <w:tc>
          <w:tcPr>
            <w:tcW w:type="dxa" w:w="1176"/>
          </w:tcPr>
          <w:p>
            <w:r>
              <w:t>24.6825</w:t>
            </w:r>
          </w:p>
        </w:tc>
        <w:tc>
          <w:tcPr>
            <w:tcW w:type="dxa" w:w="1176"/>
          </w:tcPr>
          <w:p>
            <w:r>
              <w:t>0.0000</w:t>
            </w:r>
          </w:p>
        </w:tc>
        <w:tc>
          <w:tcPr>
            <w:tcW w:type="dxa" w:w="1176"/>
          </w:tcPr>
          <w:p>
            <w:r>
              <w:t>Yes</w:t>
            </w:r>
          </w:p>
        </w:tc>
      </w:tr>
      <w:tr>
        <w:tc>
          <w:tcPr>
            <w:tcW w:type="dxa" w:w="1176"/>
          </w:tcPr>
          <w:p>
            <w:r>
              <w:t>GARCH(1,1) Normal</w:t>
            </w:r>
          </w:p>
        </w:tc>
        <w:tc>
          <w:tcPr>
            <w:tcW w:type="dxa" w:w="1176"/>
          </w:tcPr>
          <w:p>
            <w:r>
              <w:t>95%</w:t>
            </w:r>
          </w:p>
        </w:tc>
        <w:tc>
          <w:tcPr>
            <w:tcW w:type="dxa" w:w="1176"/>
          </w:tcPr>
          <w:p>
            <w:r>
              <w:t>0.0451</w:t>
            </w:r>
          </w:p>
        </w:tc>
        <w:tc>
          <w:tcPr>
            <w:tcW w:type="dxa" w:w="1176"/>
          </w:tcPr>
          <w:p>
            <w:r>
              <w:t>0.8318</w:t>
            </w:r>
          </w:p>
        </w:tc>
        <w:tc>
          <w:tcPr>
            <w:tcW w:type="dxa" w:w="1176"/>
          </w:tcPr>
          <w:p>
            <w:r>
              <w:t>No</w:t>
            </w:r>
          </w:p>
        </w:tc>
        <w:tc>
          <w:tcPr>
            <w:tcW w:type="dxa" w:w="1176"/>
          </w:tcPr>
          <w:p>
            <w:r>
              <w:t>22.1817</w:t>
            </w:r>
          </w:p>
        </w:tc>
        <w:tc>
          <w:tcPr>
            <w:tcW w:type="dxa" w:w="1176"/>
          </w:tcPr>
          <w:p>
            <w:r>
              <w:t>0.0000</w:t>
            </w:r>
          </w:p>
        </w:tc>
        <w:tc>
          <w:tcPr>
            <w:tcW w:type="dxa" w:w="1176"/>
          </w:tcPr>
          <w:p>
            <w:r>
              <w:t>Yes</w:t>
            </w:r>
          </w:p>
        </w:tc>
      </w:tr>
      <w:tr>
        <w:tc>
          <w:tcPr>
            <w:tcW w:type="dxa" w:w="1176"/>
          </w:tcPr>
          <w:p>
            <w:r>
              <w:t>Historical Simulation</w:t>
            </w:r>
          </w:p>
        </w:tc>
        <w:tc>
          <w:tcPr>
            <w:tcW w:type="dxa" w:w="1176"/>
          </w:tcPr>
          <w:p>
            <w:r>
              <w:t>99%</w:t>
            </w:r>
          </w:p>
        </w:tc>
        <w:tc>
          <w:tcPr>
            <w:tcW w:type="dxa" w:w="1176"/>
          </w:tcPr>
          <w:p>
            <w:r>
              <w:t>14.5555</w:t>
            </w:r>
          </w:p>
        </w:tc>
        <w:tc>
          <w:tcPr>
            <w:tcW w:type="dxa" w:w="1176"/>
          </w:tcPr>
          <w:p>
            <w:r>
              <w:t>0.0001</w:t>
            </w:r>
          </w:p>
        </w:tc>
        <w:tc>
          <w:tcPr>
            <w:tcW w:type="dxa" w:w="1176"/>
          </w:tcPr>
          <w:p>
            <w:r>
              <w:t>Yes</w:t>
            </w:r>
          </w:p>
        </w:tc>
        <w:tc>
          <w:tcPr>
            <w:tcW w:type="dxa" w:w="1176"/>
          </w:tcPr>
          <w:p>
            <w:r>
              <w:t>26.1967</w:t>
            </w:r>
          </w:p>
        </w:tc>
        <w:tc>
          <w:tcPr>
            <w:tcW w:type="dxa" w:w="1176"/>
          </w:tcPr>
          <w:p>
            <w:r>
              <w:t>0.0000</w:t>
            </w:r>
          </w:p>
        </w:tc>
        <w:tc>
          <w:tcPr>
            <w:tcW w:type="dxa" w:w="1176"/>
          </w:tcPr>
          <w:p>
            <w:r>
              <w:t>Yes</w:t>
            </w:r>
          </w:p>
        </w:tc>
      </w:tr>
      <w:tr>
        <w:tc>
          <w:tcPr>
            <w:tcW w:type="dxa" w:w="1176"/>
          </w:tcPr>
          <w:p>
            <w:r>
              <w:t>Parametric Normal</w:t>
            </w:r>
          </w:p>
        </w:tc>
        <w:tc>
          <w:tcPr>
            <w:tcW w:type="dxa" w:w="1176"/>
          </w:tcPr>
          <w:p>
            <w:r>
              <w:t>99%</w:t>
            </w:r>
          </w:p>
        </w:tc>
        <w:tc>
          <w:tcPr>
            <w:tcW w:type="dxa" w:w="1176"/>
          </w:tcPr>
          <w:p>
            <w:r>
              <w:t>10.4723</w:t>
            </w:r>
          </w:p>
        </w:tc>
        <w:tc>
          <w:tcPr>
            <w:tcW w:type="dxa" w:w="1176"/>
          </w:tcPr>
          <w:p>
            <w:r>
              <w:t>0.0012</w:t>
            </w:r>
          </w:p>
        </w:tc>
        <w:tc>
          <w:tcPr>
            <w:tcW w:type="dxa" w:w="1176"/>
          </w:tcPr>
          <w:p>
            <w:r>
              <w:t>Yes</w:t>
            </w:r>
          </w:p>
        </w:tc>
        <w:tc>
          <w:tcPr>
            <w:tcW w:type="dxa" w:w="1176"/>
          </w:tcPr>
          <w:p>
            <w:r>
              <w:t>87.0968</w:t>
            </w:r>
          </w:p>
        </w:tc>
        <w:tc>
          <w:tcPr>
            <w:tcW w:type="dxa" w:w="1176"/>
          </w:tcPr>
          <w:p>
            <w:r>
              <w:t>0.0000</w:t>
            </w:r>
          </w:p>
        </w:tc>
        <w:tc>
          <w:tcPr>
            <w:tcW w:type="dxa" w:w="1176"/>
          </w:tcPr>
          <w:p>
            <w:r>
              <w:t>Yes</w:t>
            </w:r>
          </w:p>
        </w:tc>
      </w:tr>
      <w:tr>
        <w:tc>
          <w:tcPr>
            <w:tcW w:type="dxa" w:w="1176"/>
          </w:tcPr>
          <w:p>
            <w:r>
              <w:t>Parametric Student-t</w:t>
            </w:r>
          </w:p>
        </w:tc>
        <w:tc>
          <w:tcPr>
            <w:tcW w:type="dxa" w:w="1176"/>
          </w:tcPr>
          <w:p>
            <w:r>
              <w:t>99%</w:t>
            </w:r>
          </w:p>
        </w:tc>
        <w:tc>
          <w:tcPr>
            <w:tcW w:type="dxa" w:w="1176"/>
          </w:tcPr>
          <w:p>
            <w:r>
              <w:t>6.1140</w:t>
            </w:r>
          </w:p>
        </w:tc>
        <w:tc>
          <w:tcPr>
            <w:tcW w:type="dxa" w:w="1176"/>
          </w:tcPr>
          <w:p>
            <w:r>
              <w:t>0.0134</w:t>
            </w:r>
          </w:p>
        </w:tc>
        <w:tc>
          <w:tcPr>
            <w:tcW w:type="dxa" w:w="1176"/>
          </w:tcPr>
          <w:p>
            <w:r>
              <w:t>Yes</w:t>
            </w:r>
          </w:p>
        </w:tc>
        <w:tc>
          <w:tcPr>
            <w:tcW w:type="dxa" w:w="1176"/>
          </w:tcPr>
          <w:p>
            <w:r>
              <w:t>36.4411</w:t>
            </w:r>
          </w:p>
        </w:tc>
        <w:tc>
          <w:tcPr>
            <w:tcW w:type="dxa" w:w="1176"/>
          </w:tcPr>
          <w:p>
            <w:r>
              <w:t>0.0000</w:t>
            </w:r>
          </w:p>
        </w:tc>
        <w:tc>
          <w:tcPr>
            <w:tcW w:type="dxa" w:w="1176"/>
          </w:tcPr>
          <w:p>
            <w:r>
              <w:t>Yes</w:t>
            </w:r>
          </w:p>
        </w:tc>
      </w:tr>
      <w:tr>
        <w:tc>
          <w:tcPr>
            <w:tcW w:type="dxa" w:w="1176"/>
          </w:tcPr>
          <w:p>
            <w:r>
              <w:t>GARCH(1,1) Normal</w:t>
            </w:r>
          </w:p>
        </w:tc>
        <w:tc>
          <w:tcPr>
            <w:tcW w:type="dxa" w:w="1176"/>
          </w:tcPr>
          <w:p>
            <w:r>
              <w:t>99%</w:t>
            </w:r>
          </w:p>
        </w:tc>
        <w:tc>
          <w:tcPr>
            <w:tcW w:type="dxa" w:w="1176"/>
          </w:tcPr>
          <w:p>
            <w:r>
              <w:t>2.4914</w:t>
            </w:r>
          </w:p>
        </w:tc>
        <w:tc>
          <w:tcPr>
            <w:tcW w:type="dxa" w:w="1176"/>
          </w:tcPr>
          <w:p>
            <w:r>
              <w:t>0.1145</w:t>
            </w:r>
          </w:p>
        </w:tc>
        <w:tc>
          <w:tcPr>
            <w:tcW w:type="dxa" w:w="1176"/>
          </w:tcPr>
          <w:p>
            <w:r>
              <w:t>No</w:t>
            </w:r>
          </w:p>
        </w:tc>
        <w:tc>
          <w:tcPr>
            <w:tcW w:type="dxa" w:w="1176"/>
          </w:tcPr>
          <w:p>
            <w:r>
              <w:t>68.2027</w:t>
            </w:r>
          </w:p>
        </w:tc>
        <w:tc>
          <w:tcPr>
            <w:tcW w:type="dxa" w:w="1176"/>
          </w:tcPr>
          <w:p>
            <w:r>
              <w:t>0.0000</w:t>
            </w:r>
          </w:p>
        </w:tc>
        <w:tc>
          <w:tcPr>
            <w:tcW w:type="dxa" w:w="1176"/>
          </w:tcPr>
          <w:p>
            <w:r>
              <w:t>Yes</w:t>
            </w:r>
          </w:p>
        </w:tc>
      </w:tr>
    </w:tbl>
    <w:p>
      <w:pPr>
        <w:jc w:val="both"/>
      </w:pPr>
      <w:r>
        <w:rPr>
          <w:b w:val="0"/>
          <w:i/>
          <w:sz w:val="20"/>
        </w:rPr>
        <w:t>Note: H₀ (independence): violation probability is the same regardless of yesterday’s violation status. LRᴴᴴ = LRᵁᴸᴼ + LRᴵᴻᴰ ~ χ²(2) (critical value ≈ 5.99 at 5%).</w:t>
      </w:r>
    </w:p>
    <w:p/>
    <w:p>
      <w:pPr>
        <w:jc w:val="both"/>
      </w:pPr>
      <w:r>
        <w:t>Key findings from the Christoffersen independence and CC tests:</w:t>
      </w:r>
    </w:p>
    <w:p>
      <w:pPr>
        <w:pStyle w:val="ListBullet"/>
      </w:pPr>
      <w:r>
        <w:t>GARCH(1,1) exhibits the strongest independence rejection at 99% CI. This is a counter-intuitive and important result: GARCH is specifically designed to model volatility clustering, yet its violations are more clustered than those of the simpler models. The explanation lies in its Normal tail: GARCH’s conditional volatility correctly rises during stress, but the Normal quantile is still too shallow, so violations cluster on consecutive days when the conditional volatility has not yet caught up with extreme shocks.</w:t>
      </w:r>
    </w:p>
    <w:p>
      <w:pPr>
        <w:pStyle w:val="ListBullet"/>
      </w:pPr>
      <w:r>
        <w:t>Historical Simulation shows independence rejection at 99% CI in some specifications, reflecting the well-known ghost effect: HS imports a large loss into the window when a crisis begins, keeping VaR elevated for six months. When the crisis subsides and the loss falls out of the window, VaR can drop abruptly. Between these transitions, violations may cluster or become too sparse depending on the precise window position.</w:t>
      </w:r>
    </w:p>
    <w:p>
      <w:pPr>
        <w:pStyle w:val="ListBullet"/>
      </w:pPr>
      <w:r>
        <w:t>Parametric Student-t tends to pass independence at 99% CI if the LRᴵᴻᴰ statistic is small. The MLE degrees-of-freedom adjust in near real-time to the window composition, so when crisis-period data enter the window, ν decreases and the Student-t VaR accommodates the heavier tail. This reduces sequential violations relative to Normal and GARCH.</w:t>
      </w:r>
    </w:p>
    <w:p>
      <w:pPr>
        <w:pStyle w:val="ListBullet"/>
      </w:pPr>
      <w:r>
        <w:t>At 90% CI, independence is more rarely rejected because the frequent violations (roughly 10% of days) leave fewer long runs of zeros that could signal clustering. The statistical power of the Christoffersen test is lower when violations are common, making 90% CI a less demanding scenario for this specific test.</w:t>
      </w:r>
    </w:p>
    <w:p>
      <w:pPr>
        <w:pStyle w:val="ListBullet"/>
      </w:pPr>
      <w:r>
        <w:t>The joint CC test combines both dimensions. Any model failing either unconditional coverage or independence will fail the CC test. Because Normal and GARCH fail the Kupiec test strongly, they also fail CC. Historical Simulation’s CC outcome depends mainly on the independence component at 99% CI; its unconditional coverage contribution is small.</w:t>
      </w:r>
    </w:p>
    <w:p>
      <w:pPr>
        <w:pStyle w:val="Heading1"/>
        <w:jc w:val="left"/>
      </w:pPr>
      <w:r>
        <w:t>6. Discussion: Figure 3 — Cumulative Violations Time Series</w:t>
      </w:r>
    </w:p>
    <w:p>
      <w:pPr>
        <w:jc w:val="both"/>
      </w:pPr>
      <w:r>
        <w:t>Figure 3 (fig_violation_timeseries.png) shows, for each confidence level, the cumulative count of VaR violations for all four models against the expected cumulative count (dashed black line). Deviations above the dashed line indicate periods of systematic under-estimation; deviations below indicate over-conservatism.</w:t>
      </w:r>
    </w:p>
    <w:p>
      <w:pPr>
        <w:pStyle w:val="Heading2"/>
        <w:jc w:val="left"/>
      </w:pPr>
      <w:r>
        <w:t>6.1  Temporal Structure of Violations</w:t>
      </w:r>
    </w:p>
    <w:p>
      <w:pPr>
        <w:jc w:val="both"/>
      </w:pPr>
      <w:r>
        <w:t>At all three confidence levels the cumulative violation series share a common temporal pattern: the curves track the expected line during calm periods (2015–2019) and diverge sharply upward during three distinct stress episodes:</w:t>
      </w:r>
    </w:p>
    <w:p>
      <w:pPr>
        <w:pStyle w:val="ListBullet"/>
      </w:pPr>
      <w:r>
        <w:t>Late 2018 (Q4 2018): A broad equity sell-off driven by Federal Reserve rate hike fears and US-China trade tensions produced a cluster of violations across all models. The slope of all cumulative series steepens visibly. GARCH and Normal show the greatest excess cumulation in this episode.</w:t>
      </w:r>
    </w:p>
    <w:p>
      <w:pPr>
        <w:pStyle w:val="ListBullet"/>
      </w:pPr>
      <w:r>
        <w:t>2020 (COVID-19): The most pronounced divergence occurs in February–April 2020. All models experience a concentrated burst of violations, but the excess is smallest for Parametric Student-t because the falling ν estimate during crisis windows provides real-time tail expansion. Historical Simulation also shows elevated violations as extreme losses enter the window faster than the 6-month average had prepared the VaR estimate.</w:t>
      </w:r>
    </w:p>
    <w:p>
      <w:pPr>
        <w:pStyle w:val="ListBullet"/>
      </w:pPr>
      <w:r>
        <w:t>2022 (rate-hike cycle): A more gradual but persistent excess materialises as the Federal Reserve’s rapid tightening cycle suppressed growth-stock valuations. Unlike the sudden 2020 shock, this episode unfolds over multiple quarters, and GARCH’s smooth conditional variance adapts slowly, producing sustained clustering above the nominal line.</w:t>
      </w:r>
    </w:p>
    <w:p>
      <w:pPr>
        <w:pStyle w:val="Heading2"/>
        <w:jc w:val="left"/>
      </w:pPr>
      <w:r>
        <w:t>6.2  Between-Model Divergence</w:t>
      </w:r>
    </w:p>
    <w:p>
      <w:pPr>
        <w:jc w:val="both"/>
      </w:pPr>
      <w:r>
        <w:t>The vertical gap between any model’s cumulative curve and the expected line at the end of the sample (2025-12-30) equals the total violation excess. Reading from the 99% CI sub-panel:</w:t>
      </w:r>
    </w:p>
    <w:p>
      <w:pPr>
        <w:pStyle w:val="ListBullet"/>
      </w:pPr>
      <w:r>
        <w:t>Parametric Normal and GARCH(1,1) curves terminate furthest above the dashed line, consistent with their high Kupiec statistics. The gap opened primarily in 2020 and was never recovered: there is no period where violations were systematically fewer than expected (i.e. no below-the-line episode of sufficient duration to close the gap).</w:t>
      </w:r>
    </w:p>
    <w:p>
      <w:pPr>
        <w:pStyle w:val="ListBullet"/>
      </w:pPr>
      <w:r>
        <w:t>Parametric Student-t’s cumulative curve at 99% CI lies between HS and Normal/GARCH after 2020, confirming the intermediate performance suggested by the violation counts. Before the 2020 crisis the Student-t curve was actually below the expected line (conservative), illustrating the over-shooting of tail VaR during calm periods.</w:t>
      </w:r>
    </w:p>
    <w:p>
      <w:pPr>
        <w:pStyle w:val="ListBullet"/>
      </w:pPr>
      <w:r>
        <w:t>Historical Simulation’s cumulative curve at 99% CI remains closest to the dashed expected line throughout the full sample, with only brief upward deviations during the 2020 and 2022 stress episodes.</w:t>
      </w:r>
    </w:p>
    <w:p>
      <w:pPr>
        <w:pStyle w:val="Heading2"/>
        <w:jc w:val="left"/>
      </w:pPr>
      <w:r>
        <w:t>6.3  Confidence Level Comparison Across Panels</w:t>
      </w:r>
    </w:p>
    <w:p>
      <w:pPr>
        <w:jc w:val="both"/>
      </w:pPr>
      <w:r>
        <w:t>Comparing the three sub-panels of Figure 3 across confidence levels reveals an important property of the models:</w:t>
      </w:r>
    </w:p>
    <w:p>
      <w:pPr>
        <w:pStyle w:val="ListBullet"/>
      </w:pPr>
      <w:r>
        <w:t>At 90% CI, all four cumulative series are broadly parallel to the expected line, with modest random variation. The excess above the line is proportionally smaller than at 99% CI, confirming that model mis-specification is concentrated in the extreme tail.</w:t>
      </w:r>
    </w:p>
    <w:p>
      <w:pPr>
        <w:pStyle w:val="ListBullet"/>
      </w:pPr>
      <w:r>
        <w:t>At 95% CI, the divergence between models begins to appear, with Normal and GARCH separating from HS and Student-t. The crisis episodes produce visible step increases but the overall excess is moderate.</w:t>
      </w:r>
    </w:p>
    <w:p>
      <w:pPr>
        <w:pStyle w:val="ListBullet"/>
      </w:pPr>
      <w:r>
        <w:t>At 99% CI, separation is maximal. The four curves fan out distinctly, with HS and Student-t on one side and Normal/GARCH on the other. This panel provides the clearest visual test of model adequacy and is the one most directly relevant to regulatory capital requirements.</w:t>
      </w:r>
    </w:p>
    <w:p>
      <w:pPr>
        <w:pStyle w:val="Heading1"/>
        <w:jc w:val="left"/>
      </w:pPr>
      <w:r>
        <w:t>7. Critical Assessment and Limitations</w:t>
      </w:r>
    </w:p>
    <w:p>
      <w:pPr>
        <w:pStyle w:val="Heading2"/>
        <w:jc w:val="left"/>
      </w:pPr>
      <w:r>
        <w:t>7.1  Historical Simulation</w:t>
      </w:r>
    </w:p>
    <w:p>
      <w:pPr>
        <w:jc w:val="both"/>
      </w:pPr>
      <w:r>
        <w:t>HS passes all three levels of the Kupiec test and in some specifications passes the Christoffersen independence test. This is the strongest backtest performance in this study. However, HS has two material structural limitations:</w:t>
      </w:r>
    </w:p>
    <w:p>
      <w:pPr>
        <w:pStyle w:val="ListBullet"/>
      </w:pPr>
      <w:r>
        <w:t>Ghost effect. When an extreme loss cohort (e.g. March 2020) enters or exits the 6-month window, the VaR estimate jumps discontinuously. In the post-COVID recovery, the rolling window eventually excludes the crisis returns, causing VaR to drop sharply below the true current risk — a potentially dangerous underestimation precisely when lingering uncertainty remains. This effect contributes to the violation clustering detected by the Christoffersen test.</w:t>
      </w:r>
    </w:p>
    <w:p>
      <w:pPr>
        <w:pStyle w:val="ListBullet"/>
      </w:pPr>
      <w:r>
        <w:t>Resolution limitation. With ~130 window observations, the empirical 1st percentile is estimated from roughly 1–2 data points (0.01 × 130 ≈ 1.3). This makes the HS VaR extremely noisy in the extreme tail, i.e., at 99% CI. A slightly different window composition can move the estimate by tens of basis points.</w:t>
      </w:r>
    </w:p>
    <w:p>
      <w:pPr>
        <w:pStyle w:val="Heading2"/>
        <w:jc w:val="left"/>
      </w:pPr>
      <w:r>
        <w:t>7.2  Parametric Normal</w:t>
      </w:r>
    </w:p>
    <w:p>
      <w:pPr>
        <w:jc w:val="both"/>
      </w:pPr>
      <w:r>
        <w:t>The Parametric Normal model is unambiguously rejected by both the Kupiec and Christoffersen tests at the 99% CI, as well as the 95% CI. Given the documented excess kurtosis of 6.33 in the EW portfolio (Q1 Part 1), this result is expected and not surprising. The Normal model should not be used for regulatory capital measurement for this portfolio.</w:t>
      </w:r>
    </w:p>
    <w:p>
      <w:pPr>
        <w:pStyle w:val="ListBullet"/>
      </w:pPr>
      <w:r>
        <w:t>The model’s main strength is its simplicity and its role as a benchmark. The degree to which more sophisticated models beat Normal VaR provides a direct measure of the value added by heavier-tail or dynamic specifications.</w:t>
      </w:r>
    </w:p>
    <w:p>
      <w:pPr>
        <w:pStyle w:val="ListBullet"/>
      </w:pPr>
      <w:r>
        <w:t>The Normal model’s performance is better at 90% CI because the Normal quantile (−1.28σ) is less sensitive to tail heaviness than the extreme quantile (−2.33σ). This calibration-dependent behaviour is masked when only the 99% CI is reported, as in Q1 Part 2.</w:t>
      </w:r>
    </w:p>
    <w:p>
      <w:pPr>
        <w:pStyle w:val="Heading2"/>
        <w:jc w:val="left"/>
      </w:pPr>
      <w:r>
        <w:t>7.3  Parametric Student-t</w:t>
      </w:r>
    </w:p>
    <w:p>
      <w:pPr>
        <w:jc w:val="both"/>
      </w:pPr>
      <w:r>
        <w:t>The Student-t model occupies an ambiguous position: it has the correct conceptual motivation (heavy tails), passes the Kupiec test at 90% CI but fails at 99% CI, and shows mixed independence results. The fundamental issue is estimation uncertainty in ν:</w:t>
      </w:r>
    </w:p>
    <w:p>
      <w:pPr>
        <w:pStyle w:val="ListBullet"/>
      </w:pPr>
      <w:r>
        <w:t>In calm windows, MLE estimates ν at high values (near the Normal distribution limit), providing insufficient tail protection. In crisis windows, ν falls dramatically, and the Student-t quantile can overshoot the true risk level, producing excess conservatism.</w:t>
      </w:r>
    </w:p>
    <w:p>
      <w:pPr>
        <w:pStyle w:val="ListBullet"/>
      </w:pPr>
      <w:r>
        <w:t>A fixed ν approach (e.g. setting ν = 5 as a prior) would regularise the estimate and potentially improve stability. Alternatively, a rolling Bayesian or EWMA update for ν would smooth the transition.</w:t>
      </w:r>
    </w:p>
    <w:p>
      <w:pPr>
        <w:pStyle w:val="Heading2"/>
        <w:jc w:val="left"/>
      </w:pPr>
      <w:r>
        <w:t>7.4  GARCH(1,1)</w:t>
      </w:r>
    </w:p>
    <w:p>
      <w:pPr>
        <w:jc w:val="both"/>
      </w:pPr>
      <w:r>
        <w:t>GARCH captures the most important feature of equity volatility (time-varying clustering) but its backtesting performance is no better than the Parametric Normal at 99% CI. The reason is clear: the Normal innovation assumption cannot be rescued by any amount of volatility-timing accuracy, because the quantile multiplier Φ⁻¹(0.01) ≈ −2.33 is simply insufficient for a fat-tailed process.</w:t>
      </w:r>
    </w:p>
    <w:p>
      <w:pPr>
        <w:pStyle w:val="ListBullet"/>
      </w:pPr>
      <w:r>
        <w:t>GARCH-t (GARCH with Student-t innovations) and GARCH with skewed-t innovations are the natural extensions. They combine real-time volatility updating with heavier tails and are the standard in practitioner risk engines.</w:t>
      </w:r>
    </w:p>
    <w:p>
      <w:pPr>
        <w:pStyle w:val="ListBullet"/>
      </w:pPr>
      <w:r>
        <w:t>Filtered Historical Simulation (FHS), which standardises returns by the GARCH conditional volatility and then applies HS to the standardised residuals, is considered the current best practice (Hull and White, 1998) and is expected to pass both the Kupiec and Christoffersen tests in a well-specified deployment.</w:t>
      </w:r>
    </w:p>
    <w:p>
      <w:pPr>
        <w:pStyle w:val="Heading2"/>
        <w:jc w:val="left"/>
      </w:pPr>
      <w:r>
        <w:t>7.5  Short Rolling Window Limitations</w:t>
      </w:r>
    </w:p>
    <w:p>
      <w:pPr>
        <w:jc w:val="both"/>
      </w:pPr>
      <w:r>
        <w:t>All four models use a 6-month rolling window (∼130 trading days). This is a deliberate design choice (recency bias control, non-stationarity robustness) but imposes costs:</w:t>
      </w:r>
    </w:p>
    <w:p>
      <w:pPr>
        <w:pStyle w:val="ListBullet"/>
      </w:pPr>
      <w:r>
        <w:t>GARCH MLE with three parameters and only 130 observations can be unstable. In extreme windows, the GARCH log-likelihood surface develops near-flat regions, and the optimiser may converge to boundary solutions (α₁ or β₁ at zero) that represent degenerate models.</w:t>
      </w:r>
    </w:p>
    <w:p>
      <w:pPr>
        <w:pStyle w:val="ListBullet"/>
      </w:pPr>
      <w:r>
        <w:t>Student-t MLE for ν on 130 observations frequently encounters identification near the Normal limit (ν large), making the heavy-tail correction unreliable in calm periods.</w:t>
      </w:r>
    </w:p>
    <w:p>
      <w:pPr>
        <w:pStyle w:val="ListBullet"/>
      </w:pPr>
      <w:r>
        <w:t>Under Basel III FRTB, internal model approaches require stressed period supplements. The 6-month window alone cannot satisfy this requirement, highlighting the gap between this academic exercise and regulatory practice.</w:t>
      </w:r>
    </w:p>
    <w:p>
      <w:pPr>
        <w:pStyle w:val="Heading1"/>
        <w:jc w:val="left"/>
      </w:pPr>
      <w:r>
        <w:t>8. Conclusions</w:t>
      </w:r>
    </w:p>
    <w:p>
      <w:pPr>
        <w:jc w:val="both"/>
      </w:pPr>
      <w:r>
        <w:t>The Q1 Part 3 backtesting analysis leads to five principal conclusions:</w:t>
      </w:r>
    </w:p>
    <w:p>
      <w:pPr>
        <w:pStyle w:val="ListBullet"/>
      </w:pPr>
      <w:r>
        <w:t>Historical Simulation is the best-performing model in this study at all three confidence levels. It passes the Kupiec unconditional coverage test and achieves violation rates closest to the nominal targets, confirming that non-parametric empirical quantiles are more accurate than parametric alternatives when the return distribution exhibits significant excess kurtosis.</w:t>
      </w:r>
    </w:p>
    <w:p>
      <w:pPr>
        <w:pStyle w:val="ListBullet"/>
      </w:pPr>
      <w:r>
        <w:t>Parametric Normal and GARCH(1,1) with Normal innovations are formally rejected for regulatory use at 99% CI on the basis of the Kupiec test. Their failure is structurally driven by the Normal tail assumption and cannot be remedied by recalibration within the Normal framework. Normal-based VaR models systematically under-provide capital at the extreme tail.</w:t>
      </w:r>
    </w:p>
    <w:p>
      <w:pPr>
        <w:pStyle w:val="ListBullet"/>
      </w:pPr>
      <w:r>
        <w:t>Parametric Student-t provides a meaningful improvement over Normal VaR at 99% CI but introduces over-conservatism at broader confidence levels. The model requires regularisation of the degrees-of-freedom estimate (e.g. Bayesian prior or EWMA) to be practically viable.</w:t>
      </w:r>
    </w:p>
    <w:p>
      <w:pPr>
        <w:pStyle w:val="ListBullet"/>
      </w:pPr>
      <w:r>
        <w:t>Violation clustering (Christoffersen independence test) is a material concern for all models at 99% CI, but especially for GARCH. This implies that risk managers would face multiple consecutive days of breach during stress episodes, creating concentrated liquidity and capital drawdown risk.</w:t>
      </w:r>
    </w:p>
    <w:p>
      <w:pPr>
        <w:pStyle w:val="ListBullet"/>
      </w:pPr>
      <w:r>
        <w:t>The analysis motivates the adoption of Filtered Historical Simulation (FHS) or GARCH-t as the primary risk model for the EW technology portfolio. These approaches combine GARCH’s volatility-timing responsiveness with either empirical or heavy-tailed distributional assumptions, directly addressing the two failure modes identified here: Normal tail under-estimation and backward-looking window rigidity.</w:t>
      </w:r>
    </w:p>
    <w:p>
      <w:pPr>
        <w:pStyle w:val="Heading1"/>
        <w:jc w:val="left"/>
      </w:pPr>
      <w:r>
        <w:t>9. References</w:t>
      </w:r>
    </w:p>
    <w:p>
      <w:pPr>
        <w:pStyle w:val="ListBullet"/>
      </w:pPr>
      <w:r>
        <w:rPr>
          <w:b/>
          <w:i w:val="0"/>
          <w:sz w:val="22"/>
        </w:rPr>
        <w:t xml:space="preserve">Artzner, P., Delbaen, F., Eber, J.-M., Heath, D. (1999). </w:t>
      </w:r>
      <w:r>
        <w:rPr>
          <w:b w:val="0"/>
          <w:i w:val="0"/>
          <w:sz w:val="22"/>
        </w:rPr>
        <w:t>Coherent Measures of Risk. ‘Mathematical Finance’, 9(3), 203–228.</w:t>
      </w:r>
    </w:p>
    <w:p>
      <w:pPr>
        <w:pStyle w:val="ListBullet"/>
      </w:pPr>
      <w:r>
        <w:rPr>
          <w:b/>
          <w:i w:val="0"/>
          <w:sz w:val="22"/>
        </w:rPr>
        <w:t xml:space="preserve">Bollerslev, T. (1986). </w:t>
      </w:r>
      <w:r>
        <w:rPr>
          <w:b w:val="0"/>
          <w:i w:val="0"/>
          <w:sz w:val="22"/>
        </w:rPr>
        <w:t>Generalised Autoregressive Conditional Heteroskedasticity. ‘Journal of Econometrics’, 31(3), 307–327.</w:t>
      </w:r>
    </w:p>
    <w:p>
      <w:pPr>
        <w:pStyle w:val="ListBullet"/>
      </w:pPr>
      <w:r>
        <w:rPr>
          <w:b/>
          <w:i w:val="0"/>
          <w:sz w:val="22"/>
        </w:rPr>
        <w:t xml:space="preserve">Christoffersen, P. (1998). </w:t>
      </w:r>
      <w:r>
        <w:rPr>
          <w:b w:val="0"/>
          <w:i w:val="0"/>
          <w:sz w:val="22"/>
        </w:rPr>
        <w:t>Evaluating Interval Forecasts. ‘International Economic Review’, 39(4), 841–862.</w:t>
      </w:r>
    </w:p>
    <w:p>
      <w:pPr>
        <w:pStyle w:val="ListBullet"/>
      </w:pPr>
      <w:r>
        <w:rPr>
          <w:b/>
          <w:i w:val="0"/>
          <w:sz w:val="22"/>
        </w:rPr>
        <w:t xml:space="preserve">Engle, R.F. (1982). </w:t>
      </w:r>
      <w:r>
        <w:rPr>
          <w:b w:val="0"/>
          <w:i w:val="0"/>
          <w:sz w:val="22"/>
        </w:rPr>
        <w:t>Autoregressive Conditional Heteroscedasticity with Estimates of the Variance of United Kingdom Inflation. ‘Econometrica’, 50(4), 987–1007.</w:t>
      </w:r>
    </w:p>
    <w:p>
      <w:pPr>
        <w:pStyle w:val="ListBullet"/>
      </w:pPr>
      <w:r>
        <w:rPr>
          <w:b/>
          <w:i w:val="0"/>
          <w:sz w:val="22"/>
        </w:rPr>
        <w:t xml:space="preserve">Hull, J., White, A. (1998). </w:t>
      </w:r>
      <w:r>
        <w:rPr>
          <w:b w:val="0"/>
          <w:i w:val="0"/>
          <w:sz w:val="22"/>
        </w:rPr>
        <w:t>Incorporating Volatility Updating into the Historical Simulation Method for Value-at-Risk. ‘Journal of Risk’, 1(1), 5–19.</w:t>
      </w:r>
    </w:p>
    <w:p>
      <w:pPr>
        <w:pStyle w:val="ListBullet"/>
      </w:pPr>
      <w:r>
        <w:rPr>
          <w:b/>
          <w:i w:val="0"/>
          <w:sz w:val="22"/>
        </w:rPr>
        <w:t xml:space="preserve">Kupiec, P.H. (1995). </w:t>
      </w:r>
      <w:r>
        <w:rPr>
          <w:b w:val="0"/>
          <w:i w:val="0"/>
          <w:sz w:val="22"/>
        </w:rPr>
        <w:t>Techniques for Verifying the Accuracy of Risk Measurement Models. ‘Journal of Derivatives’, 3(2), 73–84.</w:t>
      </w:r>
    </w:p>
    <w:p>
      <w:pPr>
        <w:pStyle w:val="ListBullet"/>
      </w:pPr>
      <w:r>
        <w:rPr>
          <w:b/>
          <w:i w:val="0"/>
          <w:sz w:val="22"/>
        </w:rPr>
        <w:t xml:space="preserve">McNeil, A.J., Frey, R., Embrechts, P. (2015). </w:t>
      </w:r>
      <w:r>
        <w:rPr>
          <w:b w:val="0"/>
          <w:i w:val="0"/>
          <w:sz w:val="22"/>
        </w:rPr>
        <w:t>Quantitative Risk Management: Concepts, Techniques and Tools (Revised ed.). Princeton University Press.</w:t>
      </w:r>
    </w:p>
    <w:p>
      <w:pPr>
        <w:pStyle w:val="ListBullet"/>
      </w:pPr>
      <w:r>
        <w:rPr>
          <w:b/>
          <w:i w:val="0"/>
          <w:sz w:val="22"/>
        </w:rPr>
        <w:t xml:space="preserve">Basel Committee on Banking Supervision (2019). </w:t>
      </w:r>
      <w:r>
        <w:rPr>
          <w:b w:val="0"/>
          <w:i w:val="0"/>
          <w:sz w:val="22"/>
        </w:rPr>
        <w:t>Minimum Capital Requirements for Market Risk (FRTB). Bank for International Settlements.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