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A32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References</w:t>
      </w:r>
      <w:r>
        <w:rPr>
          <w:color w:val="000000" w:themeColor="text1"/>
        </w:rPr>
      </w:r>
    </w:p>
    <w:p w14:paraId="600B0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Sirois, F. M. (2004). Procrastination and intentions to perform health behaviors: The role of self‐efficacy and the consideration of future consequences. </w:t>
      </w:r>
      <w:r>
        <w:rPr>
          <w:rFonts w:ascii="Times" w:hAnsi="Times" w:eastAsia="Times" w:cs="Times"/>
          <w:i/>
          <w:color w:val="000000" w:themeColor="text1"/>
          <w:sz w:val="24"/>
        </w:rPr>
        <w:t xml:space="preserve">Personality and Individual Differences, 37</w:t>
      </w:r>
      <w:r>
        <w:rPr>
          <w:rFonts w:ascii="Times" w:hAnsi="Times" w:eastAsia="Times" w:cs="Times"/>
          <w:color w:val="000000" w:themeColor="text1"/>
          <w:sz w:val="24"/>
        </w:rPr>
        <w:t xml:space="preserve">(1), 115–128. </w:t>
      </w:r>
      <w:hyperlink r:id="rId8" w:tooltip="https://doi.org/10.1016/j.paid.2003.08.005" w:history="1">
        <w:r>
          <w:rPr>
            <w:rStyle w:val="187"/>
            <w:rFonts w:ascii="Times" w:hAnsi="Times" w:eastAsia="Times" w:cs="Times"/>
            <w:color w:val="000000" w:themeColor="text1"/>
            <w:sz w:val="24"/>
            <w:u w:val="none"/>
          </w:rPr>
          <w:t xml:space="preserve">https://doi.org/10.1016/j.paid.2003.08.005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323C6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Steel, P. (2007). The nature of procrastination: A meta-analytic and theoretical review of quintessential self-regulatory failure</w:t>
      </w:r>
      <w:r>
        <w:rPr>
          <w:rFonts w:ascii="Times" w:hAnsi="Times" w:eastAsia="Times" w:cs="Times"/>
          <w:color w:val="000000" w:themeColor="text1"/>
          <w:sz w:val="24"/>
        </w:rPr>
        <w:t xml:space="preserve">. </w:t>
      </w:r>
      <w:r>
        <w:rPr>
          <w:rFonts w:ascii="Times" w:hAnsi="Times" w:eastAsia="Times" w:cs="Times"/>
          <w:i/>
          <w:color w:val="000000" w:themeColor="text1"/>
          <w:sz w:val="24"/>
        </w:rPr>
        <w:t xml:space="preserve">Psychological </w:t>
      </w:r>
      <w:r>
        <w:rPr>
          <w:rFonts w:ascii="Times" w:hAnsi="Times" w:eastAsia="Times" w:cs="Times"/>
          <w:i/>
          <w:color w:val="000000" w:themeColor="text1"/>
          <w:sz w:val="24"/>
        </w:rPr>
        <w:t xml:space="preserve">Bulletin, 133</w:t>
      </w:r>
      <w:r>
        <w:rPr>
          <w:rFonts w:ascii="Times" w:hAnsi="Times" w:eastAsia="Times" w:cs="Times"/>
          <w:color w:val="000000" w:themeColor="text1"/>
          <w:sz w:val="24"/>
        </w:rPr>
        <w:t xml:space="preserve">(1), 65–94. </w:t>
      </w:r>
      <w:hyperlink r:id="rId9" w:tooltip="https://doi.org/10.1037/0033-2909.133.1.65" w:history="1">
        <w:r>
          <w:rPr>
            <w:rStyle w:val="187"/>
            <w:rFonts w:ascii="Times" w:hAnsi="Times" w:eastAsia="Times" w:cs="Times"/>
            <w:color w:val="000000" w:themeColor="text1"/>
            <w:sz w:val="24"/>
            <w:u w:val="none"/>
          </w:rPr>
          <w:t xml:space="preserve">https://doi.org/10.1037/0033-2909.133.1.65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79B83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Tuckman, B. W. (1991). The development and concurrent validity of the procrastination scale. </w:t>
      </w:r>
      <w:r>
        <w:rPr>
          <w:rFonts w:ascii="Times" w:hAnsi="Times" w:eastAsia="Times" w:cs="Times"/>
          <w:i/>
          <w:color w:val="000000" w:themeColor="text1"/>
          <w:sz w:val="24"/>
        </w:rPr>
        <w:t xml:space="preserve">Educational and Psychological Measurement, 51</w:t>
      </w:r>
      <w:r>
        <w:rPr>
          <w:rFonts w:ascii="Times" w:hAnsi="Times" w:eastAsia="Times" w:cs="Times"/>
          <w:color w:val="000000" w:themeColor="text1"/>
          <w:sz w:val="24"/>
        </w:rPr>
        <w:t xml:space="preserve">(2), 473–480. </w:t>
      </w:r>
      <w:hyperlink r:id="rId10" w:tooltip="https://doi.org/10.1177/0013164491512022" w:history="1">
        <w:r>
          <w:rPr>
            <w:rStyle w:val="187"/>
            <w:rFonts w:ascii="Times" w:hAnsi="Times" w:eastAsia="Times" w:cs="Times"/>
            <w:color w:val="000000" w:themeColor="text1"/>
            <w:sz w:val="24"/>
            <w:u w:val="none"/>
          </w:rPr>
          <w:t xml:space="preserve">https://doi.org/10.1177/0013164491512022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1133B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ffffff"/>
          <w:sz w:val="24"/>
        </w:rPr>
      </w:r>
      <w:r/>
    </w:p>
    <w:p w14:paraId="79C9F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Research Question:</w:t>
        <w:br/>
      </w:r>
      <w:r>
        <w:rPr>
          <w:rFonts w:ascii="Times" w:hAnsi="Times" w:eastAsia="Times" w:cs="Times"/>
          <w:color w:val="000000"/>
          <w:sz w:val="24"/>
        </w:rPr>
        <w:t xml:space="preserve">To what extent does academic procrastination reflect a failure of self-regulation versus a deliberate emotional coping strategy, and how do individual and contextual factors shape which pattern predominates?</w:t>
      </w:r>
      <w:r/>
    </w:p>
    <w:p w14:paraId="158AB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Thesis:</w:t>
        <w:br/>
      </w:r>
      <w:r>
        <w:rPr>
          <w:rFonts w:ascii="Times" w:hAnsi="Times" w:eastAsia="Times" w:cs="Times"/>
          <w:color w:val="000000"/>
          <w:sz w:val="24"/>
        </w:rPr>
        <w:t xml:space="preserve">Taken together, Steel (2007), Park and Sperling (2012), and Sufeh et al. (2026) demonstrate that academic procrastination is a multidimensional behavior shaped by the interaction of self-regulatory capacity, emotional coping processes, and contextual deman</w:t>
      </w:r>
      <w:r>
        <w:rPr>
          <w:rFonts w:ascii="Times" w:hAnsi="Times" w:eastAsia="Times" w:cs="Times"/>
          <w:color w:val="000000"/>
          <w:sz w:val="24"/>
        </w:rPr>
        <w:t xml:space="preserve">ds. While self-regulatory failure is the most consistent predictor, emotional, cultural, and institutional factors shape when and why procrastination occurs.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68"/>
        <w:gridCol w:w="2918"/>
        <w:gridCol w:w="2508"/>
        <w:gridCol w:w="23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8" w:type="dxa"/>
            <w:vAlign w:val="center"/>
          </w:tcPr>
          <w:p w14:paraId="2CDEBCA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Claim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8" w:type="dxa"/>
            <w:vAlign w:val="center"/>
          </w:tcPr>
          <w:p w14:paraId="21E5187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Steel (2007)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8" w:type="dxa"/>
            <w:vAlign w:val="center"/>
          </w:tcPr>
          <w:p w14:paraId="0A0490E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Park &amp; Sperling (2012)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</w:tcPr>
          <w:p w14:paraId="18CABA6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Sufeh et al. (2026)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8" w:type="dxa"/>
            <w:vAlign w:val="center"/>
          </w:tcPr>
          <w:p w14:paraId="7DC17F8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Self-regulation failure is the primary mechanism of procrastination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8" w:type="dxa"/>
            <w:vAlign w:val="center"/>
          </w:tcPr>
          <w:p w14:paraId="1450529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Procrastination = self-regulatory failure; linked to low conscientiousness (ρ = −.75), impulsiveness, low self-control (pp. 65, 78, 81).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8" w:type="dxa"/>
            <w:vAlign w:val="center"/>
          </w:tcPr>
          <w:p w14:paraId="355C4A9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Deficits in cognition, motivation, behavior regulation; weak time management, effort regulation, metacognition (pp. 15–16, 20).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</w:tcPr>
          <w:p w14:paraId="799F87D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Low self-efficacy, negative self-perception, irrational thinking; PSIAS confirms self-regulation deficits central (pp. 8–9).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8" w:type="dxa"/>
            <w:vAlign w:val="center"/>
          </w:tcPr>
          <w:p w14:paraId="43F0F2D8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Procrastination functions as emotional avoidance of task aversiveness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8" w:type="dxa"/>
            <w:vAlign w:val="center"/>
          </w:tcPr>
          <w:p w14:paraId="6FF78FF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Task aversiveness predicts delay (r̅ = .40); boredom proneness (ρ = .51); delay reduces discomfort (pp. 68, 75).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8" w:type="dxa"/>
            <w:vAlign w:val="center"/>
          </w:tcPr>
          <w:p w14:paraId="1567916E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Overwhelm, fatigue, competing demands; “too many things to do” (pp. 17–18).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</w:tcPr>
          <w:p w14:paraId="2B1E2365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Emotion regulation function; delay more likely on cognitively demanding tasks (p. 9).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8" w:type="dxa"/>
            <w:vAlign w:val="center"/>
          </w:tcPr>
          <w:p w14:paraId="463B42EF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Procrastination serves self-worth protection through self-handicapping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8" w:type="dxa"/>
            <w:vAlign w:val="center"/>
          </w:tcPr>
          <w:p w14:paraId="65B63FE9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Strong link to self-handicapping (ρ = .61); protects self-esteem via delay (pp. 69, 77).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8" w:type="dxa"/>
            <w:vAlign w:val="center"/>
          </w:tcPr>
          <w:p w14:paraId="0B3F317D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High self-handicapping (d = 1.48); failure attributed to delay rather than ability (pp. 16–17, 20).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</w:tcPr>
          <w:p w14:paraId="71900F7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Task avoidance as self-protection; cultural pressure intensifies fear of failure (p. 8).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8" w:type="dxa"/>
            <w:vAlign w:val="center"/>
          </w:tcPr>
          <w:p w14:paraId="056A0B3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Expression of procrastination depends on individual and contextual factors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8" w:type="dxa"/>
            <w:vAlign w:val="center"/>
          </w:tcPr>
          <w:p w14:paraId="607B9F2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Temporal Motivation Theory: delay increases with low task value, distant deadlines, impulsivity; moderated by age/organization (pp. 71–72, 81–83).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8" w:type="dxa"/>
            <w:vAlign w:val="center"/>
          </w:tcPr>
          <w:p w14:paraId="31D6695B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Group differences: high procrastinators show strong behavioral correlations (r = .55) (pp. 16–17).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</w:tcPr>
          <w:p w14:paraId="638D32B6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Sociocultural expectations and institutional constraints shape procrastination patterns (pp. 8–10).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8" w:type="dxa"/>
            <w:vAlign w:val="center"/>
          </w:tcPr>
          <w:p w14:paraId="5F9C56F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Existing models and tools are limited in scope and cultural validity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18" w:type="dxa"/>
            <w:vAlign w:val="center"/>
          </w:tcPr>
          <w:p w14:paraId="0A00934C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Overreliance on self-report; Western samples; trait emphasis overgeneralized (pp. 74, 83).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8" w:type="dxa"/>
            <w:vAlign w:val="center"/>
          </w:tcPr>
          <w:p w14:paraId="50F838C3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Small sample (N = 41); measurement inconsistencies (p. 21).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</w:tcPr>
          <w:p w14:paraId="66A2A4F0"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Western scales fail cross-cultural validity; PSIAS developed for contextual accuracy (pp. 4–5, 9–10).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oi.org/10.1016/j.paid.2003.08.005" TargetMode="External"/><Relationship Id="rId9" Type="http://schemas.openxmlformats.org/officeDocument/2006/relationships/hyperlink" Target="https://doi.org/10.1037/0033-2909.133.1.65" TargetMode="External"/><Relationship Id="rId10" Type="http://schemas.openxmlformats.org/officeDocument/2006/relationships/hyperlink" Target="https://doi.org/10.1177/001316449151202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2026-04-21T06:02:06Z</dcterms:modified>
</cp:coreProperties>
</file>