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02 - Procedimento de entrada</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dt>
      <w:sdtPr>
        <w:id w:val="-415489307"/>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01 - Introdução</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02 - Checklist</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02.1 Cadastro de Partes/Representantes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02.2 Inclusão do Histórico de Partes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02.3 Inclusão de Tarjas Processuais</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02.4 Conferência do Banco Nacional de Mandados de Prisão</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02.5 Expedição de Certidão de Antecedentes Criminais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qbdlvfsax8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02.6 Autos conclusos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heading=h.30j0zll" w:id="1"/>
      <w:bookmarkEnd w:id="1"/>
      <w:r w:rsidDel="00000000" w:rsidR="00000000" w:rsidRPr="00000000">
        <w:rPr>
          <w:rtl w:val="0"/>
        </w:rPr>
        <w:t xml:space="preserve">01 - Introdução</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ab/>
        <w:t xml:space="preserve">Nas Varas Criminais os autos processuais entram por meio da </w:t>
      </w:r>
      <w:r w:rsidDel="00000000" w:rsidR="00000000" w:rsidRPr="00000000">
        <w:rPr>
          <w:b w:val="1"/>
          <w:rtl w:val="0"/>
        </w:rPr>
        <w:t xml:space="preserve">Análise de Juntada</w:t>
      </w:r>
      <w:r w:rsidDel="00000000" w:rsidR="00000000" w:rsidRPr="00000000">
        <w:rPr>
          <w:rtl w:val="0"/>
        </w:rPr>
        <w:t xml:space="preserve"> e das seguintes filas: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numPr>
          <w:ilvl w:val="0"/>
          <w:numId w:val="1"/>
        </w:numPr>
        <w:ind w:left="720" w:hanging="360"/>
        <w:jc w:val="both"/>
        <w:rPr>
          <w:u w:val="none"/>
        </w:rPr>
      </w:pPr>
      <w:r w:rsidDel="00000000" w:rsidR="00000000" w:rsidRPr="00000000">
        <w:rPr>
          <w:rtl w:val="0"/>
        </w:rPr>
        <w:t xml:space="preserve">Processos Redistribuídos (Processos oriundos de outras varas ou VGPIP)</w:t>
      </w:r>
      <w:r w:rsidDel="00000000" w:rsidR="00000000" w:rsidRPr="00000000">
        <w:rPr>
          <w:rtl w:val="0"/>
        </w:rPr>
      </w:r>
    </w:p>
    <w:p w:rsidR="00000000" w:rsidDel="00000000" w:rsidP="00000000" w:rsidRDefault="00000000" w:rsidRPr="00000000" w14:paraId="00000013">
      <w:pPr>
        <w:numPr>
          <w:ilvl w:val="0"/>
          <w:numId w:val="1"/>
        </w:numPr>
        <w:ind w:left="720" w:hanging="360"/>
        <w:jc w:val="both"/>
        <w:rPr>
          <w:u w:val="none"/>
        </w:rPr>
      </w:pPr>
      <w:r w:rsidDel="00000000" w:rsidR="00000000" w:rsidRPr="00000000">
        <w:rPr>
          <w:rtl w:val="0"/>
        </w:rPr>
        <w:t xml:space="preserve">Processos Entrados (Inquéritos peticionados pela delegacia)</w:t>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ab/>
        <w:t xml:space="preserve">Em sua maioria, os processos das Varas Criminais são oriundos da Vara de Garantias Penais e Inquéritos Policiais, quando do oferecimento da denúncia pelo Ministério Público</w:t>
      </w:r>
      <w:r w:rsidDel="00000000" w:rsidR="00000000" w:rsidRPr="00000000">
        <w:rPr>
          <w:vertAlign w:val="superscript"/>
        </w:rPr>
        <w:footnoteReference w:customMarkFollows="0" w:id="0"/>
      </w:r>
      <w:r w:rsidDel="00000000" w:rsidR="00000000" w:rsidRPr="00000000">
        <w:rPr>
          <w:rtl w:val="0"/>
        </w:rPr>
        <w:t xml:space="preserve">, logo, a principal porta de entrada de processos é, no Projudi, por meio da Mesa do Analista Judiciário &gt; Análise de Juntadas &gt; Para Realizar: Juntadas ou por meio das filas processuais: “processos entrados” e “processos redistribuídos”. </w:t>
      </w:r>
    </w:p>
    <w:p w:rsidR="00000000" w:rsidDel="00000000" w:rsidP="00000000" w:rsidRDefault="00000000" w:rsidRPr="00000000" w14:paraId="00000017">
      <w:pPr>
        <w:ind w:firstLine="720"/>
        <w:jc w:val="both"/>
        <w:rPr/>
      </w:pPr>
      <w:r w:rsidDel="00000000" w:rsidR="00000000" w:rsidRPr="00000000">
        <w:rPr>
          <w:rtl w:val="0"/>
        </w:rPr>
        <w:t xml:space="preserve">Processos entrados, geralmente, são os Inquéritos peticionados pela delegacia equivocadamente, pois deveriam ser direcionados à Vara de Inquéritos Policiais.</w:t>
      </w:r>
    </w:p>
    <w:p w:rsidR="00000000" w:rsidDel="00000000" w:rsidP="00000000" w:rsidRDefault="00000000" w:rsidRPr="00000000" w14:paraId="00000018">
      <w:pPr>
        <w:jc w:val="both"/>
        <w:rPr/>
      </w:pPr>
      <w:r w:rsidDel="00000000" w:rsidR="00000000" w:rsidRPr="00000000">
        <w:rPr>
          <w:rtl w:val="0"/>
        </w:rPr>
        <w:tab/>
        <w:t xml:space="preserve">Atenção: após o julgamento das ADIs 6298, 6299, 6300 e 6305 pelo Supremo Tribunal Federal, as Varas do Tribunal do Júri, Varas de Violência Doméstica a Familiar Contra a Mulher, Varas de Crimes Contra a Dignidade Sexual e Violência Doméstica e Familiar Contra as Crianças e Adolescentes, e Juizados Especiais Criminais passaram a ser exceção aos Juízo das Garantias, portanto, os procedimentos pré-processuais não se submetem inicialmente à VGPIP.</w:t>
      </w:r>
    </w:p>
    <w:p w:rsidR="00000000" w:rsidDel="00000000" w:rsidP="00000000" w:rsidRDefault="00000000" w:rsidRPr="00000000" w14:paraId="00000019">
      <w:pPr>
        <w:pStyle w:val="Heading1"/>
        <w:jc w:val="both"/>
        <w:rPr/>
      </w:pPr>
      <w:bookmarkStart w:colFirst="0" w:colLast="0" w:name="_heading=h.1fob9te" w:id="2"/>
      <w:bookmarkEnd w:id="2"/>
      <w:r w:rsidDel="00000000" w:rsidR="00000000" w:rsidRPr="00000000">
        <w:rPr>
          <w:rtl w:val="0"/>
        </w:rPr>
        <w:t xml:space="preserve">02 - Checklist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ab/>
        <w:t xml:space="preserve">Nesta fase pré-processual a Vara deverá realizar as seguintes diligências, antes de encaminhar concluso para o Juiz.</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numPr>
          <w:ilvl w:val="0"/>
          <w:numId w:val="2"/>
        </w:numPr>
        <w:ind w:left="720" w:hanging="360"/>
        <w:jc w:val="both"/>
        <w:rPr>
          <w:u w:val="none"/>
        </w:rPr>
      </w:pPr>
      <w:r w:rsidDel="00000000" w:rsidR="00000000" w:rsidRPr="00000000">
        <w:rPr>
          <w:rtl w:val="0"/>
        </w:rPr>
        <w:t xml:space="preserve">Cadastro de Partes/Representantes</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1E">
      <w:pPr>
        <w:numPr>
          <w:ilvl w:val="0"/>
          <w:numId w:val="2"/>
        </w:numPr>
        <w:ind w:left="720" w:hanging="360"/>
        <w:jc w:val="both"/>
        <w:rPr>
          <w:u w:val="none"/>
        </w:rPr>
      </w:pPr>
      <w:r w:rsidDel="00000000" w:rsidR="00000000" w:rsidRPr="00000000">
        <w:rPr>
          <w:rtl w:val="0"/>
        </w:rPr>
        <w:t xml:space="preserve">Informações Gerais</w:t>
      </w:r>
    </w:p>
    <w:p w:rsidR="00000000" w:rsidDel="00000000" w:rsidP="00000000" w:rsidRDefault="00000000" w:rsidRPr="00000000" w14:paraId="0000001F">
      <w:pPr>
        <w:numPr>
          <w:ilvl w:val="0"/>
          <w:numId w:val="2"/>
        </w:numPr>
        <w:ind w:left="720" w:hanging="360"/>
        <w:jc w:val="both"/>
        <w:rPr>
          <w:u w:val="none"/>
        </w:rPr>
      </w:pPr>
      <w:r w:rsidDel="00000000" w:rsidR="00000000" w:rsidRPr="00000000">
        <w:rPr>
          <w:rtl w:val="0"/>
        </w:rPr>
        <w:t xml:space="preserve">Informações Adicionais</w:t>
      </w:r>
      <w:r w:rsidDel="00000000" w:rsidR="00000000" w:rsidRPr="00000000">
        <w:rPr>
          <w:rtl w:val="0"/>
        </w:rPr>
      </w:r>
    </w:p>
    <w:p w:rsidR="00000000" w:rsidDel="00000000" w:rsidP="00000000" w:rsidRDefault="00000000" w:rsidRPr="00000000" w14:paraId="00000020">
      <w:pPr>
        <w:numPr>
          <w:ilvl w:val="0"/>
          <w:numId w:val="2"/>
        </w:numPr>
        <w:ind w:left="720" w:hanging="360"/>
        <w:jc w:val="both"/>
        <w:rPr>
          <w:u w:val="none"/>
        </w:rPr>
      </w:pPr>
      <w:r w:rsidDel="00000000" w:rsidR="00000000" w:rsidRPr="00000000">
        <w:rPr>
          <w:rtl w:val="0"/>
        </w:rPr>
        <w:t xml:space="preserve">Verificação do Assunto Principal</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21">
      <w:pPr>
        <w:numPr>
          <w:ilvl w:val="0"/>
          <w:numId w:val="2"/>
        </w:numPr>
        <w:ind w:left="720" w:hanging="360"/>
        <w:jc w:val="both"/>
        <w:rPr>
          <w:u w:val="none"/>
        </w:rPr>
      </w:pPr>
      <w:r w:rsidDel="00000000" w:rsidR="00000000" w:rsidRPr="00000000">
        <w:rPr>
          <w:rtl w:val="0"/>
        </w:rPr>
        <w:t xml:space="preserve">Conferência do Banco Nacional de Mandados de Prisão</w:t>
      </w:r>
      <w:r w:rsidDel="00000000" w:rsidR="00000000" w:rsidRPr="00000000">
        <w:rPr>
          <w:rtl w:val="0"/>
        </w:rPr>
      </w:r>
    </w:p>
    <w:p w:rsidR="00000000" w:rsidDel="00000000" w:rsidP="00000000" w:rsidRDefault="00000000" w:rsidRPr="00000000" w14:paraId="00000022">
      <w:pPr>
        <w:numPr>
          <w:ilvl w:val="0"/>
          <w:numId w:val="2"/>
        </w:numPr>
        <w:ind w:left="720" w:hanging="360"/>
        <w:jc w:val="both"/>
        <w:rPr>
          <w:u w:val="none"/>
        </w:rPr>
      </w:pPr>
      <w:r w:rsidDel="00000000" w:rsidR="00000000" w:rsidRPr="00000000">
        <w:rPr>
          <w:rtl w:val="0"/>
        </w:rPr>
        <w:t xml:space="preserve">Expedição de Certidão de Antecedentes Criminais</w:t>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pStyle w:val="Heading2"/>
        <w:ind w:firstLine="720"/>
        <w:jc w:val="both"/>
        <w:rPr/>
      </w:pPr>
      <w:bookmarkStart w:colFirst="0" w:colLast="0" w:name="_heading=h.3znysh7" w:id="3"/>
      <w:bookmarkEnd w:id="3"/>
      <w:r w:rsidDel="00000000" w:rsidR="00000000" w:rsidRPr="00000000">
        <w:rPr>
          <w:rtl w:val="0"/>
        </w:rPr>
        <w:t xml:space="preserve">02.1 Cadastro de Partes/Representantes</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ab/>
        <w:t xml:space="preserve">Atentar para o CPF das partes e consultar o CEP sempre que possível.</w:t>
      </w:r>
    </w:p>
    <w:p w:rsidR="00000000" w:rsidDel="00000000" w:rsidP="00000000" w:rsidRDefault="00000000" w:rsidRPr="00000000" w14:paraId="00000027">
      <w:pPr>
        <w:jc w:val="both"/>
        <w:rPr/>
      </w:pPr>
      <w:r w:rsidDel="00000000" w:rsidR="00000000" w:rsidRPr="00000000">
        <w:rPr>
          <w:rtl w:val="0"/>
        </w:rPr>
        <w:tab/>
        <w:t xml:space="preserve">No cadastro de partes, deve-se, ainda, observar as prioridades e a informação acerca da justiça gratuita. </w:t>
      </w:r>
    </w:p>
    <w:p w:rsidR="00000000" w:rsidDel="00000000" w:rsidP="00000000" w:rsidRDefault="00000000" w:rsidRPr="00000000" w14:paraId="00000028">
      <w:pPr>
        <w:pStyle w:val="Heading2"/>
        <w:ind w:firstLine="720"/>
        <w:jc w:val="both"/>
        <w:rPr/>
      </w:pPr>
      <w:bookmarkStart w:colFirst="0" w:colLast="0" w:name="_heading=h.2et92p0" w:id="4"/>
      <w:bookmarkEnd w:id="4"/>
      <w:r w:rsidDel="00000000" w:rsidR="00000000" w:rsidRPr="00000000">
        <w:rPr>
          <w:rtl w:val="0"/>
        </w:rPr>
        <w:t xml:space="preserve">02.2 Atualização das Informações Gerais e Adicionais</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ab/>
        <w:t xml:space="preserve">As informações gerais reúnem as principais informações dos processos, tais como Comarca, Competência, Juízo, Distribuição, etc. É por meio das informações gerais que podemos alterar os localizadores, promover a retificação ou evolução da classe processual e o assunto principal.</w:t>
      </w:r>
    </w:p>
    <w:p w:rsidR="00000000" w:rsidDel="00000000" w:rsidP="00000000" w:rsidRDefault="00000000" w:rsidRPr="00000000" w14:paraId="0000002B">
      <w:pPr>
        <w:jc w:val="both"/>
        <w:rPr/>
      </w:pPr>
      <w:r w:rsidDel="00000000" w:rsidR="00000000" w:rsidRPr="00000000">
        <w:rPr>
          <w:rtl w:val="0"/>
        </w:rPr>
        <w:tab/>
        <w:t xml:space="preserve">Já as informações adicionais reúnem as informações mais detalhadas dos processos, tais como data da infração, delegacia de origem, prisões, apreensões, infrações, sentenças, trânsito, impedimentos/suspeições, etc. </w:t>
      </w:r>
    </w:p>
    <w:p w:rsidR="00000000" w:rsidDel="00000000" w:rsidP="00000000" w:rsidRDefault="00000000" w:rsidRPr="00000000" w14:paraId="0000002C">
      <w:pPr>
        <w:jc w:val="both"/>
        <w:rPr/>
      </w:pPr>
      <w:r w:rsidDel="00000000" w:rsidR="00000000" w:rsidRPr="00000000">
        <w:rPr>
          <w:rtl w:val="0"/>
        </w:rPr>
        <w:tab/>
        <w:t xml:space="preserve">Quando há o recebimento da Denúncia é imprescindível que seja incluída a as informações referentes ao recebimento como a imputação e a data do recebimento, de modo que o sistema possa calcular automaticamente a prescrição, que poderá ser verificada facilmente por meio da “Mesa do Escrivão”.</w:t>
        <w:tab/>
      </w:r>
    </w:p>
    <w:p w:rsidR="00000000" w:rsidDel="00000000" w:rsidP="00000000" w:rsidRDefault="00000000" w:rsidRPr="00000000" w14:paraId="0000002D">
      <w:pPr>
        <w:rPr/>
      </w:pPr>
      <w:r w:rsidDel="00000000" w:rsidR="00000000" w:rsidRPr="00000000">
        <w:rPr>
          <w:rtl w:val="0"/>
        </w:rPr>
        <w:tab/>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ind w:firstLine="720"/>
        <w:jc w:val="both"/>
        <w:rPr/>
      </w:pPr>
      <w:bookmarkStart w:colFirst="0" w:colLast="0" w:name="_heading=h.3dy6vkm" w:id="5"/>
      <w:bookmarkEnd w:id="5"/>
      <w:r w:rsidDel="00000000" w:rsidR="00000000" w:rsidRPr="00000000">
        <w:rPr>
          <w:rtl w:val="0"/>
        </w:rPr>
        <w:t xml:space="preserve">02.3 Conferência do Banco Nacional de Mandados de Prisão</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0" w:firstLine="720"/>
        <w:jc w:val="both"/>
        <w:rPr/>
      </w:pPr>
      <w:r w:rsidDel="00000000" w:rsidR="00000000" w:rsidRPr="00000000">
        <w:rPr>
          <w:rtl w:val="0"/>
        </w:rPr>
        <w:t xml:space="preserve">Conforme Resolução CNJ nº 417/2021, na Portaria Conjunta TJAM nº 02/2022 e no Provimento nº 426/2022-CGJ/AM, todas as peças relacionadas à expedição de Alvarás de Soltura, Certidões de Cumprimento de Prisões, Mandados de Prisão, Certidões de Extinção de Punibilidade, Guias de Execução e Mandados de Medidas Cautelares Diversas da Prisão devem ser confeccionadas, assinadas e finalizadas unicamente no ambiente do BNMP 3.0, sendo somente após exportados e integrados ao sistema PROJUDI, evitando duplicidade e garantindo integridade dos dados.</w:t>
      </w:r>
    </w:p>
    <w:p w:rsidR="00000000" w:rsidDel="00000000" w:rsidP="00000000" w:rsidRDefault="00000000" w:rsidRPr="00000000" w14:paraId="00000032">
      <w:pPr>
        <w:ind w:left="0" w:firstLine="720"/>
        <w:jc w:val="both"/>
        <w:rPr/>
      </w:pPr>
      <w:r w:rsidDel="00000000" w:rsidR="00000000" w:rsidRPr="00000000">
        <w:rPr>
          <w:rtl w:val="0"/>
        </w:rPr>
        <w:t xml:space="preserve">Por essa razão, é imprescindível que no momento que chegue o processo na Vara seja verificado junto ao BNMP 3.0 se as peças vinculadas, se existentes, estejam na competência do juízo receptor. Com esse procedimento é possível também verificar se o réu possui eventualmente outro processo ou esteja preso em razão de outra medida decretada por outra unidade.</w:t>
      </w:r>
    </w:p>
    <w:p w:rsidR="00000000" w:rsidDel="00000000" w:rsidP="00000000" w:rsidRDefault="00000000" w:rsidRPr="00000000" w14:paraId="00000033">
      <w:pPr>
        <w:ind w:left="0" w:firstLine="720"/>
        <w:jc w:val="both"/>
        <w:rPr/>
      </w:pPr>
      <w:r w:rsidDel="00000000" w:rsidR="00000000" w:rsidRPr="00000000">
        <w:rPr>
          <w:rtl w:val="0"/>
        </w:rPr>
      </w:r>
    </w:p>
    <w:p w:rsidR="00000000" w:rsidDel="00000000" w:rsidP="00000000" w:rsidRDefault="00000000" w:rsidRPr="00000000" w14:paraId="00000034">
      <w:pPr>
        <w:pStyle w:val="Heading2"/>
        <w:ind w:firstLine="720"/>
        <w:jc w:val="both"/>
        <w:rPr/>
      </w:pPr>
      <w:bookmarkStart w:colFirst="0" w:colLast="0" w:name="_heading=h.1t3h5sf" w:id="6"/>
      <w:bookmarkEnd w:id="6"/>
      <w:r w:rsidDel="00000000" w:rsidR="00000000" w:rsidRPr="00000000">
        <w:rPr>
          <w:rtl w:val="0"/>
        </w:rPr>
        <w:t xml:space="preserve">02.5 Expedição de Certidão de Antecedentes Criminais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ab/>
        <w:t xml:space="preserve">A expedição de nova Certidão de Antecedentes Criminais é importante para averiguar a possibilidade de aplicação de medidas diversas da prisão ou outros benefícios como a Suspensão Condicional do Processo, sendo importante a juntada do referido documento atualizado.</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ab/>
        <w:t xml:space="preserve">Para iniciar a pesquisa utilizar: Processos&gt;Busca&gt;Antecedentes Criminais (Oráculo), informando o nome da parte, e outros dados tais como pai ou mãe, para refiná-la. </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ab/>
        <w:t xml:space="preserve">Outra forma de consultar os antecedentes é realizando a busca avançada por meio da aba: Processos &gt; Busca &gt; Avançada. </w:t>
      </w:r>
    </w:p>
    <w:p w:rsidR="00000000" w:rsidDel="00000000" w:rsidP="00000000" w:rsidRDefault="00000000" w:rsidRPr="00000000" w14:paraId="0000003B">
      <w:pPr>
        <w:pStyle w:val="Heading2"/>
        <w:ind w:firstLine="720"/>
        <w:rPr/>
      </w:pPr>
      <w:bookmarkStart w:colFirst="0" w:colLast="0" w:name="_heading=h.aqbdlvfsax8n" w:id="7"/>
      <w:bookmarkEnd w:id="7"/>
      <w:r w:rsidDel="00000000" w:rsidR="00000000" w:rsidRPr="00000000">
        <w:rPr>
          <w:rtl w:val="0"/>
        </w:rPr>
        <w:t xml:space="preserve">02.6</w:t>
        <w:tab/>
        <w:t xml:space="preserve">Autos conclusos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ab/>
        <w:t xml:space="preserve">Superada todas as pendências necessárias para subsidiar a decisão do magistrado, o servidor deverá fazer conclusão dos autos, mediante certidão de conclusão, informando ainda quaisquer pendências que verificou estarem pendentes de saneamento. Nessa hora, após o documento ser lançado nos autos, deve-se remeter o processo concluso: Movimentações &gt; (clicar na última movimentação ou na movimentação da juntada da certidão) &gt; Movimentar a Partir Desta Movimentação &gt; Enviar Concluso,  nesta aba será necessário identificar o magistrado e o tipo da conclusão, sendo as mais comuns: “decisão, despacho”, e indicar também o agrupador correspondente e se a conclusão é urgente (casos de réus presos ou pedidos de revogação, ou outros procedimentos cautelares que possuem urgência perante os demais etc).</w:t>
      </w:r>
    </w:p>
    <w:p w:rsidR="00000000" w:rsidDel="00000000" w:rsidP="00000000" w:rsidRDefault="00000000" w:rsidRPr="00000000" w14:paraId="0000003E">
      <w:pPr>
        <w:jc w:val="both"/>
        <w:rPr/>
      </w:pPr>
      <w:r w:rsidDel="00000000" w:rsidR="00000000" w:rsidRPr="00000000">
        <w:rPr>
          <w:rtl w:val="0"/>
        </w:rPr>
        <w:tab/>
        <w:t xml:space="preserve">Atenção: recomenda-se a utilização de agrupadores para facilitar o trabalho da assessoria, de modo que o gabinete possa identificar, por meio dos agrupadores, que o processo se trata de recém entrado na unidade, facilitando a análise mais eficiente.</w:t>
      </w: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ab/>
      </w: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ab/>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2">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fundamentação iniciou pela Resolução n° 06/2019 - TJAM, em seu art. 1º, §3º, nestes termos: “A competência da Vara de Inquéritos Policiais se exaure após o oferecimento da denúncia pelo Ministério Público, ocasião em que as medidas cautelares, requeridas no curso da ação penal, serão de competência do Juízo de Conhecimento.” e atualmente se encontra no art. 75 da LC nº 261/2023 (Nova Lei de Organização Judiciária do Estado do Amazonas). </w:t>
      </w:r>
    </w:p>
  </w:footnote>
  <w:footnote w:id="1">
    <w:p w:rsidR="00000000" w:rsidDel="00000000" w:rsidP="00000000" w:rsidRDefault="00000000" w:rsidRPr="00000000" w14:paraId="00000043">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atualização do cadastro de partes e representantes obedece à Resolução CNJ nº 331/2020, que determinou o saneamento do DataJud por Unidade Judiciária, bem como é critério para pontuação do Selo CNJ de qualidade, nos termos do art 8º, inciso III do Anexo IV da Portaria nº 82, de 31 de março de 2023. Serão considerados apenas CPF e CNPJ. Em relação à parte ativa em Ações Penais Pública Incondicionadas, cadastrar a vítima com o código de terceiro “50-Vítima” e o MP como “Autor” “Código 4441052”. Em relação à parte passiva, sempre que possível buscar nos próprios autos CPF do réu e inserir no cadastro. Quando não disponível, solicitar autorização judicial para busca nos sistemas e posterior inclusão.</w:t>
      </w:r>
    </w:p>
    <w:p w:rsidR="00000000" w:rsidDel="00000000" w:rsidP="00000000" w:rsidRDefault="00000000" w:rsidRPr="00000000" w14:paraId="00000044">
      <w:pPr>
        <w:spacing w:line="240" w:lineRule="auto"/>
        <w:rPr>
          <w:sz w:val="20"/>
          <w:szCs w:val="20"/>
        </w:rPr>
      </w:pPr>
      <w:r w:rsidDel="00000000" w:rsidR="00000000" w:rsidRPr="00000000">
        <w:rPr>
          <w:rtl w:val="0"/>
        </w:rPr>
      </w:r>
    </w:p>
  </w:footnote>
  <w:footnote w:id="2">
    <w:p w:rsidR="00000000" w:rsidDel="00000000" w:rsidP="00000000" w:rsidRDefault="00000000" w:rsidRPr="00000000" w14:paraId="0000004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correta indicação de assuntos também obedece à Resolução CNJ nº 331/2020, que determinou o saneamento do DataJud por Unidade Judiciária, bem como é critério para pontuação do Selo CNJ de qualidade, nos termos do art 8º, inciso III do Anexo IV da Portaria nº 82, de 31 de março de 2023. Nesse caso, sempre verificar se o assunto corresponde ao fato tipificado na denúncia e se o cadastro está correto, devendo sempre constar o último código disponível da árvore. Para alteração acessar no SAJ “Retificação de Processo” &gt; “Assuntos”.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8lYtFcX2PpuEIh4oc3EEq0PvgA==">CgMxLjAyCGguZ2pkZ3hzMgloLjMwajB6bGwyCWguMWZvYjl0ZTIJaC4zem55c2g3MgloLjJldDkycDAyCWguM2R5NnZrbTIJaC4xdDNoNXNmMg5oLmFxYmRsdmZzYXg4bjgAciExcTBXbFl1aDdZcmZyYW1QOGpaYnVlNXJRdjZJcW5TN1A=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