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05 - Pautar AIJ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Apesar de parecer algo rotineiro, organizar uma pauta eficiente é algo que demanda lógica e estratégia. 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05.1 - Do Prazo 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Segundo o art. 400 do CPP, a audiência de instrução e julgamento deverá ocorrer em até 60 (sessenta) dias após a decisão que confirma o recebimento da denúncia e afasta as hipóteses de absolvição sumária ou reconhecimento de causas prejudiciais (ex: prescrição, decadência). </w:t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Obs: apesar do teor do art. 399 indique que “recebida a denúncia ou queixa, o juiz designará dia e hora para a audiência (...)”, esse comando deve ser interpretado sistematicamente com o conjunto normativo do própria lei processual penal, que estabelece um rito prévio, que é o da apresentação da resposta à acusação (art. 396) e a análise das preliminares, prejudiciais e hipóteses de absolvição sumária, podendo o juiz confirmar ou não o recebimento da denúncia (art. 397). Dessa forma, não há sentido lógico do ponto de vista do princípio da razoável duração do processo, que a AIJ seja pautada desde o recebimento da denúncia, posto que não se sabe se esse recebimento será confirmado posteriormente. 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05.2 - Da organização da Pauta</w:t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organização da pauta de audiências deve sempre observar as prioridades legais e normativas do CNJ, sendo as mais comuns em processos que envolvam: 1) réus presos provisoriamente pela unidade jurisdicional; 2) julgamento de crimes hediondos (art. 394-A do CPP); 3) violência contra a mulher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(art. 394-A do CPP e art. 1.048, inciso II do CPC); 4) crimes contra idosos ou que figurem pessoas idosas na qualidade de rés (art. 71 do Estatuto do Idoso - Lei nº 10.741/2003 e Resolução nº 14/2007 CNJ e art. 1.048, inciso I do CPC)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; 5) portadores de doenças graves (art. 1.048, inciso I, do CPC); 6) pessoas com deficiência (art. 9º, inciso VII, da Lei nº 13.146/2015); 7) crianças ou adolescentes como vítimas ou testemunhas (art. 4º do ECA, art. 227 da CF/88 e Lei nº 13.431/2017 e art. 1.048, inciso II, do CPC); 8) vítimas ou testemunhas ameaçadas e protegidas pelo programa PROVITA/PPCAM (art. 19-A da Lei nº 9.807/1999 e Recomendação nº 07 do CNJ); 9) Incluídos na Meta 02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 Meta 06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, Meta 07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e processos antigos.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É recomendável que a Secretaria não deixe represados processos nos localizadores/filas aguardando pautar audiências, recomendação essa que foi objeto de orientações do CNJ nas inúmeras inspeções realizadas. 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Atenção: Sabe-se que atualmente é quase impossível que a unidade jurisdicional realize a AIJ dentro do prazo previsto no art. 400 do CPP. Dessa forma, recomenda-se que seja de imediato pautado a audiência, ainda que seja para prazo longínquo, evitando-se a responsabilização do Diretor/Escrivão. Diante dessa situação, para melhor organização da pauta, recomenda-se também que sejam deixados espaços vazios dentro da pauta para encaixe dos processos recebidos posteriormente que possuam prioridades legais e normativas.</w: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É também de suma importância que ao definir a quantidade de processos a serem incluídos na pauta do dia, seja observada a quantidade de partes a serem ouvidas (ofendidos, testemunhas, réus), evitando-se fracionamentos do ato, o que gera maior demanda à Secretaria. </w:t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uma melhor organização, como o Projudi somente emite a Pauta de Audiências em formato corrido (relação de processo), a Secretaria da unidade poderá utilizar planilhas no Google Sheets para gerenciar melhor a Pauta, deixando os espaços relacionados aos processos que ainda irão ingressar e que possuam prioridade. 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Destaque-se também que é recomendável à unidade que paute as audiências observando o calendário oficial do tribunal, evitando pautar audiência em dia de ponto facultativo ou feriado previamente definido pela Corte Estadual.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Conforme o art. 1º do Estatuto da Pessoa Idosa, são consideradas idosas as pessoas com idade igual ou superior a 60 (sessenta) anos. Frise-se que no art. 3º, §2º, é assegurada prioridade especial (super prioridade)  a pessoas idosas com idade igual ou superior a 80 (oitenta) anos.</w:t>
      </w:r>
    </w:p>
  </w:footnote>
  <w:footnote w:id="2"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Segundo o glossário de metas 2025, a Meta 02 na justiça estadual consiste em julgar, pelo menos 80% dos processos distribuídos até 31/12/2021 no 1º grau e 100% dos processos de conhecimento pendentes de julgamento há 15 anos (2010) ou mais.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Segundo o glossário de metas 2025, a Meta 06 na justiça estadual consiste em julgar 50% dos processos relacionados às ações ambientais distribuídos até 31/12/2024.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Segundo o glossário de metas 2025, a Meta 06 na justiça estadual consiste em julgar 50% dos processos relacionados aos direitos das comunidades indígenas e quilombolas distribuídos até 31/12/2024.</w:t>
      </w: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A prioridade para o julgamento de casos que envolvam violência doméstica e familiar contra a mulher também é uma das Metas do CNJ. Segundo o glossário de metas 2025, a Meta 08 na justiça estadual consiste em julgar 75% dos casos de feminicídio distribuídos até 31/12/2023 e 90% dos casos de violência doméstica e familiar distribuídos até 31/12/2023.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Segundo a Portaria nº 411/2024 que instituiu o Prêmio CNJ de Qualidade no ano de 2025, não considerados processos antigos aqueles distribuídos até o ano de 2022, devendo a unidade possuir menos que 20% do acervo nessa condição.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