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14 - Arquivamento Definitivo (Baixa)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– Do Arquivamento Definitivo dos Processos Criminais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O arquivamento definitivo é a fase final do processo penal em 1º grau, na qual, após o cumprimento de todas as obrigações legais e saneamento das pendências, o feito é transferido para a condição de encerrado, com baixa definitiva no sistema.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14.1.1 – Requisitos prévios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Antes de realizar o arquivamento definitivo, a Secretaria deve: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Verificar a existência de sentença penal transitada em julgado, seja ela: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Condenatória: confirmar se a Guia de Execução foi devidamente expedida e encaminhada à Vara de Execuções Penais (BNMP/SEEU), conforme Portaria PTJ nº 2897/2023;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Absolutória: verificar se não há pendências de bens apreendidos, medidas cautelares, medidas protetivas ou mandados de prisão em aberto;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Extintiva da punibilidade: conferir se houve saneamento de todas as obrigações correlatas (ex: comunicação eleitoral, baixa de cautelares, liberação de bens, certidão de extinção de punibilidade por morte no BNMP).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Verificar a aba “Informações Adicionais &gt; Apreensões” no PROJUDI: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Se constarem bens apreendidos, verificar nos autos se já houve destinação judicial (perdimento, restituição, leilão, doação, etc.);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Se não houver registro na aba, compulsar os autos para certificar se não restam bens pendentes de destinação.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Somente após o saneamento de todas as pendências (bens, cautelares, guias, medidas), poderá ser realizado o arquivamento definitivo.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– Procedimento no PROJUDI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Com as verificações concluídas, proceder da seguinte forma: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Acessar a aba “Movimentações”;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Selecionar “Movimentar a partir desta”;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Clicar em “Arquivar processo”;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Selecionar a opção “Arquivamento Definitivo”;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Conferir se o sistema lançou corretamente a movimentação final e se o processo foi transferido para a pasta “Processos Encerrados”.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14.3 – Observações importantes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Sempre conferir se todas as movimentações obrigatórias foram devidamente lançadas (ex: expedição de guias, comunicação eleitoral, comunicação à vítima, baixa de cautelares).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No caso de sentença absolutória com réu preso, verificar se o Alvará de Soltura foi expedido e cumprido.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Nos casos de penas restritivas de direito e multa, verificar se a Guia de Execução foi remetida à VEMEPA antes da baixa.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Se houver recurso pendente de julgamento, não realizar o arquivamento definitivo, mantendo o processo em tramitação até o trânsito em julgado.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