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pacing w:after="0" w:before="0" w:line="240" w:lineRule="auto"/>
        <w:rPr>
          <w:color w:val="333333"/>
          <w:sz w:val="45"/>
          <w:szCs w:val="45"/>
          <w:highlight w:val="white"/>
        </w:rPr>
      </w:pPr>
      <w:bookmarkStart w:colFirst="0" w:colLast="0" w:name="_k9abah1zbfgs" w:id="0"/>
      <w:bookmarkEnd w:id="0"/>
      <w:r w:rsidDel="00000000" w:rsidR="00000000" w:rsidRPr="00000000">
        <w:rPr>
          <w:color w:val="333333"/>
          <w:sz w:val="45"/>
          <w:szCs w:val="45"/>
          <w:highlight w:val="white"/>
          <w:rtl w:val="0"/>
        </w:rPr>
        <w:t xml:space="preserve">Creating groups and drillable hierarchies in Tableau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after="100"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by </w:t>
      </w:r>
      <w:hyperlink r:id="rId6">
        <w:r w:rsidDel="00000000" w:rsidR="00000000" w:rsidRPr="00000000">
          <w:rPr>
            <w:b w:val="1"/>
            <w:color w:val="666666"/>
            <w:sz w:val="21"/>
            <w:szCs w:val="21"/>
            <w:highlight w:val="white"/>
            <w:u w:val="single"/>
            <w:rtl w:val="0"/>
          </w:rPr>
          <w:t xml:space="preserve">Ben Davis</w:t>
        </w:r>
      </w:hyperlink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 | Jun 8, 2016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Often we want to split our dimensions into groups that will help us slice and dice the data we visualise in meaningful ways. Perhaps unsurprisingly, this is exactly what </w:t>
      </w:r>
      <w:r w:rsidDel="00000000" w:rsidR="00000000" w:rsidRPr="00000000">
        <w:rPr>
          <w:b w:val="1"/>
          <w:color w:val="ff6600"/>
          <w:sz w:val="21"/>
          <w:szCs w:val="21"/>
          <w:highlight w:val="white"/>
          <w:rtl w:val="0"/>
        </w:rPr>
        <w:t xml:space="preserve">Groups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 are for in Tableau.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Groups basically let you simplify dimension levels into higher level sub-categories.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Creating Groups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They can be made in a couple of ways. Highlighting multiple header names or data points then right clicking will allow you to form bespoke groupings of dimension levels in the view.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</w:rPr>
        <w:drawing>
          <wp:inline distB="114300" distT="114300" distL="114300" distR="114300">
            <wp:extent cx="4254500" cy="3340100"/>
            <wp:effectExtent b="0" l="0" r="0" t="0"/>
            <wp:docPr descr="1" id="6" name="image7.png"/>
            <a:graphic>
              <a:graphicData uri="http://schemas.openxmlformats.org/drawingml/2006/picture">
                <pic:pic>
                  <pic:nvPicPr>
                    <pic:cNvPr descr="1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However, clicking on the dimension you want to group in the data pane, then selecting </w:t>
      </w:r>
      <w:r w:rsidDel="00000000" w:rsidR="00000000" w:rsidRPr="00000000">
        <w:rPr>
          <w:b w:val="1"/>
          <w:color w:val="ff6600"/>
          <w:sz w:val="21"/>
          <w:szCs w:val="21"/>
          <w:highlight w:val="white"/>
          <w:rtl w:val="0"/>
        </w:rPr>
        <w:t xml:space="preserve">Create&gt;Groups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 will give access to greater control over your groups.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</w:rPr>
        <w:drawing>
          <wp:inline distB="114300" distT="114300" distL="114300" distR="114300">
            <wp:extent cx="3835400" cy="2362200"/>
            <wp:effectExtent b="0" l="0" r="0" t="0"/>
            <wp:docPr descr="2" id="1" name="image6.png"/>
            <a:graphic>
              <a:graphicData uri="http://schemas.openxmlformats.org/drawingml/2006/picture">
                <pic:pic>
                  <pic:nvPicPr>
                    <pic:cNvPr descr="2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The</w:t>
      </w:r>
      <w:r w:rsidDel="00000000" w:rsidR="00000000" w:rsidRPr="00000000">
        <w:rPr>
          <w:b w:val="1"/>
          <w:color w:val="ff6600"/>
          <w:sz w:val="21"/>
          <w:szCs w:val="21"/>
          <w:highlight w:val="white"/>
          <w:rtl w:val="0"/>
        </w:rPr>
        <w:t xml:space="preserve"> Create Group 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window offers the handy option of searching for words within dimension levels. We can then easily group collections of levels that meet our search criteria. In the example below I have chosen to categorise all ‘envelopes’ as a single group, within the dimension ‘Product Name’. Notice that  “</w:t>
      </w:r>
      <w:r w:rsidDel="00000000" w:rsidR="00000000" w:rsidRPr="00000000">
        <w:rPr>
          <w:b w:val="1"/>
          <w:color w:val="ff6600"/>
          <w:sz w:val="21"/>
          <w:szCs w:val="21"/>
          <w:highlight w:val="white"/>
          <w:rtl w:val="0"/>
        </w:rPr>
        <w:t xml:space="preserve">Include ‘Other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’” is ticked. This will split the data into 2 groups: ‘Envelopes’ (after renaming it) and ‘Other’.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</w:rPr>
        <w:drawing>
          <wp:inline distB="114300" distT="114300" distL="114300" distR="114300">
            <wp:extent cx="4762500" cy="5410200"/>
            <wp:effectExtent b="0" l="0" r="0" t="0"/>
            <wp:docPr descr="3" id="4" name="image2.png"/>
            <a:graphic>
              <a:graphicData uri="http://schemas.openxmlformats.org/drawingml/2006/picture">
                <pic:pic>
                  <pic:nvPicPr>
                    <pic:cNvPr descr="3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We can continue to form subsequent groupings of products, and then rename the field something sensible. In this case: ‘Product Groupings’.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</w:rPr>
        <w:drawing>
          <wp:inline distB="114300" distT="114300" distL="114300" distR="114300">
            <wp:extent cx="4292600" cy="4902200"/>
            <wp:effectExtent b="0" l="0" r="0" t="0"/>
            <wp:docPr descr="4" id="3" name="image4.png"/>
            <a:graphic>
              <a:graphicData uri="http://schemas.openxmlformats.org/drawingml/2006/picture">
                <pic:pic>
                  <pic:nvPicPr>
                    <pic:cNvPr descr="4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This field now appears in your data pane as another dimension, alongside a small paper clip symbol – confirming that the field is indeed a group.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Forming hierarchies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Now, this is where it gets interesting.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Dragging the new ‘Product Groupings’ pill onto the original ‘Product Name’ pill in the data pane will prompt you to form a hierarchy.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</w:rPr>
        <w:drawing>
          <wp:inline distB="114300" distT="114300" distL="114300" distR="114300">
            <wp:extent cx="3289300" cy="1168400"/>
            <wp:effectExtent b="0" l="0" r="0" t="0"/>
            <wp:docPr descr="5" id="2" name="image5.png"/>
            <a:graphic>
              <a:graphicData uri="http://schemas.openxmlformats.org/drawingml/2006/picture">
                <pic:pic>
                  <pic:nvPicPr>
                    <pic:cNvPr descr="5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After clicking ‘OK’, this will show up in the data pane as below, after which you can re-arrange the order of the dimensions in the hierarchy. Since ‘Product Groupings’ is a higher level of categorization of ‘Product Name’ it makes sense to have this before ‘Product Groupings’, on the top of the hierarchy.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</w:rPr>
        <w:drawing>
          <wp:inline distB="114300" distT="114300" distL="114300" distR="114300">
            <wp:extent cx="2895600" cy="1130300"/>
            <wp:effectExtent b="0" l="0" r="0" t="0"/>
            <wp:docPr descr="6" id="5" name="image8.png"/>
            <a:graphic>
              <a:graphicData uri="http://schemas.openxmlformats.org/drawingml/2006/picture">
                <pic:pic>
                  <pic:nvPicPr>
                    <pic:cNvPr descr="6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Now, when we drag the </w:t>
      </w:r>
      <w:r w:rsidDel="00000000" w:rsidR="00000000" w:rsidRPr="00000000">
        <w:rPr>
          <w:b w:val="1"/>
          <w:color w:val="ff6600"/>
          <w:sz w:val="21"/>
          <w:szCs w:val="21"/>
          <w:highlight w:val="white"/>
          <w:rtl w:val="0"/>
        </w:rPr>
        <w:t xml:space="preserve">Product Hierarchy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 to the shelf, we see the highest order level ‘Product Groups’ in the view, with a ‘</w:t>
      </w:r>
      <w:r w:rsidDel="00000000" w:rsidR="00000000" w:rsidRPr="00000000">
        <w:rPr>
          <w:b w:val="1"/>
          <w:color w:val="ff6600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’ sign on the left side of its pill. This lets us know there are dimensions nested within ‘Product Groups’.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</w:rPr>
        <w:drawing>
          <wp:inline distB="114300" distT="114300" distL="114300" distR="114300">
            <wp:extent cx="5943600" cy="1536700"/>
            <wp:effectExtent b="0" l="0" r="0" t="0"/>
            <wp:docPr descr="7" id="8" name="image3.png"/>
            <a:graphic>
              <a:graphicData uri="http://schemas.openxmlformats.org/drawingml/2006/picture">
                <pic:pic>
                  <pic:nvPicPr>
                    <pic:cNvPr descr="7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Clicking on the ‘</w:t>
      </w:r>
      <w:r w:rsidDel="00000000" w:rsidR="00000000" w:rsidRPr="00000000">
        <w:rPr>
          <w:b w:val="1"/>
          <w:color w:val="ff6600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’ sign will now let us drill down into the next level in the hierarchy, which is our original ‘Product Name’ dimension.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</w:rPr>
        <w:drawing>
          <wp:inline distB="114300" distT="114300" distL="114300" distR="114300">
            <wp:extent cx="5943600" cy="4648200"/>
            <wp:effectExtent b="0" l="0" r="0" t="0"/>
            <wp:docPr descr="8" id="7" name="image1.png"/>
            <a:graphic>
              <a:graphicData uri="http://schemas.openxmlformats.org/drawingml/2006/picture">
                <pic:pic>
                  <pic:nvPicPr>
                    <pic:cNvPr descr="8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Clicking on the ‘</w:t>
      </w:r>
      <w:r w:rsidDel="00000000" w:rsidR="00000000" w:rsidRPr="00000000">
        <w:rPr>
          <w:b w:val="1"/>
          <w:color w:val="ff6600"/>
          <w:sz w:val="21"/>
          <w:szCs w:val="21"/>
          <w:highlight w:val="white"/>
          <w:rtl w:val="0"/>
        </w:rPr>
        <w:t xml:space="preserve">–</w:t>
      </w: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‘ sign in the pill will in turn allow you to collapse back to the higher level grouping.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The use of such hierarchies can be really useful in your data exploration journey. The seamless drill-down function allows you to fluently cross scales, going from broad level summaries to deep interrogation of individual items at the speed of thinking. This can be a real game changer when querying the root of peculiar values in your data.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rPr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thedataschool.co.uk/author/ben-davis/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