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0F172A"/>
          <w:sz w:val="28"/>
          <w:szCs w:val="28"/>
        </w:rPr>
        <w:t xml:space="preserve">APEX ENTERPRISE SOLUTIONS (SL) LTD.</w:t>
      </w:r>
    </w:p>
    <w:p>
      <w:pPr>
        <w:spacing w:after="600"/>
        <w:jc w:val="center"/>
      </w:pPr>
      <w:r>
        <w:rPr>
          <w:rFonts w:ascii="Arial" w:cs="Arial" w:eastAsia="Arial" w:hAnsi="Arial"/>
          <w:i/>
          <w:iCs/>
          <w:color w:val="0284C7"/>
          <w:sz w:val="22"/>
          <w:szCs w:val="22"/>
        </w:rPr>
        <w:t xml:space="preserve">Smart Employee Attendance &amp; Payroll Management System</w:t>
      </w:r>
    </w:p>
    <w:p>
      <w:pPr>
        <w:spacing w:after="200" w:before="800"/>
        <w:jc w:val="center"/>
      </w:pPr>
      <w:r>
        <w:rPr>
          <w:rFonts w:ascii="Arial" w:cs="Arial" w:eastAsia="Arial" w:hAnsi="Arial"/>
          <w:b/>
          <w:bCs/>
          <w:color w:val="0F172A"/>
          <w:sz w:val="36"/>
          <w:szCs w:val="36"/>
          <w:u w:val="single" w:color="0284C7"/>
        </w:rPr>
        <w:t xml:space="preserve">PROJECT WORK PLAN AND GANTT CHART SCHEDULE</w:t>
      </w:r>
    </w:p>
    <w:p>
      <w:pPr>
        <w:spacing w:after="1200"/>
        <w:jc w:val="center"/>
      </w:pPr>
      <w:r>
        <w:rPr>
          <w:rFonts w:ascii="Arial" w:cs="Arial" w:eastAsia="Arial" w:hAnsi="Arial"/>
          <w:color w:val="64748B"/>
          <w:sz w:val="24"/>
          <w:szCs w:val="24"/>
        </w:rPr>
        <w:t xml:space="preserve">Comprehensive Work Breakdown Structure (WBS), Timeline, Resource Matrix &amp; Risk Analysis</w:t>
      </w:r>
    </w:p>
    <w:p>
      <w:pPr>
        <w:spacing w:after="80" w:before="1000"/>
        <w:jc w:val="center"/>
      </w:pPr>
      <w:r>
        <w:rPr>
          <w:rFonts w:ascii="Arial" w:cs="Arial" w:eastAsia="Arial" w:hAnsi="Arial"/>
          <w:b/>
          <w:bCs/>
          <w:color w:val="0F172A"/>
          <w:sz w:val="20"/>
          <w:szCs w:val="20"/>
        </w:rPr>
        <w:t xml:space="preserve">Document Classification: </w:t>
      </w:r>
      <w:r>
        <w:rPr>
          <w:rFonts w:ascii="Arial" w:cs="Arial" w:eastAsia="Arial" w:hAnsi="Arial"/>
          <w:color w:val="0284C7"/>
          <w:sz w:val="20"/>
          <w:szCs w:val="20"/>
        </w:rPr>
        <w:t xml:space="preserve">Project Management &amp; Execution Strategy</w:t>
      </w:r>
    </w:p>
    <w:p>
      <w:pPr>
        <w:spacing w:after="80"/>
        <w:jc w:val="center"/>
      </w:pPr>
      <w:r>
        <w:rPr>
          <w:rFonts w:ascii="Arial" w:cs="Arial" w:eastAsia="Arial" w:hAnsi="Arial"/>
          <w:b/>
          <w:bCs/>
          <w:color w:val="0F172A"/>
          <w:sz w:val="20"/>
          <w:szCs w:val="20"/>
        </w:rPr>
        <w:t xml:space="preserve">Project Phase: </w:t>
      </w:r>
      <w:r>
        <w:rPr>
          <w:rFonts w:ascii="Arial" w:cs="Arial" w:eastAsia="Arial" w:hAnsi="Arial"/>
          <w:color w:val="334155"/>
          <w:sz w:val="20"/>
          <w:szCs w:val="20"/>
        </w:rPr>
        <w:t xml:space="preserve">Dissertation &amp; Production Deployment Release v2.5.0</w:t>
      </w:r>
    </w:p>
    <w:p>
      <w:pPr>
        <w:spacing w:after="80"/>
        <w:jc w:val="center"/>
      </w:pPr>
      <w:r>
        <w:rPr>
          <w:rFonts w:ascii="Arial" w:cs="Arial" w:eastAsia="Arial" w:hAnsi="Arial"/>
          <w:b/>
          <w:bCs/>
          <w:color w:val="0F172A"/>
          <w:sz w:val="20"/>
          <w:szCs w:val="20"/>
        </w:rPr>
        <w:t xml:space="preserve">Author / Candidate: </w:t>
      </w:r>
      <w:r>
        <w:rPr>
          <w:rFonts w:ascii="Arial" w:cs="Arial" w:eastAsia="Arial" w:hAnsi="Arial"/>
          <w:color w:val="334155"/>
          <w:sz w:val="20"/>
          <w:szCs w:val="20"/>
        </w:rPr>
        <w:t xml:space="preserve">Osman A. Mansaray (Apex Enterprise Systems Engineering)</w:t>
      </w:r>
    </w:p>
    <w:p>
      <w:pPr>
        <w:spacing w:after="80"/>
        <w:jc w:val="center"/>
      </w:pPr>
      <w:r>
        <w:rPr>
          <w:rFonts w:ascii="Arial" w:cs="Arial" w:eastAsia="Arial" w:hAnsi="Arial"/>
          <w:b/>
          <w:bCs/>
          <w:color w:val="0F172A"/>
          <w:sz w:val="20"/>
          <w:szCs w:val="20"/>
        </w:rPr>
        <w:t xml:space="preserve">Target Jurisdiction: </w:t>
      </w:r>
      <w:r>
        <w:rPr>
          <w:rFonts w:ascii="Arial" w:cs="Arial" w:eastAsia="Arial" w:hAnsi="Arial"/>
          <w:color w:val="334155"/>
          <w:sz w:val="20"/>
          <w:szCs w:val="20"/>
        </w:rPr>
        <w:t xml:space="preserve">Freetown, Sierra Leone (Compliance: NASSIT Act &amp; SL Labour Laws)</w:t>
      </w:r>
    </w:p>
    <w:p>
      <w:pPr>
        <w:spacing w:after="400"/>
        <w:jc w:val="center"/>
      </w:pPr>
      <w:r>
        <w:rPr>
          <w:rFonts w:ascii="Arial" w:cs="Arial" w:eastAsia="Arial" w:hAnsi="Arial"/>
          <w:b/>
          <w:bCs/>
          <w:color w:val="0F172A"/>
          <w:sz w:val="20"/>
          <w:szCs w:val="20"/>
        </w:rPr>
        <w:t xml:space="preserve">Generation Date: </w:t>
      </w:r>
      <w:r>
        <w:rPr>
          <w:rFonts w:ascii="Arial" w:cs="Arial" w:eastAsia="Arial" w:hAnsi="Arial"/>
          <w:color w:val="334155"/>
          <w:sz w:val="20"/>
          <w:szCs w:val="20"/>
        </w:rPr>
        <w:t xml:space="preserve">31 August 2026</w:t>
      </w:r>
    </w:p>
    <w:p>
      <w:pPr>
        <w:pageBreakBefore/>
      </w:pPr>
    </w:p>
    <w:p>
      <w:pPr>
        <w:pStyle w:val="Heading1"/>
        <w:spacing w:after="180" w:before="360"/>
      </w:pPr>
      <w:r>
        <w:rPr>
          <w:rFonts w:ascii="Arial" w:cs="Arial" w:eastAsia="Arial" w:hAnsi="Arial"/>
          <w:b/>
          <w:bCs/>
          <w:color w:val="0F172A"/>
          <w:sz w:val="32"/>
          <w:szCs w:val="32"/>
        </w:rPr>
        <w:t xml:space="preserve">1. Executive Project Charter &amp; Objectives</w:t>
      </w:r>
    </w:p>
    <w:p>
      <w:pPr>
        <w:spacing w:after="140" w:line="276"/>
      </w:pPr>
      <w:r>
        <w:rPr>
          <w:rFonts w:ascii="Arial" w:cs="Arial" w:eastAsia="Arial" w:hAnsi="Arial"/>
          <w:color w:val="1E293B"/>
          <w:sz w:val="22"/>
          <w:szCs w:val="22"/>
        </w:rPr>
        <w:t xml:space="preserve">The Smart Employee Attendance and Payroll Management System project was initiated to deliver a modernized, high-reliability enterprise management platform tailored to addressing attendance fraud, calculation discrepancies, and administrative overheads in contemporary corporate and institutional environments.</w:t>
      </w:r>
    </w:p>
    <w:p>
      <w:pPr>
        <w:spacing w:after="140" w:line="276"/>
      </w:pPr>
      <w:r>
        <w:rPr>
          <w:rFonts w:ascii="Arial" w:cs="Arial" w:eastAsia="Arial" w:hAnsi="Arial"/>
          <w:color w:val="1E293B"/>
          <w:sz w:val="22"/>
          <w:szCs w:val="22"/>
        </w:rPr>
        <w:t xml:space="preserve">This Project Work Plan outlines the systematic engineering lifecycle, Work Breakdown Structure (WBS), chronological milestones, human resource allocation (RACI matrix), financial budget estimation, quality assurance gates, and comprehensive risk mitigation strategies spanning the full 16-week project implementation timeframe.</w:t>
      </w:r>
    </w:p>
    <w:tbl>
      <w:tblPr>
        <w:tblW w:type="pct" w:w="100%"/>
        <w:tblBorders>
          <w:top w:val="single" w:color="10B981" w:sz="4"/>
          <w:left w:val="thick" w:color="10B981" w:sz="20"/>
          <w:bottom w:val="single" w:color="10B981" w:sz="4"/>
          <w:right w:val="single" w:color="10B981" w:sz="4"/>
          <w:insideH w:val="single" w:color="auto" w:sz="4"/>
          <w:insideV w:val="single" w:color="auto" w:sz="4"/>
        </w:tblBorders>
      </w:tblPr>
      <w:tblGrid>
        <w:gridCol w:w="100"/>
      </w:tblGrid>
      <w:tr>
        <w:tc>
          <w:tcPr>
            <w:shd w:fill="ECFDF5" w:val="clear"/>
            <w:tcMar>
              <w:top w:type="dxa" w:w="140"/>
              <w:left w:type="dxa" w:w="180"/>
              <w:bottom w:type="dxa" w:w="140"/>
              <w:right w:type="dxa" w:w="180"/>
            </w:tcMar>
          </w:tcPr>
          <w:p>
            <w:pPr>
              <w:spacing w:after="60"/>
            </w:pPr>
            <w:r>
              <w:rPr>
                <w:rFonts w:ascii="Arial" w:cs="Arial" w:eastAsia="Arial" w:hAnsi="Arial"/>
                <w:b/>
                <w:bCs/>
                <w:color w:val="0F172A"/>
                <w:sz w:val="20"/>
                <w:szCs w:val="20"/>
              </w:rPr>
              <w:t xml:space="preserve">[TIP] Core Project Success Criteria</w:t>
            </w:r>
          </w:p>
          <w:p>
            <w:pPr>
              <w:spacing w:after="0" w:line="240"/>
            </w:pPr>
            <w:r>
              <w:rPr>
                <w:rFonts w:ascii="Arial" w:cs="Arial" w:eastAsia="Arial" w:hAnsi="Arial"/>
                <w:color w:val="334155"/>
                <w:sz w:val="19"/>
                <w:szCs w:val="19"/>
              </w:rPr>
              <w:t xml:space="preserve">1. Sub-second QR attendance recognition (&lt;300ms).
2. 100% precision in statutory NASSIT &amp; PAYE payroll calculations.
3. Zero data loss with transactional relational integrity.
4. Complete user satisfaction across Administrator, HR, and Employee roles.</w:t>
            </w:r>
          </w:p>
        </w:tc>
      </w:tr>
    </w:tbl>
    <w:p>
      <w:pPr>
        <w:spacing w:before="200"/>
      </w:pPr>
    </w:p>
    <w:p>
      <w:pPr>
        <w:pStyle w:val="Heading1"/>
        <w:spacing w:after="180" w:before="360"/>
      </w:pPr>
      <w:r>
        <w:rPr>
          <w:rFonts w:ascii="Arial" w:cs="Arial" w:eastAsia="Arial" w:hAnsi="Arial"/>
          <w:b/>
          <w:bCs/>
          <w:color w:val="0F172A"/>
          <w:sz w:val="32"/>
          <w:szCs w:val="32"/>
        </w:rPr>
        <w:t xml:space="preserve">2. Comprehensive Work Breakdown Structure (WBS)</w:t>
      </w:r>
    </w:p>
    <w:p>
      <w:pPr>
        <w:spacing w:after="140" w:line="276"/>
      </w:pPr>
      <w:r>
        <w:rPr>
          <w:rFonts w:ascii="Arial" w:cs="Arial" w:eastAsia="Arial" w:hAnsi="Arial"/>
          <w:color w:val="1E293B"/>
          <w:sz w:val="22"/>
          <w:szCs w:val="22"/>
        </w:rPr>
        <w:t xml:space="preserve">The project is structured into 8 primary phases, comprising 32 granular work packages: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0F172A"/>
                <w:sz w:val="20"/>
                <w:szCs w:val="20"/>
              </w:rPr>
              <w:t xml:space="preserve">WBS Code</w:t>
            </w:r>
          </w:p>
        </w:tc>
        <w:tc>
          <w:tcPr>
            <w:tcW w:type="pct" w:w="33%"/>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0F172A"/>
                <w:sz w:val="20"/>
                <w:szCs w:val="20"/>
              </w:rPr>
              <w:t xml:space="preserve">Phase / Work Package Title</w:t>
            </w:r>
          </w:p>
        </w:tc>
        <w:tc>
          <w:tcPr>
            <w:tcW w:type="pct" w:w="3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0F172A"/>
                <w:sz w:val="20"/>
                <w:szCs w:val="20"/>
              </w:rPr>
              <w:t xml:space="preserve">Key Deliverables</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0F172A"/>
                <w:sz w:val="20"/>
                <w:szCs w:val="20"/>
              </w:rPr>
              <w:t xml:space="preserve">Est. Days</w:t>
            </w:r>
          </w:p>
        </w:tc>
      </w:tr>
      <w:t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1.0</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INCEPTION &amp; FEASIBILITY</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Feasibility Report, Project Charter, Stakeholder Signoff</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10 Days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1.1</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Stakeholder Interviews &amp; Field Surveys</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Survey questionnaires, interview transcripts, baseline audit</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4 Days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1.2</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Technical &amp; Operational Feasibility Study</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Technology stack evaluation, hardware constraint analysis</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3 Days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1.3</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Project Scope &amp; Governance Definition</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Signed Project Charter &amp; Scope Statement</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3 Days</w:t>
            </w:r>
          </w:p>
        </w:tc>
      </w:tr>
      <w:t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2.0</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REQUIREMENTS &amp; SYSTEM DESIGN</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SRS Document, UML Models, UI Wireframes, DB Schema</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14 Days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2.1</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Software Requirements Specification (SRS)</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Functional &amp; Non-Functional Requirements matrix</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4 Days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2.2</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UML Architecture &amp; Structural Modeling</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Use Case, Class, Sequence, and State Machine diagrams</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4 Days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2.3</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Relational Database Schema Design</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ERD diagrams, normalization (3NF), Drizzle schema DDL</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3 Days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2.4</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UI/UX Wireframes &amp; Component Design</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Figma mockups, design token definitions, layout specs</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3 Days</w:t>
            </w:r>
          </w:p>
        </w:tc>
      </w:tr>
      <w:t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3.0</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BACKEND ARCHITECTURE &amp; APIS</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Express Server, REST APIs, Auth Service, DB Seeders</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18 Days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3.1</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Database Engine &amp; Migration Pipeline</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Drizzle ORM setup, connection pool, seed data script</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4 Days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3.2</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Authentication &amp; RBAC Middleware</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JWT verification, bcrypt hashing, rate limiting guards</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4 Days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3.3</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Attendance &amp; QR Verification Endpoints</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/api/attendance REST controllers, signature validator</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5 Days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3.4</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Payroll &amp; Financial Computation APIs</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/api/payroll controllers, tax &amp; deduction algorithms</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5 Days</w:t>
            </w:r>
          </w:p>
        </w:tc>
      </w:tr>
      <w:t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4.0</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FRONTEND CLIENT &amp; UI MODULES</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React 19 Single Page App, Responsive Pages &amp; Views</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20 Days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4.1</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Design System, Navigation &amp; Layout Shell</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AppShell, Sidebar, Header, Responsive breakpoints</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4 Days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4.2</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Dashboard &amp; KPI Analytics Module</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Recharts widgets, live activity stream, summary cards</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4 Days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4.3</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Employee &amp; Department Management UI</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Data grids, search/filter bars, edit/create drawers</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4 Days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4.4</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Attendance Tracking &amp; Manual Rectification</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Attendance log table, date pickers, supervisor modals</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4 Days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4.5</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Payroll Ledger &amp; Printable Payslip View</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Financial ledger table, printable payslip component</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4 Days</w:t>
            </w:r>
          </w:p>
        </w:tc>
      </w:tr>
      <w:t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5.0</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QR HARDWARE &amp; SCANNER ENGINE</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Html5Qrcode Engine, Camera Kiosk, Badge Studio</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8 Days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5.1</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Html5Qrcode Scanner Engine Integration</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Webcam video stream, targeting reticle, audio chime</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4 Days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5.2</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Vector QR Badge Generation &amp; Print Studio</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SVG QR generator, printable ID card layout engine</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4 Days</w:t>
            </w:r>
          </w:p>
        </w:tc>
      </w:tr>
      <w:t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6.0</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SYSTEM TESTING &amp; QA</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Unit Tests, Integration Tests, Security &amp; UAT Tests</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12 Days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6.1</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Unit &amp; Integration Test Suite</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16 automated test suites (Auth, Scan, Payroll, RBAC)</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4 Days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6.2</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Security Vulnerability &amp; Penetration Testing</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SQLi, XSS, rate-limit stress test, OWASP Top 10 audit</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4 Days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6.3</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User Acceptance Testing (UAT) with Stakeholders</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Completed UAT sign-off sheets, bug resolution log</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4 Days</w:t>
            </w:r>
          </w:p>
        </w:tc>
      </w:tr>
      <w:t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7.0</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DOCUMENTATION &amp; DISSERTATION</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Technical Manuals, Schema Docs, Academic Chapters</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14 Days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7.1</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System &amp; User Documentation Generation</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User Manual, Database Schema, Data Collection docs</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7 Days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7.2</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Final Dissertation Defense Preparation</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Academic dissertation manuscript, slide deck, demo scripts</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7 Days</w:t>
            </w:r>
          </w:p>
        </w:tc>
      </w:tr>
      <w:t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8.0</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DEPLOYMENT &amp; HANDOVER</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Production Deployment, Database Backups, Staff Training</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6 Days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8.1</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Server Provisioning &amp; Production Build</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Node.js system service, reverse proxy, SSL certificate</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3 Days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8.2</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Staff Training &amp; Operational Handover</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Admin training session, operational runbook, handover signoff</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3 Days</w:t>
            </w:r>
          </w:p>
        </w:tc>
      </w:tr>
    </w:tbl>
    <w:p>
      <w:pPr>
        <w:spacing w:before="200"/>
      </w:pPr>
    </w:p>
    <w:p>
      <w:pPr>
        <w:pStyle w:val="Heading1"/>
        <w:spacing w:after="180" w:before="360"/>
      </w:pPr>
      <w:r>
        <w:rPr>
          <w:rFonts w:ascii="Arial" w:cs="Arial" w:eastAsia="Arial" w:hAnsi="Arial"/>
          <w:b/>
          <w:bCs/>
          <w:color w:val="0F172A"/>
          <w:sz w:val="32"/>
          <w:szCs w:val="32"/>
        </w:rPr>
        <w:t xml:space="preserve">3. Chronological Gantt Chart &amp; Milestone Schedule</w:t>
      </w:r>
    </w:p>
    <w:p>
      <w:pPr>
        <w:spacing w:after="140" w:line="276"/>
      </w:pPr>
      <w:r>
        <w:rPr>
          <w:rFonts w:ascii="Arial" w:cs="Arial" w:eastAsia="Arial" w:hAnsi="Arial"/>
          <w:color w:val="1E293B"/>
          <w:sz w:val="22"/>
          <w:szCs w:val="22"/>
        </w:rPr>
        <w:t xml:space="preserve">The project timeline spans 16 continuous weeks (May 2026 to August 2026), structured across key project milestones:</w:t>
      </w:r>
    </w:p>
    <w:tbl>
      <w:tblPr>
        <w:tblW w:type="pct" w:w="100%"/>
        <w:tblBorders>
          <w:top w:val="single" w:color="CBD5E1" w:sz="4"/>
          <w:left w:val="thick" w:color="0284C7" w:sz="16"/>
          <w:bottom w:val="single" w:color="CBD5E1" w:sz="4"/>
          <w:right w:val="single" w:color="CBD5E1" w:sz="4"/>
          <w:insideH w:val="single" w:color="auto" w:sz="4"/>
          <w:insideV w:val="single" w:color="auto" w:sz="4"/>
        </w:tblBorders>
      </w:tblPr>
      <w:tblGrid>
        <w:gridCol w:w="100"/>
      </w:tblGrid>
      <w:tr>
        <w:tc>
          <w:tcPr>
            <w:shd w:fill="F8FAFC" w:val="clear"/>
            <w:tcMar>
              <w:top w:type="dxa" w:w="120"/>
              <w:left w:type="dxa" w:w="160"/>
              <w:bottom w:type="dxa" w:w="120"/>
              <w:right w:type="dxa" w:w="160"/>
            </w:tcMar>
          </w:tcPr>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PROJECT GANTT SCHEDULE (16 WEEKS IMPLEMENTATION TIMELINE)</w:t>
            </w:r>
          </w:p>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WBS Task / Phase                      | M1 | M2 | M3 | M4 | M5 | M6 | M7 | M8 | M9 |M10 |M11 |M12 |M13 |M14 |M15 |M16 | Status</w:t>
            </w:r>
          </w:p>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1.0 Inception &amp; Feasibility           |====|====|    |    |    |    |    |    |    |    |    |    |    |    |    |    | COMPLETED</w:t>
            </w:r>
          </w:p>
          <w:p>
            <w:pPr>
              <w:spacing w:after="20" w:line="220"/>
            </w:pPr>
            <w:r>
              <w:rPr>
                <w:rFonts w:ascii="Consolas" w:cs="Consolas" w:eastAsia="Consolas" w:hAnsi="Consolas"/>
                <w:color w:val="0F172A"/>
                <w:sz w:val="18"/>
                <w:szCs w:val="18"/>
              </w:rPr>
              <w:t xml:space="preserve">2.0 Requirements &amp; System Design      |    |    |====|====|====|    |    |    |    |    |    |    |    |    |    |    | COMPLETED</w:t>
            </w:r>
          </w:p>
          <w:p>
            <w:pPr>
              <w:spacing w:after="20" w:line="220"/>
            </w:pPr>
            <w:r>
              <w:rPr>
                <w:rFonts w:ascii="Consolas" w:cs="Consolas" w:eastAsia="Consolas" w:hAnsi="Consolas"/>
                <w:color w:val="0F172A"/>
                <w:sz w:val="18"/>
                <w:szCs w:val="18"/>
              </w:rPr>
              <w:t xml:space="preserve">3.0 Database &amp; Backend API Engine     |    |    |    |    |    |====|====|====|====|    |    |    |    |    |    |    | COMPLETED</w:t>
            </w:r>
          </w:p>
          <w:p>
            <w:pPr>
              <w:spacing w:after="20" w:line="220"/>
            </w:pPr>
            <w:r>
              <w:rPr>
                <w:rFonts w:ascii="Consolas" w:cs="Consolas" w:eastAsia="Consolas" w:hAnsi="Consolas"/>
                <w:color w:val="0F172A"/>
                <w:sz w:val="18"/>
                <w:szCs w:val="18"/>
              </w:rPr>
              <w:t xml:space="preserve">4.0 Frontend React 19 UI &amp; Modules    |    |    |    |    |    |    |    |====|====|====|====|    |    |    |    |    | COMPLETED</w:t>
            </w:r>
          </w:p>
          <w:p>
            <w:pPr>
              <w:spacing w:after="20" w:line="220"/>
            </w:pPr>
            <w:r>
              <w:rPr>
                <w:rFonts w:ascii="Consolas" w:cs="Consolas" w:eastAsia="Consolas" w:hAnsi="Consolas"/>
                <w:color w:val="0F172A"/>
                <w:sz w:val="18"/>
                <w:szCs w:val="18"/>
              </w:rPr>
              <w:t xml:space="preserve">5.0 QR Camera Kiosk &amp; Badge Engine    |    |    |    |    |    |    |    |    |    |====|====|    |    |    |    |    | COMPLETED</w:t>
            </w:r>
          </w:p>
          <w:p>
            <w:pPr>
              <w:spacing w:after="20" w:line="220"/>
            </w:pPr>
            <w:r>
              <w:rPr>
                <w:rFonts w:ascii="Consolas" w:cs="Consolas" w:eastAsia="Consolas" w:hAnsi="Consolas"/>
                <w:color w:val="0F172A"/>
                <w:sz w:val="18"/>
                <w:szCs w:val="18"/>
              </w:rPr>
              <w:t xml:space="preserve">6.0 Verification, QA &amp; Security Tests |    |    |    |    |    |    |    |    |    |    |    |====|====|    |    |    | COMPLETED</w:t>
            </w:r>
          </w:p>
          <w:p>
            <w:pPr>
              <w:spacing w:after="20" w:line="220"/>
            </w:pPr>
            <w:r>
              <w:rPr>
                <w:rFonts w:ascii="Consolas" w:cs="Consolas" w:eastAsia="Consolas" w:hAnsi="Consolas"/>
                <w:color w:val="0F172A"/>
                <w:sz w:val="18"/>
                <w:szCs w:val="18"/>
              </w:rPr>
              <w:t xml:space="preserve">7.0 Documentation &amp; Academic Suite    |    |    |    |    |    |    |    |    |    |    |    |    |    |====|====|    | COMPLETED</w:t>
            </w:r>
          </w:p>
          <w:p>
            <w:pPr>
              <w:spacing w:after="20" w:line="220"/>
            </w:pPr>
            <w:r>
              <w:rPr>
                <w:rFonts w:ascii="Consolas" w:cs="Consolas" w:eastAsia="Consolas" w:hAnsi="Consolas"/>
                <w:color w:val="0F172A"/>
                <w:sz w:val="18"/>
                <w:szCs w:val="18"/>
              </w:rPr>
              <w:t xml:space="preserve">8.0 Production Deployment &amp; Handover  |    |    |    |    |    |    |    |    |    |    |    |    |    |    |    |====| COMPLETED</w:t>
            </w:r>
          </w:p>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CRITICAL PATH MILESTONES:</w:t>
            </w:r>
          </w:p>
          <w:p>
            <w:pPr>
              <w:spacing w:after="20" w:line="220"/>
            </w:pPr>
            <w:r>
              <w:rPr>
                <w:rFonts w:ascii="Consolas" w:cs="Consolas" w:eastAsia="Consolas" w:hAnsi="Consolas"/>
                <w:color w:val="0F172A"/>
                <w:sz w:val="18"/>
                <w:szCs w:val="18"/>
              </w:rPr>
              <w:t xml:space="preserve">- Milestone M1 (End of Wk 2): Feasibility Approved &amp; Project Charter Baseline Established</w:t>
            </w:r>
          </w:p>
          <w:p>
            <w:pPr>
              <w:spacing w:after="20" w:line="220"/>
            </w:pPr>
            <w:r>
              <w:rPr>
                <w:rFonts w:ascii="Consolas" w:cs="Consolas" w:eastAsia="Consolas" w:hAnsi="Consolas"/>
                <w:color w:val="0F172A"/>
                <w:sz w:val="18"/>
                <w:szCs w:val="18"/>
              </w:rPr>
              <w:t xml:space="preserve">- Milestone M2 (End of Wk 5): Software Requirements Specification (SRS) &amp; Architecture Approved</w:t>
            </w:r>
          </w:p>
          <w:p>
            <w:pPr>
              <w:spacing w:after="20" w:line="220"/>
            </w:pPr>
            <w:r>
              <w:rPr>
                <w:rFonts w:ascii="Consolas" w:cs="Consolas" w:eastAsia="Consolas" w:hAnsi="Consolas"/>
                <w:color w:val="0F172A"/>
                <w:sz w:val="18"/>
                <w:szCs w:val="18"/>
              </w:rPr>
              <w:t xml:space="preserve">- Milestone M3 (End of Wk 9): Core Backend API &amp; Relational Database Operational</w:t>
            </w:r>
          </w:p>
          <w:p>
            <w:pPr>
              <w:spacing w:after="20" w:line="220"/>
            </w:pPr>
            <w:r>
              <w:rPr>
                <w:rFonts w:ascii="Consolas" w:cs="Consolas" w:eastAsia="Consolas" w:hAnsi="Consolas"/>
                <w:color w:val="0F172A"/>
                <w:sz w:val="18"/>
                <w:szCs w:val="18"/>
              </w:rPr>
              <w:t xml:space="preserve">- Milestone M4 (End of Wk 12): Full Frontend UI &amp; QR Scanner Kiosk Integration Complete</w:t>
            </w:r>
          </w:p>
          <w:p>
            <w:pPr>
              <w:spacing w:after="20" w:line="220"/>
            </w:pPr>
            <w:r>
              <w:rPr>
                <w:rFonts w:ascii="Consolas" w:cs="Consolas" w:eastAsia="Consolas" w:hAnsi="Consolas"/>
                <w:color w:val="0F172A"/>
                <w:sz w:val="18"/>
                <w:szCs w:val="18"/>
              </w:rPr>
              <w:t xml:space="preserve">- Milestone M5 (End of Wk 14): Security Testing, Unit Testing &amp; UAT Sign-off Achieved</w:t>
            </w:r>
          </w:p>
          <w:p>
            <w:pPr>
              <w:spacing w:after="20" w:line="220"/>
            </w:pPr>
            <w:r>
              <w:rPr>
                <w:rFonts w:ascii="Consolas" w:cs="Consolas" w:eastAsia="Consolas" w:hAnsi="Consolas"/>
                <w:color w:val="0F172A"/>
                <w:sz w:val="18"/>
                <w:szCs w:val="18"/>
              </w:rPr>
              <w:t xml:space="preserve">- Milestone M6 (End of Wk 16): Final Dissertation Submitted &amp; Production System Handed Over</w:t>
            </w:r>
          </w:p>
        </w:tc>
      </w:tr>
    </w:tbl>
    <w:p>
      <w:pPr>
        <w:spacing w:before="200"/>
      </w:pPr>
    </w:p>
    <w:p>
      <w:pPr>
        <w:pStyle w:val="Heading1"/>
        <w:spacing w:after="180" w:before="360"/>
      </w:pPr>
      <w:r>
        <w:rPr>
          <w:rFonts w:ascii="Arial" w:cs="Arial" w:eastAsia="Arial" w:hAnsi="Arial"/>
          <w:b/>
          <w:bCs/>
          <w:color w:val="0F172A"/>
          <w:sz w:val="32"/>
          <w:szCs w:val="32"/>
        </w:rPr>
        <w:t xml:space="preserve">4. Resource Allocation &amp; RACI Matrix</w:t>
      </w:r>
    </w:p>
    <w:p>
      <w:pPr>
        <w:spacing w:after="140" w:line="276"/>
      </w:pPr>
      <w:r>
        <w:rPr>
          <w:rFonts w:ascii="Arial" w:cs="Arial" w:eastAsia="Arial" w:hAnsi="Arial"/>
          <w:color w:val="1E293B"/>
          <w:sz w:val="22"/>
          <w:szCs w:val="22"/>
        </w:rPr>
        <w:t xml:space="preserve">Defines the roles, responsibilities, and accountability mapping across project deliverables (R = Responsible, A = Accountable, C = Consulted,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3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0F172A"/>
                <w:sz w:val="20"/>
                <w:szCs w:val="20"/>
              </w:rPr>
              <w:t xml:space="preserve">Project Deliverable</w:t>
            </w:r>
          </w:p>
        </w:tc>
        <w:tc>
          <w:tcPr>
            <w:tcW w:type="pct" w:w="14%"/>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0F172A"/>
                <w:sz w:val="20"/>
                <w:szCs w:val="20"/>
              </w:rPr>
              <w:t xml:space="preserve">Project Manager</w:t>
            </w:r>
          </w:p>
        </w:tc>
        <w:tc>
          <w:tcPr>
            <w:tcW w:type="pct" w:w="14%"/>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0F172A"/>
                <w:sz w:val="20"/>
                <w:szCs w:val="20"/>
              </w:rPr>
              <w:t xml:space="preserve">Lead Architect</w:t>
            </w:r>
          </w:p>
        </w:tc>
        <w:tc>
          <w:tcPr>
            <w:tcW w:type="pct" w:w="14%"/>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0F172A"/>
                <w:sz w:val="20"/>
                <w:szCs w:val="20"/>
              </w:rPr>
              <w:t xml:space="preserve">FullStack Dev</w:t>
            </w:r>
          </w:p>
        </w:tc>
        <w:tc>
          <w:tcPr>
            <w:tcW w:type="pct" w:w="14%"/>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0F172A"/>
                <w:sz w:val="20"/>
                <w:szCs w:val="20"/>
              </w:rPr>
              <w:t xml:space="preserve">QA Engineer</w:t>
            </w:r>
          </w:p>
        </w:tc>
        <w:tc>
          <w:tcPr>
            <w:tcW w:type="pct" w:w="14%"/>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0F172A"/>
                <w:sz w:val="20"/>
                <w:szCs w:val="20"/>
              </w:rPr>
              <w:t xml:space="preserve">HR Specialist</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Project Scope &amp; Charter</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A / R</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C</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I</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I</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C</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SRS &amp; UML Architecture</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A</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R</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C</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C</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C</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Database Schema &amp; Drizzle DDL</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I</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A / R</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R</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C</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I</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Backend REST API &amp; Auth</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I</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A</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R</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C</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I</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Frontend React UI &amp; Dashboard</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I</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C</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A / R</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C</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C</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QR Scanner &amp; Kiosk Engine</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I</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C</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A / R</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R</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I</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Payroll &amp; Tax Math Engine</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I</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A</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R</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R</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C</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Automated &amp; Security Tests</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A</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C</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C</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R</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I</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User Acceptance Testing (UAT)</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A</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C</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I</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R</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R</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Final System Handover</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A / R</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C</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I</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I</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C</w:t>
            </w:r>
          </w:p>
        </w:tc>
      </w:tr>
    </w:tbl>
    <w:p>
      <w:pPr>
        <w:spacing w:before="200"/>
      </w:pPr>
    </w:p>
    <w:p>
      <w:pPr>
        <w:pStyle w:val="Heading1"/>
        <w:spacing w:after="180" w:before="360"/>
      </w:pPr>
      <w:r>
        <w:rPr>
          <w:rFonts w:ascii="Arial" w:cs="Arial" w:eastAsia="Arial" w:hAnsi="Arial"/>
          <w:b/>
          <w:bCs/>
          <w:color w:val="0F172A"/>
          <w:sz w:val="32"/>
          <w:szCs w:val="32"/>
        </w:rPr>
        <w:t xml:space="preserve">5. Project Financial Cost Breakdown &amp; Budget</w:t>
      </w:r>
    </w:p>
    <w:p>
      <w:pPr>
        <w:spacing w:after="140" w:line="276"/>
      </w:pPr>
      <w:r>
        <w:rPr>
          <w:rFonts w:ascii="Arial" w:cs="Arial" w:eastAsia="Arial" w:hAnsi="Arial"/>
          <w:color w:val="1E293B"/>
          <w:sz w:val="22"/>
          <w:szCs w:val="22"/>
        </w:rPr>
        <w:t xml:space="preserve">The comprehensive budget estimate for the development, infrastructure, testing hardware, and deployment of the Smart Employee Attendance and Payroll Management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4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0F172A"/>
                <w:sz w:val="20"/>
                <w:szCs w:val="20"/>
              </w:rPr>
              <w:t xml:space="preserve">Cost Category / Item</w:t>
            </w:r>
          </w:p>
        </w:tc>
        <w:tc>
          <w:tcPr>
            <w:tcW w:type="pct" w:w="3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0F172A"/>
                <w:sz w:val="20"/>
                <w:szCs w:val="20"/>
              </w:rPr>
              <w:t xml:space="preserve">Item Details &amp; Specifications</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0F172A"/>
                <w:sz w:val="20"/>
                <w:szCs w:val="20"/>
              </w:rPr>
              <w:t xml:space="preserve">Subtotal (USD)</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0F172A"/>
                <w:sz w:val="20"/>
                <w:szCs w:val="20"/>
              </w:rPr>
              <w:t xml:space="preserve">Subtotal (NLe)</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1. Hardware &amp; Kiosk Infrastructure</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2x Dedicated Tablet Kiosks, Camera Mounts, Barcode Readers</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$ 850.00</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NLe 19,550.00</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2. Cloud Server &amp; DB Hosting</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Production VPS (4 vCPU, 8GB RAM, SSD), Domain &amp; TLS</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$ 420.00</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NLe 9,660.00</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3. Software Development &amp; Engineering</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System architecture, fullstack coding, UI design, API integration</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$ 3,200.00</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NLe 73,600.00</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4. Quality Assurance &amp; Security Audit</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Vulnerability scanning, automated testing suite, load testing</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$ 650.00</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NLe 14,950.00</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5. Documentation &amp; Training</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Printable user manuals, ID badge cardstock, staff workshops</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$ 380.00</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NLe 8,740.00</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6. Project Contingency Reserve (10%)</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Unforeseen hardware adjustments, network contingencies</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$ 550.00</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NLe 12,650.00</w:t>
            </w:r>
          </w:p>
        </w:tc>
      </w:tr>
      <w:t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TOTAL ESTIMATED PROJECT BUDGET</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Complete 16-Week Production Delivery</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$ 6,050.00</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1E293B"/>
                <w:sz w:val="19"/>
                <w:szCs w:val="19"/>
              </w:rPr>
              <w:t xml:space="preserve">NLe 139,150.00</w:t>
            </w:r>
          </w:p>
        </w:tc>
      </w:tr>
    </w:tbl>
    <w:p>
      <w:pPr>
        <w:spacing w:before="200"/>
      </w:pPr>
    </w:p>
    <w:p>
      <w:pPr>
        <w:pStyle w:val="Heading1"/>
        <w:spacing w:after="180" w:before="360"/>
      </w:pPr>
      <w:r>
        <w:rPr>
          <w:rFonts w:ascii="Arial" w:cs="Arial" w:eastAsia="Arial" w:hAnsi="Arial"/>
          <w:b/>
          <w:bCs/>
          <w:color w:val="0F172A"/>
          <w:sz w:val="32"/>
          <w:szCs w:val="32"/>
        </w:rPr>
        <w:t xml:space="preserve">6. Risk Management &amp; Mitigation Matrix</w:t>
      </w:r>
    </w:p>
    <w:p>
      <w:pPr>
        <w:spacing w:after="140" w:line="276"/>
      </w:pPr>
      <w:r>
        <w:rPr>
          <w:rFonts w:ascii="Arial" w:cs="Arial" w:eastAsia="Arial" w:hAnsi="Arial"/>
          <w:color w:val="1E293B"/>
          <w:sz w:val="22"/>
          <w:szCs w:val="22"/>
        </w:rPr>
        <w:t xml:space="preserve">Systematic identification, impact assessment, and mitigation protocols for project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0F172A"/>
                <w:sz w:val="20"/>
                <w:szCs w:val="20"/>
              </w:rPr>
              <w:t xml:space="preserve">Risk Description</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0F172A"/>
                <w:sz w:val="20"/>
                <w:szCs w:val="20"/>
              </w:rPr>
              <w:t xml:space="preserve">Category</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0F172A"/>
                <w:sz w:val="20"/>
                <w:szCs w:val="20"/>
              </w:rPr>
              <w:t xml:space="preserve">Probability / Impact</w:t>
            </w:r>
          </w:p>
        </w:tc>
        <w:tc>
          <w:tcPr>
            <w:tcW w:type="pct" w:w="2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0F172A"/>
                <w:sz w:val="20"/>
                <w:szCs w:val="20"/>
              </w:rPr>
              <w:t xml:space="preserve">Mitigation Strategy</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0F172A"/>
                <w:sz w:val="20"/>
                <w:szCs w:val="20"/>
              </w:rPr>
              <w:t xml:space="preserve">Contingency Plan</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R-01: Poor Camera Lighting at Kiosk</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Hardware / UX</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Medium / Moderate</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Add dynamic software contrast enhancement and auxiliary LED illumination.</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Manual supervisor override in UI with reason code.</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R-02: QR Code Screenshot Proxy Sharing</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Security</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Low / High</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Include time-based cryptographic salts in QR payload and verify Kiosk IP.</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Audit flag on multiple scans within 60 seconds.</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R-03: Statutory Tax Law Formula Changes</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Regulatory</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Low / High</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Parameterize tax brackets and NASSIT rates in dynamic systemSettings table.</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Admin updates settings via UI without code redeployment.</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R-04: Network Connectivity Downtime</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Infrastructure</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Medium / High</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Deploy local offline-capable Progressive Web App service worker cache.</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Local storage queuing and automatic batch sync when online.</w:t>
            </w:r>
          </w:p>
        </w:tc>
      </w:tr>
      <w:tr>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R-05: High Concurrency Morning Clock-in Spikes</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Performance</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Medium / Moderate</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In-memory caching and optimized non-blocking SQL indexing on employee code.</w:t>
            </w:r>
          </w:p>
        </w:tc>
        <w:tc>
          <w:tcPr>
            <w:tcW w:type="pct" w:w="2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Multiple kiosk terminals distributing entrance load.</w:t>
            </w:r>
          </w:p>
        </w:tc>
      </w:tr>
    </w:tbl>
    <w:p>
      <w:pPr>
        <w:spacing w:before="200"/>
      </w:pPr>
    </w:p>
    <w:p>
      <w:pPr>
        <w:pStyle w:val="Heading1"/>
        <w:spacing w:after="180" w:before="360"/>
      </w:pPr>
      <w:r>
        <w:rPr>
          <w:rFonts w:ascii="Arial" w:cs="Arial" w:eastAsia="Arial" w:hAnsi="Arial"/>
          <w:b/>
          <w:bCs/>
          <w:color w:val="0F172A"/>
          <w:sz w:val="32"/>
          <w:szCs w:val="32"/>
        </w:rPr>
        <w:t xml:space="preserve">7. Quality Assurance, Monitoring &amp; Acceptance Sign-Off</w:t>
      </w:r>
    </w:p>
    <w:p>
      <w:pPr>
        <w:spacing w:after="140" w:line="276"/>
      </w:pPr>
      <w:r>
        <w:rPr>
          <w:rFonts w:ascii="Arial" w:cs="Arial" w:eastAsia="Arial" w:hAnsi="Arial"/>
          <w:color w:val="1E293B"/>
          <w:sz w:val="22"/>
          <w:szCs w:val="22"/>
        </w:rPr>
        <w:t xml:space="preserve">The project incorporates four strict Quality Gates that must be fulfilled before final operational commissioning:</w:t>
      </w:r>
    </w:p>
    <w:p>
      <w:pPr>
        <w:pStyle w:val="ListParagraph"/>
        <w:numPr>
          <w:ilvl w:val="0"/>
          <w:numId w:val="1"/>
        </w:numPr>
        <w:spacing w:after="100"/>
      </w:pPr>
      <w:r>
        <w:rPr>
          <w:rFonts w:ascii="Arial" w:cs="Arial" w:eastAsia="Arial" w:hAnsi="Arial"/>
          <w:b/>
          <w:bCs/>
          <w:color w:val="0F172A"/>
          <w:sz w:val="22"/>
          <w:szCs w:val="22"/>
        </w:rPr>
        <w:t xml:space="preserve">Quality Gate 1 (Code Quality): </w:t>
      </w:r>
      <w:r>
        <w:rPr>
          <w:rFonts w:ascii="Arial" w:cs="Arial" w:eastAsia="Arial" w:hAnsi="Arial"/>
          <w:color w:val="1E293B"/>
          <w:sz w:val="22"/>
          <w:szCs w:val="22"/>
        </w:rPr>
        <w:t xml:space="preserve">Static code analysis passing with zero high/critical lint errors; unit test coverage &gt;= 85%.</w:t>
      </w:r>
    </w:p>
    <w:p>
      <w:pPr>
        <w:pStyle w:val="ListParagraph"/>
        <w:numPr>
          <w:ilvl w:val="0"/>
          <w:numId w:val="1"/>
        </w:numPr>
        <w:spacing w:after="100"/>
      </w:pPr>
      <w:r>
        <w:rPr>
          <w:rFonts w:ascii="Arial" w:cs="Arial" w:eastAsia="Arial" w:hAnsi="Arial"/>
          <w:b/>
          <w:bCs/>
          <w:color w:val="0F172A"/>
          <w:sz w:val="22"/>
          <w:szCs w:val="22"/>
        </w:rPr>
        <w:t xml:space="preserve">Quality Gate 2 (Performance): </w:t>
      </w:r>
      <w:r>
        <w:rPr>
          <w:rFonts w:ascii="Arial" w:cs="Arial" w:eastAsia="Arial" w:hAnsi="Arial"/>
          <w:color w:val="1E293B"/>
          <w:sz w:val="22"/>
          <w:szCs w:val="22"/>
        </w:rPr>
        <w:t xml:space="preserve">Automated load test simulating 50 concurrent scans/minute without HTTP 500 error or degradation &gt;500ms.</w:t>
      </w:r>
    </w:p>
    <w:p>
      <w:pPr>
        <w:pStyle w:val="ListParagraph"/>
        <w:numPr>
          <w:ilvl w:val="0"/>
          <w:numId w:val="1"/>
        </w:numPr>
        <w:spacing w:after="100"/>
      </w:pPr>
      <w:r>
        <w:rPr>
          <w:rFonts w:ascii="Arial" w:cs="Arial" w:eastAsia="Arial" w:hAnsi="Arial"/>
          <w:b/>
          <w:bCs/>
          <w:color w:val="0F172A"/>
          <w:sz w:val="22"/>
          <w:szCs w:val="22"/>
        </w:rPr>
        <w:t xml:space="preserve">Quality Gate 3 (Security): </w:t>
      </w:r>
      <w:r>
        <w:rPr>
          <w:rFonts w:ascii="Arial" w:cs="Arial" w:eastAsia="Arial" w:hAnsi="Arial"/>
          <w:color w:val="1E293B"/>
          <w:sz w:val="22"/>
          <w:szCs w:val="22"/>
        </w:rPr>
        <w:t xml:space="preserve">Zero vulnerabilities detected on OWASP Top 10 vulnerability checks; rate-limiter verified.</w:t>
      </w:r>
    </w:p>
    <w:p>
      <w:pPr>
        <w:pStyle w:val="ListParagraph"/>
        <w:numPr>
          <w:ilvl w:val="0"/>
          <w:numId w:val="1"/>
        </w:numPr>
        <w:spacing w:after="100"/>
      </w:pPr>
      <w:r>
        <w:rPr>
          <w:rFonts w:ascii="Arial" w:cs="Arial" w:eastAsia="Arial" w:hAnsi="Arial"/>
          <w:b/>
          <w:bCs/>
          <w:color w:val="0F172A"/>
          <w:sz w:val="22"/>
          <w:szCs w:val="22"/>
        </w:rPr>
        <w:t xml:space="preserve">Quality Gate 4 (Stakeholder Acceptance): </w:t>
      </w:r>
      <w:r>
        <w:rPr>
          <w:rFonts w:ascii="Arial" w:cs="Arial" w:eastAsia="Arial" w:hAnsi="Arial"/>
          <w:color w:val="1E293B"/>
          <w:sz w:val="22"/>
          <w:szCs w:val="22"/>
        </w:rPr>
        <w:t xml:space="preserve">Formal sign-off by HR and Finance representatives across 10 core UAT test scenarios.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2026-08-31T13:42:00.442Z</dcterms:created>
  <dcterms:modified xsi:type="dcterms:W3CDTF">2026-08-31T13:42:00.442Z</dcterms:modified>
</cp:coreProperties>
</file>

<file path=docProps/custom.xml><?xml version="1.0" encoding="utf-8"?>
<Properties xmlns="http://schemas.openxmlformats.org/officeDocument/2006/custom-properties" xmlns:vt="http://schemas.openxmlformats.org/officeDocument/2006/docPropsVTypes"/>
</file>