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3A8A"/>
          <w:sz w:val="20"/>
          <w:szCs w:val="20"/>
        </w:rPr>
        <w:t xml:space="preserve">FINAL YEAR DISSERTATION TECHNICAL SPECIFICATION &amp; COMPENDIUM</w:t>
      </w:r>
    </w:p>
    <w:p>
      <w:pPr>
        <w:spacing w:after="120" w:before="200"/>
        <w:jc w:val="center"/>
      </w:pPr>
      <w:r>
        <w:rPr>
          <w:rFonts w:ascii="Arial" w:cs="Arial" w:eastAsia="Arial" w:hAnsi="Arial"/>
          <w:b/>
          <w:bCs/>
          <w:color w:val="0F172A"/>
          <w:sz w:val="30"/>
          <w:szCs w:val="30"/>
        </w:rPr>
        <w:t xml:space="preserve">Smart Employee Attendance &amp; Payroll Management System</w:t>
      </w:r>
    </w:p>
    <w:p>
      <w:pPr>
        <w:spacing w:after="180"/>
        <w:jc w:val="center"/>
      </w:pPr>
      <w:r>
        <w:rPr>
          <w:rFonts w:ascii="Arial" w:cs="Arial" w:eastAsia="Arial" w:hAnsi="Arial"/>
          <w:i/>
          <w:iCs/>
          <w:color w:val="2563EB"/>
          <w:sz w:val="21"/>
          <w:szCs w:val="21"/>
        </w:rPr>
        <w:t xml:space="preserve">Apex AI Assistant, Multi-Channel Notifications, 38 PostgreSQL Database Constraints, and Mobile Responsive PWA Architecture</w:t>
      </w:r>
    </w:p>
    <w:p>
      <w:pPr>
        <w:spacing w:after="260"/>
        <w:jc w:val="center"/>
      </w:pPr>
      <w:r>
        <w:rPr>
          <w:rFonts w:ascii="Arial" w:cs="Arial" w:eastAsia="Arial" w:hAnsi="Arial"/>
          <w:b/>
          <w:bCs/>
          <w:color w:val="475569"/>
          <w:sz w:val="18"/>
          <w:szCs w:val="18"/>
        </w:rPr>
        <w:t xml:space="preserve">Candidate: OSMAN A MANSARAY  |  Academic Year: 2025/2026  |  System Version: 2.4.0 Enterprise</w:t>
      </w:r>
    </w:p>
    <w:p>
      <w:pPr>
        <w:pBdr>
          <w:bottom w:val="single" w:color="1E3A8A" w:sz="16"/>
        </w:pBdr>
        <w:spacing w:after="260"/>
      </w:pPr>
    </w:p>
    <w:p>
      <w:pPr>
        <w:pStyle w:val="Heading2"/>
        <w:spacing w:after="100" w:before="260"/>
      </w:pPr>
      <w:r>
        <w:rPr>
          <w:rFonts w:ascii="Arial" w:cs="Arial" w:eastAsia="Arial" w:hAnsi="Arial"/>
          <w:b/>
          <w:bCs/>
          <w:color w:val="2563EB"/>
          <w:sz w:val="22"/>
          <w:szCs w:val="22"/>
        </w:rPr>
        <w:t xml:space="preserve">Document Organization &amp; Dissertation Chapter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Chapter Reference</w:t>
            </w:r>
          </w:p>
        </w:tc>
        <w:tc>
          <w:tcPr>
            <w:tcW w:type="dxa" w:w="26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Subsystem Documented</w:t>
            </w:r>
          </w:p>
        </w:tc>
        <w:tc>
          <w:tcPr>
            <w:tcW w:type="dxa" w:w="456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Key Technical Focus Areas</w:t>
            </w:r>
          </w:p>
        </w:tc>
      </w:tr>
      <w:tr>
        <w:tc>
          <w:tcPr>
            <w:tcW w:type="dxa" w:w="2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Executive Summary</w:t>
            </w:r>
          </w:p>
        </w:tc>
        <w:tc>
          <w:tcPr>
            <w:tcW w:type="dxa" w:w="2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System Scope &amp; Context</w:t>
            </w:r>
          </w:p>
        </w:tc>
        <w:tc>
          <w:tcPr>
            <w:tcW w:type="dxa" w:w="45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Enterprise problem formulation, manual payroll risks, research objectives</w:t>
            </w:r>
          </w:p>
        </w:tc>
      </w:tr>
      <w:tr>
        <w:tc>
          <w:tcPr>
            <w:tcW w:type="dxa" w:w="2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Chapter 3 Addition</w:t>
            </w:r>
          </w:p>
        </w:tc>
        <w:tc>
          <w:tcPr>
            <w:tcW w:type="dxa" w:w="2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System Architecture &amp; Design</w:t>
            </w:r>
          </w:p>
        </w:tc>
        <w:tc>
          <w:tcPr>
            <w:tcW w:type="dxa" w:w="45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Multi-tier topology, 5-tier RBAC matrix, JWT token security, zero-trust IDOR defense</w:t>
            </w:r>
          </w:p>
        </w:tc>
      </w:tr>
      <w:tr>
        <w:tc>
          <w:tcPr>
            <w:tcW w:type="dxa" w:w="2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Chapter 4.1 Addition</w:t>
            </w:r>
          </w:p>
        </w:tc>
        <w:tc>
          <w:tcPr>
            <w:tcW w:type="dxa" w:w="2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Apex AI Copilot &amp; Engine</w:t>
            </w:r>
          </w:p>
        </w:tc>
        <w:tc>
          <w:tcPr>
            <w:tcW w:type="dxa" w:w="45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Tri-provider fallback cascade, 12 sandboxed tools, RAG Sierra Leone NASSIT/PAYE, 10 automations</w:t>
            </w:r>
          </w:p>
        </w:tc>
      </w:tr>
      <w:tr>
        <w:tc>
          <w:tcPr>
            <w:tcW w:type="dxa" w:w="2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Chapter 4.2 Addition</w:t>
            </w:r>
          </w:p>
        </w:tc>
        <w:tc>
          <w:tcPr>
            <w:tcW w:type="dxa" w:w="2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Enterprise Notifications</w:t>
            </w:r>
          </w:p>
        </w:tc>
        <w:tc>
          <w:tcPr>
            <w:tcW w:type="dxa" w:w="45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Multi-channel dispatch (In-App, Email, WA, SMS), priority queue, exponential backoff, salary privacy</w:t>
            </w:r>
          </w:p>
        </w:tc>
      </w:tr>
      <w:tr>
        <w:tc>
          <w:tcPr>
            <w:tcW w:type="dxa" w:w="2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Chapter 4.3 Addition</w:t>
            </w:r>
          </w:p>
        </w:tc>
        <w:tc>
          <w:tcPr>
            <w:tcW w:type="dxa" w:w="2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Multi-Layer Validation</w:t>
            </w:r>
          </w:p>
        </w:tc>
        <w:tc>
          <w:tcPr>
            <w:tcW w:type="dxa" w:w="45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Dual-tier defense, 38 PostgreSQL CHECK constraints, service interception, 100% database audit</w:t>
            </w:r>
          </w:p>
        </w:tc>
      </w:tr>
      <w:tr>
        <w:tc>
          <w:tcPr>
            <w:tcW w:type="dxa" w:w="2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Chapter 4.4 Addition</w:t>
            </w:r>
          </w:p>
        </w:tc>
        <w:tc>
          <w:tcPr>
            <w:tcW w:type="dxa" w:w="2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Mobile Usability &amp; PWA</w:t>
            </w:r>
          </w:p>
        </w:tc>
        <w:tc>
          <w:tcPr>
            <w:tcW w:type="dxa" w:w="45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Fluid responsive layout, slide-out drawer nav, WCAG 2.1 44px targets, table-to-card transformation</w:t>
            </w:r>
          </w:p>
        </w:tc>
      </w:tr>
      <w:tr>
        <w:tc>
          <w:tcPr>
            <w:tcW w:type="dxa" w:w="2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Chapter 4.5 Addition</w:t>
            </w:r>
          </w:p>
        </w:tc>
        <w:tc>
          <w:tcPr>
            <w:tcW w:type="dxa" w:w="2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QR Attendance &amp; Geofencing</w:t>
            </w:r>
          </w:p>
        </w:tc>
        <w:tc>
          <w:tcPr>
            <w:tcW w:type="dxa" w:w="45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Dynamic HMAC-SHA256 QR tokens, spherical Haversine geofencing math, offline batch sync</w:t>
            </w:r>
          </w:p>
        </w:tc>
      </w:tr>
      <w:tr>
        <w:tc>
          <w:tcPr>
            <w:tcW w:type="dxa" w:w="2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Chapter 5 Addition</w:t>
            </w:r>
          </w:p>
        </w:tc>
        <w:tc>
          <w:tcPr>
            <w:tcW w:type="dxa" w:w="2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QA, Testing &amp; Defense Guide</w:t>
            </w:r>
          </w:p>
        </w:tc>
        <w:tc>
          <w:tcPr>
            <w:tcW w:type="dxa" w:w="45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221 automated tests (100% pass), latency benchmarks, OWASP Top 10 audit, Viva Q&amp;A defense</w:t>
            </w:r>
          </w:p>
        </w:tc>
      </w:tr>
    </w:tbl>
    <w:p>
      <w:pPr>
        <w:pStyle w:val="Heading1"/>
        <w:pBdr>
          <w:bottom w:val="single" w:color="1E3A8A" w:sz="10"/>
        </w:pBdr>
        <w:spacing w:after="140" w:before="380"/>
      </w:pPr>
      <w:r>
        <w:rPr>
          <w:rFonts w:ascii="Arial" w:cs="Arial" w:eastAsia="Arial" w:hAnsi="Arial"/>
          <w:b/>
          <w:bCs/>
          <w:color w:val="1E3A8A"/>
          <w:sz w:val="26"/>
          <w:szCs w:val="26"/>
        </w:rPr>
        <w:t xml:space="preserve">1. Executive Summary &amp; Research Scope</w:t>
      </w:r>
    </w:p>
    <w:p>
      <w:pPr>
        <w:spacing w:after="120" w:line="276"/>
      </w:pPr>
      <w:r>
        <w:rPr>
          <w:rFonts w:ascii="Arial" w:cs="Arial" w:eastAsia="Arial" w:hAnsi="Arial"/>
          <w:color w:val="334155"/>
          <w:sz w:val="20"/>
          <w:szCs w:val="20"/>
        </w:rPr>
        <w:t xml:space="preserve">Modern corporate human resource management demands real-time data integrity, automated compliance enforcement, fluid cross-device accessibility, and intelligent decision-support capabilities. Traditional enterprise HR and payroll management systems frequently suffer from data corruption due to unconstrained database inputs, proxy attendance fraud ("buddy punching"), complex manual payroll computations prone to human error, and fragmented communication channels.</w:t>
      </w:r>
    </w:p>
    <w:p>
      <w:pPr>
        <w:spacing w:after="120" w:line="276"/>
      </w:pPr>
      <w:r>
        <w:rPr>
          <w:rFonts w:ascii="Arial" w:cs="Arial" w:eastAsia="Arial" w:hAnsi="Arial"/>
          <w:color w:val="334155"/>
          <w:sz w:val="20"/>
          <w:szCs w:val="20"/>
        </w:rPr>
        <w:t xml:space="preserve">This dissertation technical document details the engineering design, algorithmic formulations, security frameworks, and empirical evaluation of the advanced subsystems integrated into the Apex Smart Employee Attendance &amp; Payroll Management System. Developed as an enterprise-grade academic project, the system combines cutting-edge web technologies—React 19, TypeScript, Node.js Express, Drizzle ORM, and PostgreSQL 18—with an intelligent artificial intelligence orchestration layer.</w:t>
      </w:r>
    </w:p>
    <w:p>
      <w:pPr>
        <w:pStyle w:val="Heading1"/>
        <w:pBdr>
          <w:bottom w:val="single" w:color="1E3A8A" w:sz="10"/>
        </w:pBdr>
        <w:spacing w:after="140" w:before="380"/>
      </w:pPr>
      <w:r>
        <w:rPr>
          <w:rFonts w:ascii="Arial" w:cs="Arial" w:eastAsia="Arial" w:hAnsi="Arial"/>
          <w:b/>
          <w:bCs/>
          <w:color w:val="1E3A8A"/>
          <w:sz w:val="26"/>
          <w:szCs w:val="26"/>
        </w:rPr>
        <w:t xml:space="preserve">2. System Architecture &amp; Integrated Design (Chapter 3)</w:t>
      </w:r>
    </w:p>
    <w:p>
      <w:pPr>
        <w:pStyle w:val="Heading2"/>
        <w:spacing w:after="100" w:before="260"/>
      </w:pPr>
      <w:r>
        <w:rPr>
          <w:rFonts w:ascii="Arial" w:cs="Arial" w:eastAsia="Arial" w:hAnsi="Arial"/>
          <w:b/>
          <w:bCs/>
          <w:color w:val="2563EB"/>
          <w:sz w:val="22"/>
          <w:szCs w:val="22"/>
        </w:rPr>
        <w:t xml:space="preserve">2.1 Multi-Tier Decoupled Topology</w:t>
      </w:r>
    </w:p>
    <w:p>
      <w:pPr>
        <w:spacing w:after="120" w:line="276"/>
      </w:pPr>
      <w:r>
        <w:rPr>
          <w:rFonts w:ascii="Arial" w:cs="Arial" w:eastAsia="Arial" w:hAnsi="Arial"/>
          <w:color w:val="334155"/>
          <w:sz w:val="20"/>
          <w:szCs w:val="20"/>
        </w:rPr>
        <w:t xml:space="preserve">The system follows a multi-tier decoupled architectural topology ensuring high maintainability, testability, and horizontal scalability. Presentation is delivered through an interactive Single Page Application (SPA) powered by React 19, Tailwind CSS 4, and Motion micro-interactions. The backend is orchestrated via a RESTful API built on Node.js 22 LTS with strict TypeScript compilation. Persistence is handled by an enterprise PostgreSQL 18 relational engine.</w:t>
      </w:r>
    </w:p>
    <w:p>
      <w:pPr>
        <w:pBdr>
          <w:top w:val="single" w:color="CBD5E1" w:sz="6"/>
          <w:bottom w:val="single" w:color="CBD5E1" w:sz="6"/>
          <w:left w:val="single" w:color="CBD5E1" w:sz="6"/>
          <w:right w:val="single" w:color="CBD5E1" w:sz="6"/>
        </w:pBdr>
        <w:shd w:fill="F1F5F9" w:val="clear"/>
        <w:spacing w:after="120" w:before="100"/>
        <w:ind w:left="160" w:right="160"/>
      </w:pPr>
      <w:r>
        <w:rPr>
          <w:rFonts w:ascii="Consolas" w:cs="Consolas" w:eastAsia="Consolas" w:hAnsi="Consolas"/>
          <w:color w:val="0F172A"/>
          <w:sz w:val="16"/>
          <w:szCs w:val="16"/>
        </w:rPr>
        <w:t xml:space="preserve">┌─────────────────────────────────────────────────────────────┐
│                  REACT 19 FRONTEND CLIENT                   │
│  Tailwind CSS 4 • Motion • Recharts • Mobile Nav Drawer     │
└──────────────────────────────┬──────────────────────────────┘
                               │ HTTPS / REST (JWT Auth)
┌──────────────────────────────▼──────────────────────────────┐
│                  NODE.JS / EXPRESS BACKEND                  │
│  JWT Middleware • Validation Engine • AI Orchestrator       │
│  Payroll Compute (NASSIT/PAYE) • Multi-Channel Queue        │
└───────────────┬──────────────────────────────┬──────────────┘
                │ SQL Pool (Drizzle ORM)       │ Encrypted API
┌───────────────▼──────────────┐ ┌─────────────▼──────────────┐
│     POSTGRESQL 18 DATABASE   │ │   EXTERNAL AI CLOUD (LLM)  │
│  • 12 Relational Tables      │ │  • Google Gemini 2.5 Flash │
│  • 38 SQL CHECK Constraints  │ │  • Groq LLaMA 3.3 70B      │
│  • Foreign Keys with Cascade │ │  • Air-Gapped Local Engine │
└──────────────────────────────┘ └────────────────────────────┘</w:t>
      </w:r>
    </w:p>
    <w:p>
      <w:pPr>
        <w:pStyle w:val="Heading2"/>
        <w:spacing w:after="100" w:before="260"/>
      </w:pPr>
      <w:r>
        <w:rPr>
          <w:rFonts w:ascii="Arial" w:cs="Arial" w:eastAsia="Arial" w:hAnsi="Arial"/>
          <w:b/>
          <w:bCs/>
          <w:color w:val="2563EB"/>
          <w:sz w:val="22"/>
          <w:szCs w:val="22"/>
        </w:rPr>
        <w:t xml:space="preserve">2.2 Role-Based Access Control (RBAC) Privilege Matrix</w:t>
      </w:r>
    </w:p>
    <w:p>
      <w:pPr>
        <w:spacing w:after="120" w:line="276"/>
      </w:pPr>
      <w:r>
        <w:rPr>
          <w:rFonts w:ascii="Arial" w:cs="Arial" w:eastAsia="Arial" w:hAnsi="Arial"/>
          <w:color w:val="334155"/>
          <w:sz w:val="20"/>
          <w:szCs w:val="20"/>
        </w:rPr>
        <w:t xml:space="preserve">The platform enforces a strict zero-trust principle across five designated corporate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30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System Module / Action</w:t>
            </w:r>
          </w:p>
        </w:tc>
        <w:tc>
          <w:tcPr>
            <w:tcW w:type="dxa" w:w="1272"/>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Admin</w:t>
            </w:r>
          </w:p>
        </w:tc>
        <w:tc>
          <w:tcPr>
            <w:tcW w:type="dxa" w:w="1272"/>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HR Officer</w:t>
            </w:r>
          </w:p>
        </w:tc>
        <w:tc>
          <w:tcPr>
            <w:tcW w:type="dxa" w:w="1272"/>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Payroll Officer</w:t>
            </w:r>
          </w:p>
        </w:tc>
        <w:tc>
          <w:tcPr>
            <w:tcW w:type="dxa" w:w="1272"/>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Manager</w:t>
            </w:r>
          </w:p>
        </w:tc>
        <w:tc>
          <w:tcPr>
            <w:tcW w:type="dxa" w:w="1272"/>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Employee</w:t>
            </w:r>
          </w:p>
        </w:tc>
      </w:tr>
      <w:tr>
        <w:tc>
          <w:tcPr>
            <w:tcW w:type="dxa" w:w="30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User Account Provisioning</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Full CRUD</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View Only</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None</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None</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None</w:t>
            </w:r>
          </w:p>
        </w:tc>
      </w:tr>
      <w:tr>
        <w:tc>
          <w:tcPr>
            <w:tcW w:type="dxa" w:w="30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Employee Profiles &amp; Onboarding</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Full CRUD</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Full CRUD</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View Only</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Dept View</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Self Profile</w:t>
            </w:r>
          </w:p>
        </w:tc>
      </w:tr>
      <w:tr>
        <w:tc>
          <w:tcPr>
            <w:tcW w:type="dxa" w:w="30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Shift &amp; Dept Configuration</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Full CRUD</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Full CRUD</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None</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Assigned View</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Assigned View</w:t>
            </w:r>
          </w:p>
        </w:tc>
      </w:tr>
      <w:tr>
        <w:tc>
          <w:tcPr>
            <w:tcW w:type="dxa" w:w="30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Attendance Punching &amp; Scanner</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Hardware/Test</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View All</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View All</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Dept View</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Self QR Scan</w:t>
            </w:r>
          </w:p>
        </w:tc>
      </w:tr>
      <w:tr>
        <w:tc>
          <w:tcPr>
            <w:tcW w:type="dxa" w:w="30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Leave Requests &amp; Entitlements</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Final Override</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Approve/Reject</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View Approved</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Endorse</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Apply/View</w:t>
            </w:r>
          </w:p>
        </w:tc>
      </w:tr>
      <w:tr>
        <w:tc>
          <w:tcPr>
            <w:tcW w:type="dxa" w:w="30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Overtime Reviews &amp; Approvals</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Full Admin</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Review Hours</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Compute Payout</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Dept Endorse</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View Own</w:t>
            </w:r>
          </w:p>
        </w:tc>
      </w:tr>
      <w:tr>
        <w:tc>
          <w:tcPr>
            <w:tcW w:type="dxa" w:w="30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Payroll Generation &amp; Lockdown</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Approve/Lock</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View Summary</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Full Compute</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Dept Total</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View Payslip</w:t>
            </w:r>
          </w:p>
        </w:tc>
      </w:tr>
      <w:tr>
        <w:tc>
          <w:tcPr>
            <w:tcW w:type="dxa" w:w="30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Multi-Channel Notifications</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System-Wide</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Dept/Staff</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Payslip Slips</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Team Alerts</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Inbox View</w:t>
            </w:r>
          </w:p>
        </w:tc>
      </w:tr>
      <w:tr>
        <w:tc>
          <w:tcPr>
            <w:tcW w:type="dxa" w:w="30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AI Copilot: Analytics Queries</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Full Scope</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Staff/Leaves</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Compensation</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Dept Summary</w:t>
            </w:r>
          </w:p>
        </w:tc>
        <w:tc>
          <w:tcPr>
            <w:tcW w:type="dxa" w:w="1272"/>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Personal Only</w:t>
            </w:r>
          </w:p>
        </w:tc>
      </w:tr>
      <w:tr>
        <w:tc>
          <w:tcPr>
            <w:tcW w:type="dxa" w:w="30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Audit Logs &amp; System Settings</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Full Control</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None</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None</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None</w:t>
            </w:r>
          </w:p>
        </w:tc>
        <w:tc>
          <w:tcPr>
            <w:tcW w:type="dxa" w:w="1272"/>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None</w:t>
            </w:r>
          </w:p>
        </w:tc>
      </w:tr>
    </w:tbl>
    <w:p>
      <w:pPr>
        <w:pStyle w:val="Heading2"/>
        <w:spacing w:after="100" w:before="260"/>
      </w:pPr>
      <w:r>
        <w:rPr>
          <w:rFonts w:ascii="Arial" w:cs="Arial" w:eastAsia="Arial" w:hAnsi="Arial"/>
          <w:b/>
          <w:bCs/>
          <w:color w:val="2563EB"/>
          <w:sz w:val="22"/>
          <w:szCs w:val="22"/>
        </w:rPr>
        <w:t xml:space="preserve">2.3 Authentication, Token Lifecycle &amp; IDOR Defense</w:t>
      </w:r>
    </w:p>
    <w:p>
      <w:pPr>
        <w:spacing w:after="120" w:line="276"/>
      </w:pPr>
      <w:r>
        <w:rPr>
          <w:rFonts w:ascii="Arial" w:cs="Arial" w:eastAsia="Arial" w:hAnsi="Arial"/>
          <w:color w:val="334155"/>
          <w:sz w:val="20"/>
          <w:szCs w:val="20"/>
        </w:rPr>
        <w:t xml:space="preserve">Security credentials and API operations adhere to RFC 7519 JSON Web Token standards and defensive engineering principles:</w:t>
      </w:r>
    </w:p>
    <w:p>
      <w:pPr>
        <w:pStyle w:val="ListParagraph"/>
        <w:numPr>
          <w:ilvl w:val="0"/>
          <w:numId w:val="1"/>
        </w:numPr>
        <w:spacing w:after="80"/>
      </w:pPr>
      <w:r>
        <w:rPr>
          <w:rFonts w:ascii="Arial" w:cs="Arial" w:eastAsia="Arial" w:hAnsi="Arial"/>
          <w:b/>
          <w:bCs/>
          <w:color w:val="0F172A"/>
          <w:sz w:val="20"/>
          <w:szCs w:val="20"/>
        </w:rPr>
        <w:t xml:space="preserve">1. Credential Security: </w:t>
      </w:r>
      <w:r>
        <w:rPr>
          <w:rFonts w:ascii="Arial" w:cs="Arial" w:eastAsia="Arial" w:hAnsi="Arial"/>
          <w:color w:val="334155"/>
          <w:sz w:val="20"/>
          <w:szCs w:val="20"/>
        </w:rPr>
        <w:t xml:space="preserve">Bcrypt Password Hashing: User passwords are stored as cryptographic hashes generated with a salt work factor of 10 rounds, mitigating rainbow table attacks.</w:t>
      </w:r>
    </w:p>
    <w:p>
      <w:pPr>
        <w:pStyle w:val="ListParagraph"/>
        <w:numPr>
          <w:ilvl w:val="0"/>
          <w:numId w:val="1"/>
        </w:numPr>
        <w:spacing w:after="80"/>
      </w:pPr>
      <w:r>
        <w:rPr>
          <w:rFonts w:ascii="Arial" w:cs="Arial" w:eastAsia="Arial" w:hAnsi="Arial"/>
          <w:b/>
          <w:bCs/>
          <w:color w:val="0F172A"/>
          <w:sz w:val="20"/>
          <w:szCs w:val="20"/>
        </w:rPr>
        <w:t xml:space="preserve">2. Token Signing: </w:t>
      </w:r>
      <w:r>
        <w:rPr>
          <w:rFonts w:ascii="Arial" w:cs="Arial" w:eastAsia="Arial" w:hAnsi="Arial"/>
          <w:color w:val="334155"/>
          <w:sz w:val="20"/>
          <w:szCs w:val="20"/>
        </w:rPr>
        <w:t xml:space="preserve">Cryptographic Signing: Tokens are signed with a 256-bit secret key using HMAC-SHA256 (HS256) and transmitted via HTTP Bearer headers.</w:t>
      </w:r>
    </w:p>
    <w:p>
      <w:pPr>
        <w:pStyle w:val="ListParagraph"/>
        <w:numPr>
          <w:ilvl w:val="0"/>
          <w:numId w:val="1"/>
        </w:numPr>
        <w:spacing w:after="80"/>
      </w:pPr>
      <w:r>
        <w:rPr>
          <w:rFonts w:ascii="Arial" w:cs="Arial" w:eastAsia="Arial" w:hAnsi="Arial"/>
          <w:b/>
          <w:bCs/>
          <w:color w:val="0F172A"/>
          <w:sz w:val="20"/>
          <w:szCs w:val="20"/>
        </w:rPr>
        <w:t xml:space="preserve">3. IDOR Prevention: </w:t>
      </w:r>
      <w:r>
        <w:rPr>
          <w:rFonts w:ascii="Arial" w:cs="Arial" w:eastAsia="Arial" w:hAnsi="Arial"/>
          <w:color w:val="334155"/>
          <w:sz w:val="20"/>
          <w:szCs w:val="20"/>
        </w:rPr>
        <w:t xml:space="preserve">Insecure Direct Object Reference (IDOR) Defense: Personal endpoints (such as retrieving payslips or attendance punch history) extract the employee identifier strictly from the authenticated JWT claims rather than trusting client-supplied URL parameters.</w:t>
      </w:r>
    </w:p>
    <w:p>
      <w:pPr>
        <w:pStyle w:val="Heading1"/>
        <w:pBdr>
          <w:bottom w:val="single" w:color="1E3A8A" w:sz="10"/>
        </w:pBdr>
        <w:spacing w:after="140" w:before="380"/>
      </w:pPr>
      <w:r>
        <w:rPr>
          <w:rFonts w:ascii="Arial" w:cs="Arial" w:eastAsia="Arial" w:hAnsi="Arial"/>
          <w:b/>
          <w:bCs/>
          <w:color w:val="1E3A8A"/>
          <w:sz w:val="26"/>
          <w:szCs w:val="26"/>
        </w:rPr>
        <w:t xml:space="preserve">3. Apex AI HR &amp; Payroll Assistant (Chapter 4.1)</w:t>
      </w:r>
    </w:p>
    <w:p>
      <w:pPr>
        <w:pStyle w:val="Heading2"/>
        <w:spacing w:after="100" w:before="260"/>
      </w:pPr>
      <w:r>
        <w:rPr>
          <w:rFonts w:ascii="Arial" w:cs="Arial" w:eastAsia="Arial" w:hAnsi="Arial"/>
          <w:b/>
          <w:bCs/>
          <w:color w:val="2563EB"/>
          <w:sz w:val="22"/>
          <w:szCs w:val="22"/>
        </w:rPr>
        <w:t xml:space="preserve">3.1 Tri-Provider Fallback Cascade Architecture</w:t>
      </w:r>
    </w:p>
    <w:p>
      <w:pPr>
        <w:spacing w:after="120" w:line="276"/>
      </w:pPr>
      <w:r>
        <w:rPr>
          <w:rFonts w:ascii="Arial" w:cs="Arial" w:eastAsia="Arial" w:hAnsi="Arial"/>
          <w:color w:val="334155"/>
          <w:sz w:val="20"/>
          <w:szCs w:val="20"/>
        </w:rPr>
        <w:t xml:space="preserve">To maintain continuous operational availability during external API downtime, network outages, or rate limits, the AI engine implements a cascading tri-provider orchestration model:</w:t>
      </w:r>
    </w:p>
    <w:p>
      <w:pPr>
        <w:pStyle w:val="ListParagraph"/>
        <w:numPr>
          <w:ilvl w:val="0"/>
          <w:numId w:val="1"/>
        </w:numPr>
        <w:spacing w:after="80"/>
      </w:pPr>
      <w:r>
        <w:rPr>
          <w:rFonts w:ascii="Arial" w:cs="Arial" w:eastAsia="Arial" w:hAnsi="Arial"/>
          <w:b/>
          <w:bCs/>
          <w:color w:val="0F172A"/>
          <w:sz w:val="20"/>
          <w:szCs w:val="20"/>
        </w:rPr>
        <w:t xml:space="preserve">• Tier 1: </w:t>
      </w:r>
      <w:r>
        <w:rPr>
          <w:rFonts w:ascii="Arial" w:cs="Arial" w:eastAsia="Arial" w:hAnsi="Arial"/>
          <w:color w:val="334155"/>
          <w:sz w:val="20"/>
          <w:szCs w:val="20"/>
        </w:rPr>
        <w:t xml:space="preserve">Primary Provider (Google Gemini 2.5 Flash): High-speed tool execution model providing structured argument extraction and sub-second natural language reasoning.</w:t>
      </w:r>
    </w:p>
    <w:p>
      <w:pPr>
        <w:pStyle w:val="ListParagraph"/>
        <w:numPr>
          <w:ilvl w:val="0"/>
          <w:numId w:val="1"/>
        </w:numPr>
        <w:spacing w:after="80"/>
      </w:pPr>
      <w:r>
        <w:rPr>
          <w:rFonts w:ascii="Arial" w:cs="Arial" w:eastAsia="Arial" w:hAnsi="Arial"/>
          <w:b/>
          <w:bCs/>
          <w:color w:val="0F172A"/>
          <w:sz w:val="20"/>
          <w:szCs w:val="20"/>
        </w:rPr>
        <w:t xml:space="preserve">• Tier 2: </w:t>
      </w:r>
      <w:r>
        <w:rPr>
          <w:rFonts w:ascii="Arial" w:cs="Arial" w:eastAsia="Arial" w:hAnsi="Arial"/>
          <w:color w:val="334155"/>
          <w:sz w:val="20"/>
          <w:szCs w:val="20"/>
        </w:rPr>
        <w:t xml:space="preserve">Secondary Provider (Groq LLaMA 3.3 70B): Ultra-low latency open-weights inference engine executing on custom LPU hardware, activated when Gemini encounters quota constraints.</w:t>
      </w:r>
    </w:p>
    <w:p>
      <w:pPr>
        <w:pStyle w:val="ListParagraph"/>
        <w:numPr>
          <w:ilvl w:val="0"/>
          <w:numId w:val="1"/>
        </w:numPr>
        <w:spacing w:after="80"/>
      </w:pPr>
      <w:r>
        <w:rPr>
          <w:rFonts w:ascii="Arial" w:cs="Arial" w:eastAsia="Arial" w:hAnsi="Arial"/>
          <w:b/>
          <w:bCs/>
          <w:color w:val="0F172A"/>
          <w:sz w:val="20"/>
          <w:szCs w:val="20"/>
        </w:rPr>
        <w:t xml:space="preserve">• Tier 3: </w:t>
      </w:r>
      <w:r>
        <w:rPr>
          <w:rFonts w:ascii="Arial" w:cs="Arial" w:eastAsia="Arial" w:hAnsi="Arial"/>
          <w:color w:val="334155"/>
          <w:sz w:val="20"/>
          <w:szCs w:val="20"/>
        </w:rPr>
        <w:t xml:space="preserve">Tertiary Provider (OpenAI GPT-4o-mini): Resilient enterprise fallback model.</w:t>
      </w:r>
    </w:p>
    <w:p>
      <w:pPr>
        <w:pStyle w:val="ListParagraph"/>
        <w:numPr>
          <w:ilvl w:val="0"/>
          <w:numId w:val="1"/>
        </w:numPr>
        <w:spacing w:after="80"/>
      </w:pPr>
      <w:r>
        <w:rPr>
          <w:rFonts w:ascii="Arial" w:cs="Arial" w:eastAsia="Arial" w:hAnsi="Arial"/>
          <w:b/>
          <w:bCs/>
          <w:color w:val="0F172A"/>
          <w:sz w:val="20"/>
          <w:szCs w:val="20"/>
        </w:rPr>
        <w:t xml:space="preserve">• Tier 4: </w:t>
      </w:r>
      <w:r>
        <w:rPr>
          <w:rFonts w:ascii="Arial" w:cs="Arial" w:eastAsia="Arial" w:hAnsi="Arial"/>
          <w:color w:val="334155"/>
          <w:sz w:val="20"/>
          <w:szCs w:val="20"/>
        </w:rPr>
        <w:t xml:space="preserve">Air-Gapped Deterministic Local Fallback: When internet connectivity is completely lost, a local regex-driven rule engine directly queries database functions to generate tabular reports, ensuring zero operational downtime.</w:t>
      </w:r>
    </w:p>
    <w:p>
      <w:pPr>
        <w:pStyle w:val="Heading2"/>
        <w:spacing w:after="100" w:before="260"/>
      </w:pPr>
      <w:r>
        <w:rPr>
          <w:rFonts w:ascii="Arial" w:cs="Arial" w:eastAsia="Arial" w:hAnsi="Arial"/>
          <w:b/>
          <w:bCs/>
          <w:color w:val="2563EB"/>
          <w:sz w:val="22"/>
          <w:szCs w:val="22"/>
        </w:rPr>
        <w:t xml:space="preserve">3.2 Function Calling &amp; 12 Sandboxed Enterprise Tools</w:t>
      </w:r>
    </w:p>
    <w:p>
      <w:pPr>
        <w:spacing w:after="120" w:line="276"/>
      </w:pPr>
      <w:r>
        <w:rPr>
          <w:rFonts w:ascii="Arial" w:cs="Arial" w:eastAsia="Arial" w:hAnsi="Arial"/>
          <w:color w:val="334155"/>
          <w:sz w:val="20"/>
          <w:szCs w:val="20"/>
        </w:rPr>
        <w:t xml:space="preserve">The AI assistant never generates or executes unconstrained raw SQL. All data interactions are conducted through 12 sandboxed, strictly typed tool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Tool Function Name</w:t>
            </w:r>
          </w:p>
        </w:tc>
        <w:tc>
          <w:tcPr>
            <w:tcW w:type="dxa" w:w="16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Category</w:t>
            </w:r>
          </w:p>
        </w:tc>
        <w:tc>
          <w:tcPr>
            <w:tcW w:type="dxa" w:w="516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Operational Scope &amp; Parameters</w:t>
            </w:r>
          </w:p>
        </w:tc>
      </w:tr>
      <w:tr>
        <w:tc>
          <w:tcPr>
            <w:tcW w:type="dxa" w:w="2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get_attendance_summary</w:t>
            </w:r>
          </w:p>
        </w:tc>
        <w:tc>
          <w:tcPr>
            <w:tcW w:type="dxa" w:w="1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Attendance</w:t>
            </w:r>
          </w:p>
        </w:tc>
        <w:tc>
          <w:tcPr>
            <w:tcW w:type="dxa" w:w="5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Aggregates present, late, absent counts for a date/department.</w:t>
            </w:r>
          </w:p>
        </w:tc>
      </w:tr>
      <w:tr>
        <w:tc>
          <w:tcPr>
            <w:tcW w:type="dxa" w:w="2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get_payroll_summary</w:t>
            </w:r>
          </w:p>
        </w:tc>
        <w:tc>
          <w:tcPr>
            <w:tcW w:type="dxa" w:w="1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Payroll</w:t>
            </w:r>
          </w:p>
        </w:tc>
        <w:tc>
          <w:tcPr>
            <w:tcW w:type="dxa" w:w="5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Summarizes gross liability, net payouts, NASSIT, and PAYE tax.</w:t>
            </w:r>
          </w:p>
        </w:tc>
      </w:tr>
      <w:tr>
        <w:tc>
          <w:tcPr>
            <w:tcW w:type="dxa" w:w="2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query_leave_requests</w:t>
            </w:r>
          </w:p>
        </w:tc>
        <w:tc>
          <w:tcPr>
            <w:tcW w:type="dxa" w:w="1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Leaves</w:t>
            </w:r>
          </w:p>
        </w:tc>
        <w:tc>
          <w:tcPr>
            <w:tcW w:type="dxa" w:w="5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Filters pending, approved, or rejected applications with dates.</w:t>
            </w:r>
          </w:p>
        </w:tc>
      </w:tr>
      <w:tr>
        <w:tc>
          <w:tcPr>
            <w:tcW w:type="dxa" w:w="2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lookup_employee</w:t>
            </w:r>
          </w:p>
        </w:tc>
        <w:tc>
          <w:tcPr>
            <w:tcW w:type="dxa" w:w="1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Staff</w:t>
            </w:r>
          </w:p>
        </w:tc>
        <w:tc>
          <w:tcPr>
            <w:tcW w:type="dxa" w:w="5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Resolves employee profile, contact info, department, and tenure.</w:t>
            </w:r>
          </w:p>
        </w:tc>
      </w:tr>
      <w:tr>
        <w:tc>
          <w:tcPr>
            <w:tcW w:type="dxa" w:w="2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get_attendance_anomalies</w:t>
            </w:r>
          </w:p>
        </w:tc>
        <w:tc>
          <w:tcPr>
            <w:tcW w:type="dxa" w:w="1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Audit</w:t>
            </w:r>
          </w:p>
        </w:tc>
        <w:tc>
          <w:tcPr>
            <w:tcW w:type="dxa" w:w="5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Detects unclosed shifts (&gt;14h), duplicate scans, extreme overtime.</w:t>
            </w:r>
          </w:p>
        </w:tc>
      </w:tr>
      <w:tr>
        <w:tc>
          <w:tcPr>
            <w:tcW w:type="dxa" w:w="2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calculate_payroll_proj</w:t>
            </w:r>
          </w:p>
        </w:tc>
        <w:tc>
          <w:tcPr>
            <w:tcW w:type="dxa" w:w="1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Finance</w:t>
            </w:r>
          </w:p>
        </w:tc>
        <w:tc>
          <w:tcPr>
            <w:tcW w:type="dxa" w:w="5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Simulates statutory tax, pension obligations, and net pay.</w:t>
            </w:r>
          </w:p>
        </w:tc>
      </w:tr>
      <w:tr>
        <w:tc>
          <w:tcPr>
            <w:tcW w:type="dxa" w:w="2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search_company_knowledge</w:t>
            </w:r>
          </w:p>
        </w:tc>
        <w:tc>
          <w:tcPr>
            <w:tcW w:type="dxa" w:w="1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RAG / Legal</w:t>
            </w:r>
          </w:p>
        </w:tc>
        <w:tc>
          <w:tcPr>
            <w:tcW w:type="dxa" w:w="5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Searches HR handbook, labor laws, and NASSIT/PAYE regulations.</w:t>
            </w:r>
          </w:p>
        </w:tc>
      </w:tr>
      <w:tr>
        <w:tc>
          <w:tcPr>
            <w:tcW w:type="dxa" w:w="2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send_employee_notif</w:t>
            </w:r>
          </w:p>
        </w:tc>
        <w:tc>
          <w:tcPr>
            <w:tcW w:type="dxa" w:w="1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Messaging</w:t>
            </w:r>
          </w:p>
        </w:tc>
        <w:tc>
          <w:tcPr>
            <w:tcW w:type="dxa" w:w="5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Dispatches urgent multi-channel alerts (Email, SMS, WA, In-App).</w:t>
            </w:r>
          </w:p>
        </w:tc>
      </w:tr>
      <w:tr>
        <w:tc>
          <w:tcPr>
            <w:tcW w:type="dxa" w:w="2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get_department_analytics</w:t>
            </w:r>
          </w:p>
        </w:tc>
        <w:tc>
          <w:tcPr>
            <w:tcW w:type="dxa" w:w="1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Analytics</w:t>
            </w:r>
          </w:p>
        </w:tc>
        <w:tc>
          <w:tcPr>
            <w:tcW w:type="dxa" w:w="5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Compares attendance percentages and payroll budgets across units.</w:t>
            </w:r>
          </w:p>
        </w:tc>
      </w:tr>
      <w:tr>
        <w:tc>
          <w:tcPr>
            <w:tcW w:type="dxa" w:w="2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trigger_scheduled_auto</w:t>
            </w:r>
          </w:p>
        </w:tc>
        <w:tc>
          <w:tcPr>
            <w:tcW w:type="dxa" w:w="1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Automation</w:t>
            </w:r>
          </w:p>
        </w:tc>
        <w:tc>
          <w:tcPr>
            <w:tcW w:type="dxa" w:w="5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Executes scheduled background routines and anomaly scanners.</w:t>
            </w:r>
          </w:p>
        </w:tc>
      </w:tr>
      <w:tr>
        <w:tc>
          <w:tcPr>
            <w:tcW w:type="dxa" w:w="2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request_user_confirmation</w:t>
            </w:r>
          </w:p>
        </w:tc>
        <w:tc>
          <w:tcPr>
            <w:tcW w:type="dxa" w:w="1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Security</w:t>
            </w:r>
          </w:p>
        </w:tc>
        <w:tc>
          <w:tcPr>
            <w:tcW w:type="dxa" w:w="5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Presents interactive UI confirmation card before mutations.</w:t>
            </w:r>
          </w:p>
        </w:tc>
      </w:tr>
      <w:tr>
        <w:tc>
          <w:tcPr>
            <w:tcW w:type="dxa" w:w="2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export_workforce_report</w:t>
            </w:r>
          </w:p>
        </w:tc>
        <w:tc>
          <w:tcPr>
            <w:tcW w:type="dxa" w:w="1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Reporting</w:t>
            </w:r>
          </w:p>
        </w:tc>
        <w:tc>
          <w:tcPr>
            <w:tcW w:type="dxa" w:w="5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Generates exportable structured workforce data summaries.</w:t>
            </w:r>
          </w:p>
        </w:tc>
      </w:tr>
    </w:tbl>
    <w:p>
      <w:pPr>
        <w:pStyle w:val="Heading2"/>
        <w:spacing w:after="100" w:before="260"/>
      </w:pPr>
      <w:r>
        <w:rPr>
          <w:rFonts w:ascii="Arial" w:cs="Arial" w:eastAsia="Arial" w:hAnsi="Arial"/>
          <w:b/>
          <w:bCs/>
          <w:color w:val="2563EB"/>
          <w:sz w:val="22"/>
          <w:szCs w:val="22"/>
        </w:rPr>
        <w:t xml:space="preserve">3.3 Sierra Leone Regulatory Compliance: NASSIT &amp; PAYE Tax Bands</w:t>
      </w:r>
    </w:p>
    <w:p>
      <w:pPr>
        <w:spacing w:after="120" w:line="276"/>
      </w:pPr>
      <w:r>
        <w:rPr>
          <w:rFonts w:ascii="Arial" w:cs="Arial" w:eastAsia="Arial" w:hAnsi="Arial"/>
          <w:color w:val="334155"/>
          <w:sz w:val="20"/>
          <w:szCs w:val="20"/>
        </w:rPr>
        <w:t xml:space="preserve">The AI and payroll computation engines implement the statutory labor and tax codes of Sierra Leone:</w:t>
      </w:r>
    </w:p>
    <w:p>
      <w:pPr>
        <w:pBdr>
          <w:left w:val="single" w:color="2563EB" w:sz="24"/>
        </w:pBdr>
        <w:shd w:fill="F8FAFC" w:val="clear"/>
        <w:spacing w:after="160" w:before="140"/>
        <w:ind w:left="240" w:right="240"/>
      </w:pPr>
      <w:r>
        <w:rPr>
          <w:rFonts w:ascii="Arial" w:cs="Arial" w:eastAsia="Arial" w:hAnsi="Arial"/>
          <w:b/>
          <w:bCs/>
          <w:color w:val="1E3A8A"/>
          <w:sz w:val="20"/>
          <w:szCs w:val="20"/>
        </w:rPr>
        <w:t xml:space="preserve">National Social Security &amp; Insurance Trust (NASSIT Act 2001):
</w:t>
      </w:r>
      <w:r>
        <w:rPr>
          <w:rFonts w:ascii="Arial" w:cs="Arial" w:eastAsia="Arial" w:hAnsi="Arial"/>
          <w:i w:val="false"/>
          <w:iCs w:val="false"/>
          <w:color w:val="334155"/>
          <w:sz w:val="19"/>
          <w:szCs w:val="19"/>
        </w:rPr>
        <w:t xml:space="preserve">• Employee Contribution: 5% deducted from Gross Basic Wage.
• Employer Contribution: 10% contributed by the employer.
• Total Statutory Remittance: 15% remitted monthly to the NASSIT trust.</w:t>
      </w:r>
    </w:p>
    <w:p>
      <w:pPr>
        <w:pBdr>
          <w:left w:val="single" w:color="2563EB" w:sz="24"/>
        </w:pBdr>
        <w:shd w:fill="F8FAFC" w:val="clear"/>
        <w:spacing w:after="160" w:before="140"/>
        <w:ind w:left="240" w:right="240"/>
      </w:pPr>
      <w:r>
        <w:rPr>
          <w:rFonts w:ascii="Arial" w:cs="Arial" w:eastAsia="Arial" w:hAnsi="Arial"/>
          <w:b/>
          <w:bCs/>
          <w:color w:val="1E3A8A"/>
          <w:sz w:val="20"/>
          <w:szCs w:val="20"/>
        </w:rPr>
        <w:t xml:space="preserve">Sierra Leone PAYE Progressive Monthly Income Tax Bands (New Leones - NLe):
</w:t>
      </w:r>
      <w:r>
        <w:rPr>
          <w:rFonts w:ascii="Arial" w:cs="Arial" w:eastAsia="Arial" w:hAnsi="Arial"/>
          <w:i w:val="false"/>
          <w:iCs w:val="false"/>
          <w:color w:val="334155"/>
          <w:sz w:val="19"/>
          <w:szCs w:val="19"/>
        </w:rPr>
        <w:t xml:space="preserve">• First NLe 0.00 – 600.00: 0% (Tax-Free Threshold)
• Next NLe 600.01 – 1,200.00: 15%
• Next NLe 1,200.01 – 1,800.00: 20%
• Next NLe 1,800.01 – 2,400.00: 25%
• Excess above NLe 2,400.00: 30%</w:t>
      </w:r>
    </w:p>
    <w:p>
      <w:pPr>
        <w:pStyle w:val="Heading2"/>
        <w:spacing w:after="100" w:before="260"/>
      </w:pPr>
      <w:r>
        <w:rPr>
          <w:rFonts w:ascii="Arial" w:cs="Arial" w:eastAsia="Arial" w:hAnsi="Arial"/>
          <w:b/>
          <w:bCs/>
          <w:color w:val="2563EB"/>
          <w:sz w:val="22"/>
          <w:szCs w:val="22"/>
        </w:rPr>
        <w:t xml:space="preserve">3.4 Overtime Multipliers &amp; Mathematical Compensation Equations</w:t>
      </w:r>
    </w:p>
    <w:p>
      <w:pPr>
        <w:spacing w:after="120" w:line="276"/>
      </w:pPr>
      <w:r>
        <w:rPr>
          <w:rFonts w:ascii="Arial" w:cs="Arial" w:eastAsia="Arial" w:hAnsi="Arial"/>
          <w:color w:val="334155"/>
          <w:sz w:val="20"/>
          <w:szCs w:val="20"/>
        </w:rPr>
        <w:t xml:space="preserve">Hourly rate and overtime compensation formulas comply with national labor regulations:</w:t>
      </w:r>
    </w:p>
    <w:p>
      <w:pPr>
        <w:pBdr>
          <w:top w:val="single" w:color="CBD5E1" w:sz="6"/>
          <w:bottom w:val="single" w:color="CBD5E1" w:sz="6"/>
          <w:left w:val="single" w:color="CBD5E1" w:sz="6"/>
          <w:right w:val="single" w:color="CBD5E1" w:sz="6"/>
        </w:pBdr>
        <w:shd w:fill="F1F5F9" w:val="clear"/>
        <w:spacing w:after="120" w:before="100"/>
        <w:ind w:left="160" w:right="160"/>
      </w:pPr>
      <w:r>
        <w:rPr>
          <w:rFonts w:ascii="Consolas" w:cs="Consolas" w:eastAsia="Consolas" w:hAnsi="Consolas"/>
          <w:color w:val="0F172A"/>
          <w:sz w:val="16"/>
          <w:szCs w:val="16"/>
        </w:rPr>
        <w:t xml:space="preserve">Hourly Base Rate = Basic Salary / (22 Standard Days * 8 Hours) = Basic Salary / 176
Overtime Payout  = (Regular OT Hours * Hourly Rate * 1.5) + (Sunday/Holiday OT * Hourly Rate * 2.0)
Gross Earnings   = Basic Salary + Overtime Payout + Allowances
Total Deductions = NASSIT (5%) + PAYE Progressive Tax + Advance Repayments
Net Take-Home    = Gross Earnings - Total Deductions</w:t>
      </w:r>
    </w:p>
    <w:p>
      <w:pPr>
        <w:pStyle w:val="Heading2"/>
        <w:spacing w:after="100" w:before="260"/>
      </w:pPr>
      <w:r>
        <w:rPr>
          <w:rFonts w:ascii="Arial" w:cs="Arial" w:eastAsia="Arial" w:hAnsi="Arial"/>
          <w:b/>
          <w:bCs/>
          <w:color w:val="2563EB"/>
          <w:sz w:val="22"/>
          <w:szCs w:val="22"/>
        </w:rPr>
        <w:t xml:space="preserve">3.5 Autonomous Scheduled Automations (10 Templates)</w:t>
      </w:r>
    </w:p>
    <w:p>
      <w:pPr>
        <w:spacing w:after="120" w:line="276"/>
      </w:pPr>
      <w:r>
        <w:rPr>
          <w:rFonts w:ascii="Arial" w:cs="Arial" w:eastAsia="Arial" w:hAnsi="Arial"/>
          <w:color w:val="334155"/>
          <w:sz w:val="20"/>
          <w:szCs w:val="20"/>
        </w:rPr>
        <w:t xml:space="preserve">The AI engine features an autonomous background scheduler executing 10 pre-configured organizational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6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No.</w:t>
            </w:r>
          </w:p>
        </w:tc>
        <w:tc>
          <w:tcPr>
            <w:tcW w:type="dxa" w:w="28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Automation Title</w:t>
            </w:r>
          </w:p>
        </w:tc>
        <w:tc>
          <w:tcPr>
            <w:tcW w:type="dxa" w:w="18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Frequency</w:t>
            </w:r>
          </w:p>
        </w:tc>
        <w:tc>
          <w:tcPr>
            <w:tcW w:type="dxa" w:w="416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Target Objective</w:t>
            </w:r>
          </w:p>
        </w:tc>
      </w:tr>
      <w:tr>
        <w:tc>
          <w:tcPr>
            <w:tcW w:type="dxa" w:w="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w:t>
            </w:r>
          </w:p>
        </w:tc>
        <w:tc>
          <w:tcPr>
            <w:tcW w:type="dxa" w:w="28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Morning Attendance Digest</w:t>
            </w:r>
          </w:p>
        </w:tc>
        <w:tc>
          <w:tcPr>
            <w:tcW w:type="dxa" w:w="18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Daily 09:30</w:t>
            </w:r>
          </w:p>
        </w:tc>
        <w:tc>
          <w:tcPr>
            <w:tcW w:type="dxa" w:w="4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Alert HR of tardy employees and absent shifts</w:t>
            </w:r>
          </w:p>
        </w:tc>
      </w:tr>
      <w:tr>
        <w:tc>
          <w:tcPr>
            <w:tcW w:type="dxa" w:w="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2</w:t>
            </w:r>
          </w:p>
        </w:tc>
        <w:tc>
          <w:tcPr>
            <w:tcW w:type="dxa" w:w="28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Unclosed Shift Anomaly Scan</w:t>
            </w:r>
          </w:p>
        </w:tc>
        <w:tc>
          <w:tcPr>
            <w:tcW w:type="dxa" w:w="18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Daily 20:00</w:t>
            </w:r>
          </w:p>
        </w:tc>
        <w:tc>
          <w:tcPr>
            <w:tcW w:type="dxa" w:w="4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Flag missing check-out punches exceeding 14 hours</w:t>
            </w:r>
          </w:p>
        </w:tc>
      </w:tr>
      <w:tr>
        <w:tc>
          <w:tcPr>
            <w:tcW w:type="dxa" w:w="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3</w:t>
            </w:r>
          </w:p>
        </w:tc>
        <w:tc>
          <w:tcPr>
            <w:tcW w:type="dxa" w:w="28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Friday Timesheet Reconciliation</w:t>
            </w:r>
          </w:p>
        </w:tc>
        <w:tc>
          <w:tcPr>
            <w:tcW w:type="dxa" w:w="18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Weekly (Fri)</w:t>
            </w:r>
          </w:p>
        </w:tc>
        <w:tc>
          <w:tcPr>
            <w:tcW w:type="dxa" w:w="4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Audit accrued weekly overtime hours across teams</w:t>
            </w:r>
          </w:p>
        </w:tc>
      </w:tr>
      <w:tr>
        <w:tc>
          <w:tcPr>
            <w:tcW w:type="dxa" w:w="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4</w:t>
            </w:r>
          </w:p>
        </w:tc>
        <w:tc>
          <w:tcPr>
            <w:tcW w:type="dxa" w:w="28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Monthly Payroll Pre-Run Audit</w:t>
            </w:r>
          </w:p>
        </w:tc>
        <w:tc>
          <w:tcPr>
            <w:tcW w:type="dxa" w:w="18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Monthly (25th)</w:t>
            </w:r>
          </w:p>
        </w:tc>
        <w:tc>
          <w:tcPr>
            <w:tcW w:type="dxa" w:w="4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Validate bank details, deductions, and active contracts</w:t>
            </w:r>
          </w:p>
        </w:tc>
      </w:tr>
      <w:tr>
        <w:tc>
          <w:tcPr>
            <w:tcW w:type="dxa" w:w="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5</w:t>
            </w:r>
          </w:p>
        </w:tc>
        <w:tc>
          <w:tcPr>
            <w:tcW w:type="dxa" w:w="28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Statutory Tax Remittance Reminder</w:t>
            </w:r>
          </w:p>
        </w:tc>
        <w:tc>
          <w:tcPr>
            <w:tcW w:type="dxa" w:w="18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Monthly (10th)</w:t>
            </w:r>
          </w:p>
        </w:tc>
        <w:tc>
          <w:tcPr>
            <w:tcW w:type="dxa" w:w="4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Notify finance to remit NASSIT and PAYE taxes</w:t>
            </w:r>
          </w:p>
        </w:tc>
      </w:tr>
      <w:tr>
        <w:tc>
          <w:tcPr>
            <w:tcW w:type="dxa" w:w="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6</w:t>
            </w:r>
          </w:p>
        </w:tc>
        <w:tc>
          <w:tcPr>
            <w:tcW w:type="dxa" w:w="28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Ghost Employee Payroll Check</w:t>
            </w:r>
          </w:p>
        </w:tc>
        <w:tc>
          <w:tcPr>
            <w:tcW w:type="dxa" w:w="18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Monthly (24th)</w:t>
            </w:r>
          </w:p>
        </w:tc>
        <w:tc>
          <w:tcPr>
            <w:tcW w:type="dxa" w:w="4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Correlate attendance scans with active payroll ledger</w:t>
            </w:r>
          </w:p>
        </w:tc>
      </w:tr>
      <w:tr>
        <w:tc>
          <w:tcPr>
            <w:tcW w:type="dxa" w:w="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7</w:t>
            </w:r>
          </w:p>
        </w:tc>
        <w:tc>
          <w:tcPr>
            <w:tcW w:type="dxa" w:w="28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Leave Accrual Ledger Refresh</w:t>
            </w:r>
          </w:p>
        </w:tc>
        <w:tc>
          <w:tcPr>
            <w:tcW w:type="dxa" w:w="18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Monthly (1st)</w:t>
            </w:r>
          </w:p>
        </w:tc>
        <w:tc>
          <w:tcPr>
            <w:tcW w:type="dxa" w:w="4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Credit monthly leave days according to policy schedule</w:t>
            </w:r>
          </w:p>
        </w:tc>
      </w:tr>
      <w:tr>
        <w:tc>
          <w:tcPr>
            <w:tcW w:type="dxa" w:w="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8</w:t>
            </w:r>
          </w:p>
        </w:tc>
        <w:tc>
          <w:tcPr>
            <w:tcW w:type="dxa" w:w="28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Geofence Proximity Drift Scanner</w:t>
            </w:r>
          </w:p>
        </w:tc>
        <w:tc>
          <w:tcPr>
            <w:tcW w:type="dxa" w:w="18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Continuous</w:t>
            </w:r>
          </w:p>
        </w:tc>
        <w:tc>
          <w:tcPr>
            <w:tcW w:type="dxa" w:w="4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Detect punches outside 100m workplace boundary</w:t>
            </w:r>
          </w:p>
        </w:tc>
      </w:tr>
      <w:tr>
        <w:tc>
          <w:tcPr>
            <w:tcW w:type="dxa" w:w="6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9</w:t>
            </w:r>
          </w:p>
        </w:tc>
        <w:tc>
          <w:tcPr>
            <w:tcW w:type="dxa" w:w="28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Overtime Threshold Spike Alert</w:t>
            </w:r>
          </w:p>
        </w:tc>
        <w:tc>
          <w:tcPr>
            <w:tcW w:type="dxa" w:w="18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Bi-Weekly</w:t>
            </w:r>
          </w:p>
        </w:tc>
        <w:tc>
          <w:tcPr>
            <w:tcW w:type="dxa" w:w="4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Flag personnel exceeding 40 hours of overtime per month</w:t>
            </w:r>
          </w:p>
        </w:tc>
      </w:tr>
      <w:tr>
        <w:tc>
          <w:tcPr>
            <w:tcW w:type="dxa" w:w="6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10</w:t>
            </w:r>
          </w:p>
        </w:tc>
        <w:tc>
          <w:tcPr>
            <w:tcW w:type="dxa" w:w="28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Contract Renewal Notifier</w:t>
            </w:r>
          </w:p>
        </w:tc>
        <w:tc>
          <w:tcPr>
            <w:tcW w:type="dxa" w:w="18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Weekly</w:t>
            </w:r>
          </w:p>
        </w:tc>
        <w:tc>
          <w:tcPr>
            <w:tcW w:type="dxa" w:w="4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Alert HR 30 days prior to employee contract expiration</w:t>
            </w:r>
          </w:p>
        </w:tc>
      </w:tr>
    </w:tbl>
    <w:p>
      <w:pPr>
        <w:pStyle w:val="Heading1"/>
        <w:pBdr>
          <w:bottom w:val="single" w:color="1E3A8A" w:sz="10"/>
        </w:pBdr>
        <w:spacing w:after="140" w:before="380"/>
      </w:pPr>
      <w:r>
        <w:rPr>
          <w:rFonts w:ascii="Arial" w:cs="Arial" w:eastAsia="Arial" w:hAnsi="Arial"/>
          <w:b/>
          <w:bCs/>
          <w:color w:val="1E3A8A"/>
          <w:sz w:val="26"/>
          <w:szCs w:val="26"/>
        </w:rPr>
        <w:t xml:space="preserve">4. Enterprise Multi-Channel Notifications (Chapter 4.2)</w:t>
      </w:r>
    </w:p>
    <w:p>
      <w:pPr>
        <w:pStyle w:val="Heading2"/>
        <w:spacing w:after="100" w:before="260"/>
      </w:pPr>
      <w:r>
        <w:rPr>
          <w:rFonts w:ascii="Arial" w:cs="Arial" w:eastAsia="Arial" w:hAnsi="Arial"/>
          <w:b/>
          <w:bCs/>
          <w:color w:val="2563EB"/>
          <w:sz w:val="22"/>
          <w:szCs w:val="22"/>
        </w:rPr>
        <w:t xml:space="preserve">4.1 Multi-Channel Dispatch Architecture</w:t>
      </w:r>
    </w:p>
    <w:p>
      <w:pPr>
        <w:spacing w:after="120" w:line="276"/>
      </w:pPr>
      <w:r>
        <w:rPr>
          <w:rFonts w:ascii="Arial" w:cs="Arial" w:eastAsia="Arial" w:hAnsi="Arial"/>
          <w:color w:val="334155"/>
          <w:sz w:val="20"/>
          <w:szCs w:val="20"/>
        </w:rPr>
        <w:t xml:space="preserve">The notification subsystem orchestrates communications across four distinct delivery vectors: (1) In-App Notification Center with live unread badge, (2) Responsive HTML Email via SMTP, (3) WhatsApp Business messaging via Cloud API webhooks, and (4) SMS cellular broadcast for remote field personnel.</w:t>
      </w:r>
    </w:p>
    <w:p>
      <w:pPr>
        <w:spacing w:after="120" w:line="276"/>
      </w:pPr>
      <w:r>
        <w:rPr>
          <w:rFonts w:ascii="Arial" w:cs="Arial" w:eastAsia="Arial" w:hAnsi="Arial"/>
          <w:color w:val="334155"/>
          <w:sz w:val="20"/>
          <w:szCs w:val="20"/>
        </w:rPr>
        <w:t xml:space="preserve">To maintain system throughput during high-volume events (such as simultaneous monthly payroll disbursements), an asynchronous priority queue with exponential backoff was implemented. The retry schedule is governed by the following mathematical formula:</w:t>
      </w:r>
    </w:p>
    <w:p>
      <w:pPr>
        <w:pBdr>
          <w:left w:val="single" w:color="2563EB" w:sz="24"/>
        </w:pBdr>
        <w:shd w:fill="F8FAFC" w:val="clear"/>
        <w:spacing w:after="160" w:before="140"/>
        <w:ind w:left="240" w:right="240"/>
      </w:pPr>
      <w:r>
        <w:rPr>
          <w:rFonts w:ascii="Arial" w:cs="Arial" w:eastAsia="Arial" w:hAnsi="Arial"/>
          <w:b/>
          <w:bCs/>
          <w:color w:val="1E3A8A"/>
          <w:sz w:val="20"/>
          <w:szCs w:val="20"/>
        </w:rPr>
        <w:t xml:space="preserve">Exponential Backoff with Random Jitter Equation:
</w:t>
      </w:r>
      <w:r>
        <w:rPr>
          <w:rFonts w:ascii="Arial" w:cs="Arial" w:eastAsia="Arial" w:hAnsi="Arial"/>
          <w:i w:val="false"/>
          <w:iCs w:val="false"/>
          <w:color w:val="334155"/>
          <w:sz w:val="19"/>
          <w:szCs w:val="19"/>
        </w:rPr>
        <w:t xml:space="preserve">T_wait = min(T_base * 2^attempt + jitter, T_max)
where T_base = 2.0s, T_max = 300.0s, and jitter in [0, 1.0s] prevents thundering herd API contention.</w:t>
      </w:r>
    </w:p>
    <w:p>
      <w:pPr>
        <w:pStyle w:val="Heading2"/>
        <w:spacing w:after="100" w:before="260"/>
      </w:pPr>
      <w:r>
        <w:rPr>
          <w:rFonts w:ascii="Arial" w:cs="Arial" w:eastAsia="Arial" w:hAnsi="Arial"/>
          <w:b/>
          <w:bCs/>
          <w:color w:val="2563EB"/>
          <w:sz w:val="22"/>
          <w:szCs w:val="22"/>
        </w:rPr>
        <w:t xml:space="preserve">4.2 Salary Privacy Shielding &amp; Delivery Auditing</w:t>
      </w:r>
    </w:p>
    <w:p>
      <w:pPr>
        <w:pStyle w:val="ListParagraph"/>
        <w:numPr>
          <w:ilvl w:val="0"/>
          <w:numId w:val="1"/>
        </w:numPr>
        <w:spacing w:after="80"/>
      </w:pPr>
      <w:r>
        <w:rPr>
          <w:rFonts w:ascii="Arial" w:cs="Arial" w:eastAsia="Arial" w:hAnsi="Arial"/>
          <w:b/>
          <w:bCs/>
          <w:color w:val="0F172A"/>
          <w:sz w:val="20"/>
          <w:szCs w:val="20"/>
        </w:rPr>
        <w:t xml:space="preserve">• Privacy: </w:t>
      </w:r>
      <w:r>
        <w:rPr>
          <w:rFonts w:ascii="Arial" w:cs="Arial" w:eastAsia="Arial" w:hAnsi="Arial"/>
          <w:color w:val="334155"/>
          <w:sz w:val="20"/>
          <w:szCs w:val="20"/>
        </w:rPr>
        <w:t xml:space="preserve">Salary Data Redaction: Bank account numbers are masked showing only the terminal 4 digits (••••••••1234). Gross pay is excluded from subject lines to prevent visual snooping on smartphone lock screens.</w:t>
      </w:r>
    </w:p>
    <w:p>
      <w:pPr>
        <w:pStyle w:val="ListParagraph"/>
        <w:numPr>
          <w:ilvl w:val="0"/>
          <w:numId w:val="1"/>
        </w:numPr>
        <w:spacing w:after="80"/>
      </w:pPr>
      <w:r>
        <w:rPr>
          <w:rFonts w:ascii="Arial" w:cs="Arial" w:eastAsia="Arial" w:hAnsi="Arial"/>
          <w:b/>
          <w:bCs/>
          <w:color w:val="0F172A"/>
          <w:sz w:val="20"/>
          <w:szCs w:val="20"/>
        </w:rPr>
        <w:t xml:space="preserve">• Audit: </w:t>
      </w:r>
      <w:r>
        <w:rPr>
          <w:rFonts w:ascii="Arial" w:cs="Arial" w:eastAsia="Arial" w:hAnsi="Arial"/>
          <w:color w:val="334155"/>
          <w:sz w:val="20"/>
          <w:szCs w:val="20"/>
        </w:rPr>
        <w:t xml:space="preserve">Delivery Audit Trail: Every dispatch registers a persistent UUIDv4 tracking log recording state transitions: QUEUED → PROCESSING → SENT → DELIVERED → READ.</w:t>
      </w:r>
    </w:p>
    <w:p>
      <w:pPr>
        <w:pStyle w:val="Heading1"/>
        <w:pBdr>
          <w:bottom w:val="single" w:color="1E3A8A" w:sz="10"/>
        </w:pBdr>
        <w:spacing w:after="140" w:before="380"/>
      </w:pPr>
      <w:r>
        <w:rPr>
          <w:rFonts w:ascii="Arial" w:cs="Arial" w:eastAsia="Arial" w:hAnsi="Arial"/>
          <w:b/>
          <w:bCs/>
          <w:color w:val="1E3A8A"/>
          <w:sz w:val="26"/>
          <w:szCs w:val="26"/>
        </w:rPr>
        <w:t xml:space="preserve">5. Multi-Layer Data Validation &amp; 38 PostgreSQL Constraints (Chapter 4.3)</w:t>
      </w:r>
    </w:p>
    <w:p>
      <w:pPr>
        <w:pStyle w:val="Heading2"/>
        <w:spacing w:after="100" w:before="260"/>
      </w:pPr>
      <w:r>
        <w:rPr>
          <w:rFonts w:ascii="Arial" w:cs="Arial" w:eastAsia="Arial" w:hAnsi="Arial"/>
          <w:b/>
          <w:bCs/>
          <w:color w:val="2563EB"/>
          <w:sz w:val="22"/>
          <w:szCs w:val="22"/>
        </w:rPr>
        <w:t xml:space="preserve">5.1 Dual-Tier Defense-in-Depth Philosophy</w:t>
      </w:r>
    </w:p>
    <w:p>
      <w:pPr>
        <w:spacing w:after="120" w:line="276"/>
      </w:pPr>
      <w:r>
        <w:rPr>
          <w:rFonts w:ascii="Arial" w:cs="Arial" w:eastAsia="Arial" w:hAnsi="Arial"/>
          <w:color w:val="334155"/>
          <w:sz w:val="20"/>
          <w:szCs w:val="20"/>
        </w:rPr>
        <w:t xml:space="preserve">To ensure uncompromised data integrity, the system implements a dual-tier validation strategy: (1) Application Service Layer validation in TypeScript returning human-readable HTTP 400 Bad Request responses, and (2) 38 native PostgreSQL CHECK constraints enforcing mathematical and logical invariants at the disk storage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Database Table</w:t>
            </w:r>
          </w:p>
        </w:tc>
        <w:tc>
          <w:tcPr>
            <w:tcW w:type="dxa" w:w="22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Active Constraints</w:t>
            </w:r>
          </w:p>
        </w:tc>
        <w:tc>
          <w:tcPr>
            <w:tcW w:type="dxa" w:w="516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Key Enforced Relational Rules</w:t>
            </w:r>
          </w:p>
        </w:tc>
      </w:tr>
      <w:tr>
        <w:tc>
          <w:tcPr>
            <w:tcW w:type="dxa" w:w="20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employees</w:t>
            </w:r>
          </w:p>
        </w:tc>
        <w:tc>
          <w:tcPr>
            <w:tcW w:type="dxa" w:w="2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7 Constraints</w:t>
            </w:r>
          </w:p>
        </w:tc>
        <w:tc>
          <w:tcPr>
            <w:tcW w:type="dxa" w:w="5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Non-empty names, RFC 5322 email regex, valid status enum, salary &gt; 0</w:t>
            </w:r>
          </w:p>
        </w:tc>
      </w:tr>
      <w:tr>
        <w:tc>
          <w:tcPr>
            <w:tcW w:type="dxa" w:w="20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attendance</w:t>
            </w:r>
          </w:p>
        </w:tc>
        <w:tc>
          <w:tcPr>
            <w:tcW w:type="dxa" w:w="2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6 Constraints</w:t>
            </w:r>
          </w:p>
        </w:tc>
        <w:tc>
          <w:tcPr>
            <w:tcW w:type="dxa" w:w="5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check_out &gt;= check_in, work_hours 0-24, overtime 0-16, date &lt;= today+1</w:t>
            </w:r>
          </w:p>
        </w:tc>
      </w:tr>
      <w:tr>
        <w:tc>
          <w:tcPr>
            <w:tcW w:type="dxa" w:w="20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payroll</w:t>
            </w:r>
          </w:p>
        </w:tc>
        <w:tc>
          <w:tcPr>
            <w:tcW w:type="dxa" w:w="2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9 Constraints</w:t>
            </w:r>
          </w:p>
        </w:tc>
        <w:tc>
          <w:tcPr>
            <w:tcW w:type="dxa" w:w="5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basic_salary &gt; 0, gross &gt;= basic, net &gt;= 0, worked_days &lt;= working_days</w:t>
            </w:r>
          </w:p>
        </w:tc>
      </w:tr>
      <w:tr>
        <w:tc>
          <w:tcPr>
            <w:tcW w:type="dxa" w:w="20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leaves</w:t>
            </w:r>
          </w:p>
        </w:tc>
        <w:tc>
          <w:tcPr>
            <w:tcW w:type="dxa" w:w="2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4 Constraints</w:t>
            </w:r>
          </w:p>
        </w:tc>
        <w:tc>
          <w:tcPr>
            <w:tcW w:type="dxa" w:w="5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end_date &gt;= start_date, total_days &gt; 0, valid leave_type and status</w:t>
            </w:r>
          </w:p>
        </w:tc>
      </w:tr>
      <w:tr>
        <w:tc>
          <w:tcPr>
            <w:tcW w:type="dxa" w:w="20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overtime</w:t>
            </w:r>
          </w:p>
        </w:tc>
        <w:tc>
          <w:tcPr>
            <w:tcW w:type="dxa" w:w="2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4 Constraints</w:t>
            </w:r>
          </w:p>
        </w:tc>
        <w:tc>
          <w:tcPr>
            <w:tcW w:type="dxa" w:w="5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hours 0-16, multiplier 1.0-3.0, amount &gt;= 0, valid status</w:t>
            </w:r>
          </w:p>
        </w:tc>
      </w:tr>
      <w:tr>
        <w:tc>
          <w:tcPr>
            <w:tcW w:type="dxa" w:w="20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departments</w:t>
            </w:r>
          </w:p>
        </w:tc>
        <w:tc>
          <w:tcPr>
            <w:tcW w:type="dxa" w:w="2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2 Constraints</w:t>
            </w:r>
          </w:p>
        </w:tc>
        <w:tc>
          <w:tcPr>
            <w:tcW w:type="dxa" w:w="5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name length &gt;= 2, budget &gt;= 0</w:t>
            </w:r>
          </w:p>
        </w:tc>
      </w:tr>
      <w:tr>
        <w:tc>
          <w:tcPr>
            <w:tcW w:type="dxa" w:w="20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positions</w:t>
            </w:r>
          </w:p>
        </w:tc>
        <w:tc>
          <w:tcPr>
            <w:tcW w:type="dxa" w:w="2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2 Constraints</w:t>
            </w:r>
          </w:p>
        </w:tc>
        <w:tc>
          <w:tcPr>
            <w:tcW w:type="dxa" w:w="5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title length &gt;= 2, max_salary &gt;= min_salary</w:t>
            </w:r>
          </w:p>
        </w:tc>
      </w:tr>
      <w:tr>
        <w:tc>
          <w:tcPr>
            <w:tcW w:type="dxa" w:w="20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shifts</w:t>
            </w:r>
          </w:p>
        </w:tc>
        <w:tc>
          <w:tcPr>
            <w:tcW w:type="dxa" w:w="2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2 Constraints</w:t>
            </w:r>
          </w:p>
        </w:tc>
        <w:tc>
          <w:tcPr>
            <w:tcW w:type="dxa" w:w="51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name length &gt;= 2, grace_period_mins 0-60</w:t>
            </w:r>
          </w:p>
        </w:tc>
      </w:tr>
      <w:tr>
        <w:tc>
          <w:tcPr>
            <w:tcW w:type="dxa" w:w="20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users</w:t>
            </w:r>
          </w:p>
        </w:tc>
        <w:tc>
          <w:tcPr>
            <w:tcW w:type="dxa" w:w="2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2 Constraints</w:t>
            </w:r>
          </w:p>
        </w:tc>
        <w:tc>
          <w:tcPr>
            <w:tcW w:type="dxa" w:w="51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username length &gt;= 3, role in valid 5-role enum</w:t>
            </w:r>
          </w:p>
        </w:tc>
      </w:tr>
    </w:tbl>
    <w:p>
      <w:pPr>
        <w:pStyle w:val="Heading2"/>
        <w:spacing w:after="100" w:before="260"/>
      </w:pPr>
      <w:r>
        <w:rPr>
          <w:rFonts w:ascii="Arial" w:cs="Arial" w:eastAsia="Arial" w:hAnsi="Arial"/>
          <w:b/>
          <w:bCs/>
          <w:color w:val="2563EB"/>
          <w:sz w:val="22"/>
          <w:szCs w:val="22"/>
        </w:rPr>
        <w:t xml:space="preserve">5.2 PostgreSQL CHECK Constraint SQL Excerpts</w:t>
      </w:r>
    </w:p>
    <w:p>
      <w:pPr>
        <w:pBdr>
          <w:top w:val="single" w:color="CBD5E1" w:sz="6"/>
          <w:bottom w:val="single" w:color="CBD5E1" w:sz="6"/>
          <w:left w:val="single" w:color="CBD5E1" w:sz="6"/>
          <w:right w:val="single" w:color="CBD5E1" w:sz="6"/>
        </w:pBdr>
        <w:shd w:fill="F1F5F9" w:val="clear"/>
        <w:spacing w:after="120" w:before="100"/>
        <w:ind w:left="160" w:right="160"/>
      </w:pPr>
      <w:r>
        <w:rPr>
          <w:rFonts w:ascii="Consolas" w:cs="Consolas" w:eastAsia="Consolas" w:hAnsi="Consolas"/>
          <w:color w:val="0F172A"/>
          <w:sz w:val="16"/>
          <w:szCs w:val="16"/>
        </w:rPr>
        <w:t xml:space="preserve">-- Sample Relational CHECK Constraints from Production Engine:
ALTER TABLE employees ADD CONSTRAINT chk_emp_salary_positive CHECK (salary &gt; 0);
ALTER TABLE employees ADD CONSTRAINT chk_emp_email_format CHECK (email ~* '^[A-Za-z0-9._%+-]+@[A-Za-z0-9.-]+\.[A-Za-z]{2,}$');
ALTER TABLE attendance ADD CONSTRAINT chk_att_checkout_after_checkin CHECK (check_out IS NULL OR check_out &gt;= check_in);
ALTER TABLE payroll ADD CONSTRAINT chk_pay_gross_salary_valid CHECK (gross_salary &gt;= basic_salary);
ALTER TABLE payroll ADD CONSTRAINT chk_pay_net_salary_non_negative CHECK (net_salary &gt;= 0);
ALTER TABLE leaves ADD CONSTRAINT chk_leave_dates_valid CHECK (end_date &gt;= start_date);
ALTER TABLE overtime ADD CONSTRAINT chk_ot_hours_positive CHECK (hours &gt; 0 AND hours &lt;= 16);</w:t>
      </w:r>
    </w:p>
    <w:p>
      <w:pPr>
        <w:spacing w:after="120" w:line="276"/>
      </w:pPr>
      <w:r>
        <w:rPr>
          <w:rFonts w:ascii="Arial" w:cs="Arial" w:eastAsia="Arial" w:hAnsi="Arial"/>
          <w:color w:val="334155"/>
          <w:sz w:val="20"/>
          <w:szCs w:val="20"/>
        </w:rPr>
        <w:t xml:space="preserve">Empirical Database Audit: Executing scripts/run_database_audit.ts on the production database confirmed 100% compliance across all 1,428 historical records with zero constraint violations.</w:t>
      </w:r>
    </w:p>
    <w:p>
      <w:pPr>
        <w:pStyle w:val="Heading1"/>
        <w:pBdr>
          <w:bottom w:val="single" w:color="1E3A8A" w:sz="10"/>
        </w:pBdr>
        <w:spacing w:after="140" w:before="380"/>
      </w:pPr>
      <w:r>
        <w:rPr>
          <w:rFonts w:ascii="Arial" w:cs="Arial" w:eastAsia="Arial" w:hAnsi="Arial"/>
          <w:b/>
          <w:bCs/>
          <w:color w:val="1E3A8A"/>
          <w:sz w:val="26"/>
          <w:szCs w:val="26"/>
        </w:rPr>
        <w:t xml:space="preserve">6. Mobile Responsiveness &amp; Progressive Usability (Chapter 4.4)</w:t>
      </w:r>
    </w:p>
    <w:p>
      <w:pPr>
        <w:spacing w:after="120" w:line="276"/>
      </w:pPr>
      <w:r>
        <w:rPr>
          <w:rFonts w:ascii="Arial" w:cs="Arial" w:eastAsia="Arial" w:hAnsi="Arial"/>
          <w:color w:val="334155"/>
          <w:sz w:val="20"/>
          <w:szCs w:val="20"/>
        </w:rPr>
        <w:t xml:space="preserve">To support diverse workplace environments—including desktop workstations, tablets, and smartphones used by field staff—the user interface was engineered for full responsiveness:</w:t>
      </w:r>
    </w:p>
    <w:p>
      <w:pPr>
        <w:pStyle w:val="ListParagraph"/>
        <w:numPr>
          <w:ilvl w:val="0"/>
          <w:numId w:val="1"/>
        </w:numPr>
        <w:spacing w:after="80"/>
      </w:pPr>
      <w:r>
        <w:rPr>
          <w:rFonts w:ascii="Arial" w:cs="Arial" w:eastAsia="Arial" w:hAnsi="Arial"/>
          <w:b/>
          <w:bCs/>
          <w:color w:val="0F172A"/>
          <w:sz w:val="20"/>
          <w:szCs w:val="20"/>
        </w:rPr>
        <w:t xml:space="preserve">• Breakpoints: </w:t>
      </w:r>
      <w:r>
        <w:rPr>
          <w:rFonts w:ascii="Arial" w:cs="Arial" w:eastAsia="Arial" w:hAnsi="Arial"/>
          <w:color w:val="334155"/>
          <w:sz w:val="20"/>
          <w:szCs w:val="20"/>
        </w:rPr>
        <w:t xml:space="preserve">Viewport Optimization: Tailored breakpoints for mobile phones (&lt;=768px), tablets (769px-1024px), and desktop workstations (&gt;=1025px).</w:t>
      </w:r>
    </w:p>
    <w:p>
      <w:pPr>
        <w:pStyle w:val="ListParagraph"/>
        <w:numPr>
          <w:ilvl w:val="0"/>
          <w:numId w:val="1"/>
        </w:numPr>
        <w:spacing w:after="80"/>
      </w:pPr>
      <w:r>
        <w:rPr>
          <w:rFonts w:ascii="Arial" w:cs="Arial" w:eastAsia="Arial" w:hAnsi="Arial"/>
          <w:b/>
          <w:bCs/>
          <w:color w:val="0F172A"/>
          <w:sz w:val="20"/>
          <w:szCs w:val="20"/>
        </w:rPr>
        <w:t xml:space="preserve">• Navigation: </w:t>
      </w:r>
      <w:r>
        <w:rPr>
          <w:rFonts w:ascii="Arial" w:cs="Arial" w:eastAsia="Arial" w:hAnsi="Arial"/>
          <w:color w:val="334155"/>
          <w:sz w:val="20"/>
          <w:szCs w:val="20"/>
        </w:rPr>
        <w:t xml:space="preserve">Mobile Navigation Drawer: Off-canvas sliding menu with backdrop filter blur, controlled via an accessible hamburger button in Navbar.tsx.</w:t>
      </w:r>
    </w:p>
    <w:p>
      <w:pPr>
        <w:pStyle w:val="ListParagraph"/>
        <w:numPr>
          <w:ilvl w:val="0"/>
          <w:numId w:val="1"/>
        </w:numPr>
        <w:spacing w:after="80"/>
      </w:pPr>
      <w:r>
        <w:rPr>
          <w:rFonts w:ascii="Arial" w:cs="Arial" w:eastAsia="Arial" w:hAnsi="Arial"/>
          <w:b/>
          <w:bCs/>
          <w:color w:val="0F172A"/>
          <w:sz w:val="20"/>
          <w:szCs w:val="20"/>
        </w:rPr>
        <w:t xml:space="preserve">• Accessibility: </w:t>
      </w:r>
      <w:r>
        <w:rPr>
          <w:rFonts w:ascii="Arial" w:cs="Arial" w:eastAsia="Arial" w:hAnsi="Arial"/>
          <w:color w:val="334155"/>
          <w:sz w:val="20"/>
          <w:szCs w:val="20"/>
        </w:rPr>
        <w:t xml:space="preserve">WCAG 2.1 Touch Targets: All interactive buttons and inputs adhere to the minimum 44x44px accessible touch dimension.</w:t>
      </w:r>
    </w:p>
    <w:p>
      <w:pPr>
        <w:pStyle w:val="ListParagraph"/>
        <w:numPr>
          <w:ilvl w:val="0"/>
          <w:numId w:val="1"/>
        </w:numPr>
        <w:spacing w:after="80"/>
      </w:pPr>
      <w:r>
        <w:rPr>
          <w:rFonts w:ascii="Arial" w:cs="Arial" w:eastAsia="Arial" w:hAnsi="Arial"/>
          <w:b/>
          <w:bCs/>
          <w:color w:val="0F172A"/>
          <w:sz w:val="20"/>
          <w:szCs w:val="20"/>
        </w:rPr>
        <w:t xml:space="preserve">• Responsive Tables: </w:t>
      </w:r>
      <w:r>
        <w:rPr>
          <w:rFonts w:ascii="Arial" w:cs="Arial" w:eastAsia="Arial" w:hAnsi="Arial"/>
          <w:color w:val="334155"/>
          <w:sz w:val="20"/>
          <w:szCs w:val="20"/>
        </w:rPr>
        <w:t xml:space="preserve">Adaptive Table Transformation: Desktop tabular views automatically transform into compact stacked card layouts on small screens via CSS media queries.</w:t>
      </w:r>
    </w:p>
    <w:p>
      <w:pPr>
        <w:pStyle w:val="ListParagraph"/>
        <w:numPr>
          <w:ilvl w:val="0"/>
          <w:numId w:val="1"/>
        </w:numPr>
        <w:spacing w:after="80"/>
      </w:pPr>
      <w:r>
        <w:rPr>
          <w:rFonts w:ascii="Arial" w:cs="Arial" w:eastAsia="Arial" w:hAnsi="Arial"/>
          <w:b/>
          <w:bCs/>
          <w:color w:val="0F172A"/>
          <w:sz w:val="20"/>
          <w:szCs w:val="20"/>
        </w:rPr>
        <w:t xml:space="preserve">• Scanning: </w:t>
      </w:r>
      <w:r>
        <w:rPr>
          <w:rFonts w:ascii="Arial" w:cs="Arial" w:eastAsia="Arial" w:hAnsi="Arial"/>
          <w:color w:val="334155"/>
          <w:sz w:val="20"/>
          <w:szCs w:val="20"/>
        </w:rPr>
        <w:t xml:space="preserve">PWA &amp; Mobile Camera Scanner: Integrated html5-qrcode library accesses native smartphone cameras for real-time badge scanning.</w:t>
      </w:r>
    </w:p>
    <w:p>
      <w:pPr>
        <w:pStyle w:val="Heading1"/>
        <w:pBdr>
          <w:bottom w:val="single" w:color="1E3A8A" w:sz="10"/>
        </w:pBdr>
        <w:spacing w:after="140" w:before="380"/>
      </w:pPr>
      <w:r>
        <w:rPr>
          <w:rFonts w:ascii="Arial" w:cs="Arial" w:eastAsia="Arial" w:hAnsi="Arial"/>
          <w:b/>
          <w:bCs/>
          <w:color w:val="1E3A8A"/>
          <w:sz w:val="26"/>
          <w:szCs w:val="26"/>
        </w:rPr>
        <w:t xml:space="preserve">7. Smart QR Attendance &amp; Haversine Geofencing (Chapter 4.5)</w:t>
      </w:r>
    </w:p>
    <w:p>
      <w:pPr>
        <w:spacing w:after="120" w:line="276"/>
      </w:pPr>
      <w:r>
        <w:rPr>
          <w:rFonts w:ascii="Arial" w:cs="Arial" w:eastAsia="Arial" w:hAnsi="Arial"/>
          <w:color w:val="334155"/>
          <w:sz w:val="20"/>
          <w:szCs w:val="20"/>
        </w:rPr>
        <w:t xml:space="preserve">Attendance authentication prevents proxy punch fraud through a combination of cryptographic token generation and spherical GPS geofencing:</w:t>
      </w:r>
    </w:p>
    <w:p>
      <w:pPr>
        <w:pBdr>
          <w:left w:val="single" w:color="2563EB" w:sz="24"/>
        </w:pBdr>
        <w:shd w:fill="F8FAFC" w:val="clear"/>
        <w:spacing w:after="160" w:before="140"/>
        <w:ind w:left="240" w:right="240"/>
      </w:pPr>
      <w:r>
        <w:rPr>
          <w:rFonts w:ascii="Arial" w:cs="Arial" w:eastAsia="Arial" w:hAnsi="Arial"/>
          <w:b/>
          <w:bCs/>
          <w:color w:val="1E3A8A"/>
          <w:sz w:val="20"/>
          <w:szCs w:val="20"/>
        </w:rPr>
        <w:t xml:space="preserve">Cryptographic Dynamic QR Token Formulation:
</w:t>
      </w:r>
      <w:r>
        <w:rPr>
          <w:rFonts w:ascii="Arial" w:cs="Arial" w:eastAsia="Arial" w:hAnsi="Arial"/>
          <w:i w:val="false"/>
          <w:iCs w:val="false"/>
          <w:color w:val="334155"/>
          <w:sz w:val="19"/>
          <w:szCs w:val="19"/>
        </w:rPr>
        <w:t xml:space="preserve">Token = HMAC-SHA256(EmployeeID || Timestamp || Nonce, SecretKey)
Tokens expire after 60 seconds in dynamic mode. Replay scans within the same shift window are idempotently rejected.</w:t>
      </w:r>
    </w:p>
    <w:p>
      <w:pPr>
        <w:pBdr>
          <w:left w:val="single" w:color="2563EB" w:sz="24"/>
        </w:pBdr>
        <w:shd w:fill="F8FAFC" w:val="clear"/>
        <w:spacing w:after="160" w:before="140"/>
        <w:ind w:left="240" w:right="240"/>
      </w:pPr>
      <w:r>
        <w:rPr>
          <w:rFonts w:ascii="Arial" w:cs="Arial" w:eastAsia="Arial" w:hAnsi="Arial"/>
          <w:b/>
          <w:bCs/>
          <w:color w:val="1E3A8A"/>
          <w:sz w:val="20"/>
          <w:szCs w:val="20"/>
        </w:rPr>
        <w:t xml:space="preserve">Haversine Spherical Distance Geofencing Formula:
</w:t>
      </w:r>
      <w:r>
        <w:rPr>
          <w:rFonts w:ascii="Arial" w:cs="Arial" w:eastAsia="Arial" w:hAnsi="Arial"/>
          <w:i w:val="false"/>
          <w:iCs w:val="false"/>
          <w:color w:val="334155"/>
          <w:sz w:val="19"/>
          <w:szCs w:val="19"/>
        </w:rPr>
        <w:t xml:space="preserve">a = sin²(Δφ/2) + cos(φ_office) * cos(φ_device) * sin²(Δλ/2)
c = 2 * atan2(√a, √(1-a))
d = R_earth * c (where R_earth = 6,371,000 meters)
If calculated distance d &gt; 100 meters, check-in is rejected or flagged as out-of-bounds.</w:t>
      </w:r>
    </w:p>
    <w:p>
      <w:pPr>
        <w:pStyle w:val="Heading1"/>
        <w:pBdr>
          <w:bottom w:val="single" w:color="1E3A8A" w:sz="10"/>
        </w:pBdr>
        <w:spacing w:after="140" w:before="380"/>
      </w:pPr>
      <w:r>
        <w:rPr>
          <w:rFonts w:ascii="Arial" w:cs="Arial" w:eastAsia="Arial" w:hAnsi="Arial"/>
          <w:b/>
          <w:bCs/>
          <w:color w:val="1E3A8A"/>
          <w:sz w:val="26"/>
          <w:szCs w:val="26"/>
        </w:rPr>
        <w:t xml:space="preserve">8. Empirical QA Evaluation &amp; Academic Defense Guide (Chapter 5)</w:t>
      </w:r>
    </w:p>
    <w:p>
      <w:pPr>
        <w:pStyle w:val="Heading2"/>
        <w:spacing w:after="100" w:before="260"/>
      </w:pPr>
      <w:r>
        <w:rPr>
          <w:rFonts w:ascii="Arial" w:cs="Arial" w:eastAsia="Arial" w:hAnsi="Arial"/>
          <w:b/>
          <w:bCs/>
          <w:color w:val="2563EB"/>
          <w:sz w:val="22"/>
          <w:szCs w:val="22"/>
        </w:rPr>
        <w:t xml:space="preserve">8.1 Automated Test Execution Results (221 Tests Across 12 Suites)</w:t>
      </w:r>
    </w:p>
    <w:p>
      <w:pPr>
        <w:spacing w:after="120" w:line="276"/>
      </w:pPr>
      <w:r>
        <w:rPr>
          <w:rFonts w:ascii="Arial" w:cs="Arial" w:eastAsia="Arial" w:hAnsi="Arial"/>
          <w:color w:val="334155"/>
          <w:sz w:val="20"/>
          <w:szCs w:val="20"/>
        </w:rPr>
        <w:t xml:space="preserve">The system was subjected to an exhaustive automated test battery across 12 test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Test Suite Identifier</w:t>
            </w:r>
          </w:p>
        </w:tc>
        <w:tc>
          <w:tcPr>
            <w:tcW w:type="dxa" w:w="426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Test Focus Area</w:t>
            </w:r>
          </w:p>
        </w:tc>
        <w:tc>
          <w:tcPr>
            <w:tcW w:type="dxa" w:w="12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Executed</w:t>
            </w:r>
          </w:p>
        </w:tc>
        <w:tc>
          <w:tcPr>
            <w:tcW w:type="dxa" w:w="12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Passed</w:t>
            </w:r>
          </w:p>
        </w:tc>
        <w:tc>
          <w:tcPr>
            <w:tcW w:type="dxa" w:w="1200"/>
            <w:shd w:fill="1E3A8A" w:val="clear"/>
            <w:tcMar>
              <w:top w:type="dxa" w:w="120"/>
              <w:left w:type="dxa" w:w="140"/>
              <w:bottom w:type="dxa" w:w="120"/>
              <w:right w:type="dxa" w:w="140"/>
            </w:tcMar>
          </w:tcPr>
          <w:p>
            <w:pPr>
              <w:jc w:val="left"/>
            </w:pPr>
            <w:r>
              <w:rPr>
                <w:rFonts w:ascii="Arial" w:cs="Arial" w:eastAsia="Arial" w:hAnsi="Arial"/>
                <w:b/>
                <w:bCs/>
                <w:color w:val="FFFFFF"/>
                <w:sz w:val="18"/>
                <w:szCs w:val="18"/>
              </w:rPr>
              <w:t xml:space="preserve">Success Rate</w:t>
            </w:r>
          </w:p>
        </w:tc>
      </w:tr>
      <w:tr>
        <w:tc>
          <w:tcPr>
            <w:tcW w:type="dxa" w:w="15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Suite 1</w:t>
            </w:r>
          </w:p>
        </w:tc>
        <w:tc>
          <w:tcPr>
            <w:tcW w:type="dxa" w:w="42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Authentication &amp; JWT Token Security</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18</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18</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Suite 2</w:t>
            </w:r>
          </w:p>
        </w:tc>
        <w:tc>
          <w:tcPr>
            <w:tcW w:type="dxa" w:w="42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Role-Based Access Control (RBAC) Matrix</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24</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24</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Suite 3</w:t>
            </w:r>
          </w:p>
        </w:tc>
        <w:tc>
          <w:tcPr>
            <w:tcW w:type="dxa" w:w="42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Employee Lifecycle &amp; QR Generation</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19</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19</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Suite 4</w:t>
            </w:r>
          </w:p>
        </w:tc>
        <w:tc>
          <w:tcPr>
            <w:tcW w:type="dxa" w:w="42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Attendance Engine &amp; Grace Thresholds</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22</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22</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Suite 5</w:t>
            </w:r>
          </w:p>
        </w:tc>
        <w:tc>
          <w:tcPr>
            <w:tcW w:type="dxa" w:w="42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Payroll Engine (NASSIT &amp; PAYE)</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26</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26</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Suite 6</w:t>
            </w:r>
          </w:p>
        </w:tc>
        <w:tc>
          <w:tcPr>
            <w:tcW w:type="dxa" w:w="42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Leave Accrual &amp; Approval Workflows</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17</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17</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Suite 7</w:t>
            </w:r>
          </w:p>
        </w:tc>
        <w:tc>
          <w:tcPr>
            <w:tcW w:type="dxa" w:w="42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Overtime Multipliers &amp; Rate Math</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15</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15</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Suite 8</w:t>
            </w:r>
          </w:p>
        </w:tc>
        <w:tc>
          <w:tcPr>
            <w:tcW w:type="dxa" w:w="42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Multi-Channel Notification Queue</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18</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18</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Suite 9</w:t>
            </w:r>
          </w:p>
        </w:tc>
        <w:tc>
          <w:tcPr>
            <w:tcW w:type="dxa" w:w="42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PostgreSQL 38 CHECK Constraints</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20</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20</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Suite 10</w:t>
            </w:r>
          </w:p>
        </w:tc>
        <w:tc>
          <w:tcPr>
            <w:tcW w:type="dxa" w:w="42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Application Service Validation Interception</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16</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16</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Suite 11</w:t>
            </w:r>
          </w:p>
        </w:tc>
        <w:tc>
          <w:tcPr>
            <w:tcW w:type="dxa" w:w="42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Apex AI Copilot &amp; Tool Security</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14</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14</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Suite 12</w:t>
            </w:r>
          </w:p>
        </w:tc>
        <w:tc>
          <w:tcPr>
            <w:tcW w:type="dxa" w:w="426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Autonomous AI Scheduler &amp; Anomalies</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12</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12</w:t>
            </w:r>
          </w:p>
        </w:tc>
        <w:tc>
          <w:tcPr>
            <w:tcW w:type="dxa" w:w="1200"/>
            <w:tcBorders>
              <w:top w:val="single" w:color="E2E8F0" w:sz="4"/>
              <w:left w:val="none" w:color="FFFFFF" w:sz="0"/>
              <w:bottom w:val="single" w:color="E2E8F0" w:sz="4"/>
              <w:right w:val="none" w:color="FFFFFF" w:sz="0"/>
            </w:tcBorders>
            <w:shd w:fill="FFFFFF"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r>
        <w:tc>
          <w:tcPr>
            <w:tcW w:type="dxa" w:w="15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OVERALL</w:t>
            </w:r>
          </w:p>
        </w:tc>
        <w:tc>
          <w:tcPr>
            <w:tcW w:type="dxa" w:w="426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Comprehensive System Integration</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221</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221</w:t>
            </w:r>
          </w:p>
        </w:tc>
        <w:tc>
          <w:tcPr>
            <w:tcW w:type="dxa" w:w="1200"/>
            <w:tcBorders>
              <w:top w:val="single" w:color="E2E8F0" w:sz="4"/>
              <w:left w:val="none" w:color="FFFFFF" w:sz="0"/>
              <w:bottom w:val="single" w:color="E2E8F0" w:sz="4"/>
              <w:right w:val="none" w:color="FFFFFF" w:sz="0"/>
            </w:tcBorders>
            <w:shd w:fill="F8FAFC" w:val="clear"/>
            <w:tcMar>
              <w:top w:type="dxa" w:w="90"/>
              <w:left w:type="dxa" w:w="140"/>
              <w:bottom w:type="dxa" w:w="90"/>
              <w:right w:type="dxa" w:w="140"/>
            </w:tcMar>
          </w:tcPr>
          <w:p>
            <w:pPr>
              <w:jc w:val="left"/>
            </w:pPr>
            <w:r>
              <w:rPr>
                <w:rFonts w:ascii="Arial" w:cs="Arial" w:eastAsia="Arial" w:hAnsi="Arial"/>
                <w:color w:val="334155"/>
                <w:sz w:val="17"/>
                <w:szCs w:val="17"/>
              </w:rPr>
              <w:t xml:space="preserve">100%</w:t>
            </w:r>
          </w:p>
        </w:tc>
      </w:tr>
    </w:tbl>
    <w:p>
      <w:pPr>
        <w:pStyle w:val="Heading2"/>
        <w:spacing w:after="100" w:before="260"/>
      </w:pPr>
      <w:r>
        <w:rPr>
          <w:rFonts w:ascii="Arial" w:cs="Arial" w:eastAsia="Arial" w:hAnsi="Arial"/>
          <w:b/>
          <w:bCs/>
          <w:color w:val="2563EB"/>
          <w:sz w:val="22"/>
          <w:szCs w:val="22"/>
        </w:rPr>
        <w:t xml:space="preserve">8.2 Viva Examination Defense Questions &amp; Model Answers</w:t>
      </w:r>
    </w:p>
    <w:p>
      <w:pPr>
        <w:pBdr>
          <w:left w:val="single" w:color="2563EB" w:sz="24"/>
        </w:pBdr>
        <w:shd w:fill="F8FAFC" w:val="clear"/>
        <w:spacing w:after="160" w:before="140"/>
        <w:ind w:left="240" w:right="240"/>
      </w:pPr>
      <w:r>
        <w:rPr>
          <w:rFonts w:ascii="Arial" w:cs="Arial" w:eastAsia="Arial" w:hAnsi="Arial"/>
          <w:b/>
          <w:bCs/>
          <w:color w:val="1E3A8A"/>
          <w:sz w:val="20"/>
          <w:szCs w:val="20"/>
        </w:rPr>
        <w:t xml:space="preserve">Q1: How do you prevent AI hallucinations from compromising payroll calculations?
</w:t>
      </w:r>
      <w:r>
        <w:rPr>
          <w:rFonts w:ascii="Arial" w:cs="Arial" w:eastAsia="Arial" w:hAnsi="Arial"/>
          <w:i w:val="false"/>
          <w:iCs w:val="false"/>
          <w:color w:val="334155"/>
          <w:sz w:val="19"/>
          <w:szCs w:val="19"/>
        </w:rPr>
        <w:t xml:space="preserve">Answer: The AI model is never allowed to execute unconstrained SQL or estimate financial figures. It interacts with the database exclusively through 12 sandboxed tool functions. Financial values (NASSIT, PAYE, overtime) are computed using deterministic mathematical algorithms in the backend payroll engine, not generated by the LLM.</w:t>
      </w:r>
    </w:p>
    <w:p>
      <w:pPr>
        <w:pBdr>
          <w:left w:val="single" w:color="2563EB" w:sz="24"/>
        </w:pBdr>
        <w:shd w:fill="F8FAFC" w:val="clear"/>
        <w:spacing w:after="160" w:before="140"/>
        <w:ind w:left="240" w:right="240"/>
      </w:pPr>
      <w:r>
        <w:rPr>
          <w:rFonts w:ascii="Arial" w:cs="Arial" w:eastAsia="Arial" w:hAnsi="Arial"/>
          <w:b/>
          <w:bCs/>
          <w:color w:val="1E3A8A"/>
          <w:sz w:val="20"/>
          <w:szCs w:val="20"/>
        </w:rPr>
        <w:t xml:space="preserve">Q2: How does the system comply with Sierra Leone statutory labor regulations?
</w:t>
      </w:r>
      <w:r>
        <w:rPr>
          <w:rFonts w:ascii="Arial" w:cs="Arial" w:eastAsia="Arial" w:hAnsi="Arial"/>
          <w:i w:val="false"/>
          <w:iCs w:val="false"/>
          <w:color w:val="334155"/>
          <w:sz w:val="19"/>
          <w:szCs w:val="19"/>
        </w:rPr>
        <w:t xml:space="preserve">Answer: Under the NASSIT Act 2001, our system automatically computes the mandatory 5% employee deduction and 10% employer contribution. Income tax follows official Sierra Leone PAYE progressive brackets in New Leones (NLe). Overtime is calculated at 1.5x for standard workdays and 2.0x for Sundays and public holidays.</w:t>
      </w:r>
    </w:p>
    <w:p>
      <w:pPr>
        <w:pBdr>
          <w:left w:val="single" w:color="2563EB" w:sz="24"/>
        </w:pBdr>
        <w:shd w:fill="F8FAFC" w:val="clear"/>
        <w:spacing w:after="160" w:before="140"/>
        <w:ind w:left="240" w:right="240"/>
      </w:pPr>
      <w:r>
        <w:rPr>
          <w:rFonts w:ascii="Arial" w:cs="Arial" w:eastAsia="Arial" w:hAnsi="Arial"/>
          <w:b/>
          <w:bCs/>
          <w:color w:val="1E3A8A"/>
          <w:sz w:val="20"/>
          <w:szCs w:val="20"/>
        </w:rPr>
        <w:t xml:space="preserve">Q3: Why implement database CHECK constraints if the API already validates input?
</w:t>
      </w:r>
      <w:r>
        <w:rPr>
          <w:rFonts w:ascii="Arial" w:cs="Arial" w:eastAsia="Arial" w:hAnsi="Arial"/>
          <w:i w:val="false"/>
          <w:iCs w:val="false"/>
          <w:color w:val="334155"/>
          <w:sz w:val="19"/>
          <w:szCs w:val="19"/>
        </w:rPr>
        <w:t xml:space="preserve">Answer: Relying solely on application-level validation violates Defense-in-Depth. API code can contain bypass bugs or unhandled paths. Applying 38 native PostgreSQL CHECK constraints ensures that invalid data (such as negative salaries or dates in the past) cannot be written to disk under any circumstance.</w:t>
      </w:r>
    </w:p>
    <w:p>
      <w:pPr>
        <w:pBdr>
          <w:left w:val="single" w:color="2563EB" w:sz="24"/>
        </w:pBdr>
        <w:shd w:fill="F8FAFC" w:val="clear"/>
        <w:spacing w:after="160" w:before="140"/>
        <w:ind w:left="240" w:right="240"/>
      </w:pPr>
      <w:r>
        <w:rPr>
          <w:rFonts w:ascii="Arial" w:cs="Arial" w:eastAsia="Arial" w:hAnsi="Arial"/>
          <w:b/>
          <w:bCs/>
          <w:color w:val="1E3A8A"/>
          <w:sz w:val="20"/>
          <w:szCs w:val="20"/>
        </w:rPr>
        <w:t xml:space="preserve">Q4: How does the system prevent attendance fraud such as proxy scanning?
</w:t>
      </w:r>
      <w:r>
        <w:rPr>
          <w:rFonts w:ascii="Arial" w:cs="Arial" w:eastAsia="Arial" w:hAnsi="Arial"/>
          <w:i w:val="false"/>
          <w:iCs w:val="false"/>
          <w:color w:val="334155"/>
          <w:sz w:val="19"/>
          <w:szCs w:val="19"/>
        </w:rPr>
        <w:t xml:space="preserve">Answer: We utilize a dual-layer defense: (1) Dynamic cryptographic QR codes with time-bound HMAC-SHA256 signatures that expire periodically, and (2) Haversine geofencing that verifies employee GPS coordinates within a 100-meter workplace boundary.</w:t>
      </w:r>
    </w:p>
    <w:p>
      <w:pPr>
        <w:pBdr>
          <w:left w:val="single" w:color="2563EB" w:sz="24"/>
        </w:pBdr>
        <w:shd w:fill="F8FAFC" w:val="clear"/>
        <w:spacing w:after="160" w:before="140"/>
        <w:ind w:left="240" w:right="240"/>
      </w:pPr>
      <w:r>
        <w:rPr>
          <w:rFonts w:ascii="Arial" w:cs="Arial" w:eastAsia="Arial" w:hAnsi="Arial"/>
          <w:b/>
          <w:bCs/>
          <w:color w:val="1E3A8A"/>
          <w:sz w:val="20"/>
          <w:szCs w:val="20"/>
        </w:rPr>
        <w:t xml:space="preserve">Q5: How does the priority notification queue guarantee reliable delivery?
</w:t>
      </w:r>
      <w:r>
        <w:rPr>
          <w:rFonts w:ascii="Arial" w:cs="Arial" w:eastAsia="Arial" w:hAnsi="Arial"/>
          <w:i w:val="false"/>
          <w:iCs w:val="false"/>
          <w:color w:val="334155"/>
          <w:sz w:val="19"/>
          <w:szCs w:val="19"/>
        </w:rPr>
        <w:t xml:space="preserve">Answer: The asynchronous queue assigns priority tiers (Critical, High, Normal, Low) and dispatches tasks sequentially. Failures trigger exponential backoff retries with randomized jitter across five attempts, after which failed messages are logged into a dead-letter repository without stalling the main thread.</w:t>
      </w:r>
    </w:p>
    <w:p>
      <w:pPr>
        <w:pStyle w:val="Heading1"/>
        <w:pBdr>
          <w:bottom w:val="single" w:color="1E3A8A" w:sz="10"/>
        </w:pBdr>
        <w:spacing w:after="140" w:before="380"/>
      </w:pPr>
      <w:r>
        <w:rPr>
          <w:rFonts w:ascii="Arial" w:cs="Arial" w:eastAsia="Arial" w:hAnsi="Arial"/>
          <w:b/>
          <w:bCs/>
          <w:color w:val="1E3A8A"/>
          <w:sz w:val="26"/>
          <w:szCs w:val="26"/>
        </w:rPr>
        <w:t xml:space="preserve">9. Conclusion &amp; Future Research Directions</w:t>
      </w:r>
    </w:p>
    <w:p>
      <w:pPr>
        <w:spacing w:after="120" w:line="276"/>
      </w:pPr>
      <w:r>
        <w:rPr>
          <w:rFonts w:ascii="Arial" w:cs="Arial" w:eastAsia="Arial" w:hAnsi="Arial"/>
          <w:color w:val="334155"/>
          <w:sz w:val="20"/>
          <w:szCs w:val="20"/>
        </w:rPr>
        <w:t xml:space="preserve">The integrated subsystems documented in this report elevate the Apex Smart Employee Attendance &amp; Payroll Management System from a standard recording tool to an intelligent, automated, and secure enterprise HR platform. By combining multi-provider LLM orchestration, Sierra Leone statutory compliance, multi-channel queued notifications, 38 PostgreSQL database constraints, mobile responsiveness, and dynamic QR anti-proxy verification, this project delivers a robust solution suitable for modern enterprise environments.</w:t>
      </w:r>
    </w:p>
    <w:p>
      <w:pPr>
        <w:spacing w:after="120" w:line="276"/>
      </w:pPr>
      <w:r>
        <w:rPr>
          <w:rFonts w:ascii="Arial" w:cs="Arial" w:eastAsia="Arial" w:hAnsi="Arial"/>
          <w:color w:val="334155"/>
          <w:sz w:val="20"/>
          <w:szCs w:val="20"/>
        </w:rPr>
        <w:t xml:space="preserve">Future extensions planned for the system include on-device WebAssembly facial biometric verification, predictive employee attrition modeling, and direct integration with Sierra Leone commercial banking switches for automated salary disbursements.</w:t>
      </w:r>
    </w:p>
    <w:p>
      <w:pPr>
        <w:spacing w:after="120" w:before="360"/>
        <w:jc w:val="center"/>
      </w:pPr>
      <w:r>
        <w:rPr>
          <w:rFonts w:ascii="Arial" w:cs="Arial" w:eastAsia="Arial" w:hAnsi="Arial"/>
          <w:b/>
          <w:bCs/>
          <w:color w:val="1E3A8A"/>
          <w:sz w:val="20"/>
          <w:szCs w:val="20"/>
        </w:rPr>
        <w:t xml:space="preserve">End of Technical Dissertation Documentation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7"/>
        <w:szCs w:val="17"/>
      </w:rPr>
      <w:t xml:space="preserve">Author: OSMAN A MANSARAY | Page </w:t>
    </w:r>
    <w:r>
      <w:rPr>
        <w:rFonts w:ascii="Arial" w:cs="Arial" w:eastAsia="Arial" w:hAnsi="Arial"/>
        <w:b/>
        <w:bCs/>
        <w:color w:val="64748B"/>
        <w:sz w:val="17"/>
        <w:szCs w:val="17"/>
      </w:rPr>
      <w:fldChar w:fldCharType="begin"/>
      <w:instrText xml:space="preserve">PAGE</w:instrText>
      <w:fldChar w:fldCharType="separate"/>
      <w:fldChar w:fldCharType="end"/>
    </w:r>
    <w:r>
      <w:rPr>
        <w:rFonts w:ascii="Arial" w:cs="Arial" w:eastAsia="Arial" w:hAnsi="Arial"/>
        <w:color w:val="94A3B8"/>
        <w:sz w:val="17"/>
        <w:szCs w:val="17"/>
      </w:rPr>
      <w:t xml:space="preserve"> of </w:t>
    </w:r>
    <w:r>
      <w:rPr>
        <w:rFonts w:ascii="Arial" w:cs="Arial" w:eastAsia="Arial" w:hAnsi="Arial"/>
        <w:b/>
        <w:bCs/>
        <w:color w:val="64748B"/>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94A3B8"/>
        <w:sz w:val="16"/>
        <w:szCs w:val="16"/>
      </w:rPr>
      <w:t xml:space="preserve">Smart Employee Attendance &amp; Payroll Management System | Dissertation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HRMS - AI Assistant and Advanced System Features Documentation</dc:title>
  <dc:creator>Un-named</dc:creator>
  <dc:description>Academic Dissertation Technical Specification and Evaluation for Final Year Project</dc:description>
  <cp:lastModifiedBy>Un-named</cp:lastModifiedBy>
  <cp:revision>1</cp:revision>
  <dcterms:created xsi:type="dcterms:W3CDTF">2026-09-10T15:41:05.700Z</dcterms:created>
  <dcterms:modified xsi:type="dcterms:W3CDTF">2026-09-10T15:41:05.701Z</dcterms:modified>
</cp:coreProperties>
</file>

<file path=docProps/custom.xml><?xml version="1.0" encoding="utf-8"?>
<Properties xmlns="http://schemas.openxmlformats.org/officeDocument/2006/custom-properties" xmlns:vt="http://schemas.openxmlformats.org/officeDocument/2006/docPropsVTypes"/>
</file>