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E3A8A"/>
          <w:sz w:val="20"/>
          <w:szCs w:val="20"/>
        </w:rPr>
        <w:t xml:space="preserve">FINAL YEAR DISSERTATION TECHNICAL SPECIFICATION</w:t>
      </w:r>
    </w:p>
    <w:p>
      <w:pPr>
        <w:spacing w:after="180"/>
        <w:jc w:val="center"/>
      </w:pPr>
      <w:r>
        <w:rPr>
          <w:rFonts w:ascii="Arial" w:cs="Arial" w:eastAsia="Arial" w:hAnsi="Arial"/>
          <w:b/>
          <w:bCs/>
          <w:color w:val="0F172A"/>
          <w:sz w:val="32"/>
          <w:szCs w:val="32"/>
        </w:rPr>
        <w:t xml:space="preserve">Smart Employee Attendance &amp; Payroll Management System</w:t>
      </w:r>
    </w:p>
    <w:p>
      <w:pPr>
        <w:spacing w:after="100"/>
        <w:jc w:val="center"/>
      </w:pPr>
      <w:r>
        <w:rPr>
          <w:rFonts w:ascii="Arial" w:cs="Arial" w:eastAsia="Arial" w:hAnsi="Arial"/>
          <w:b w:val="false"/>
          <w:bCs w:val="false"/>
          <w:i/>
          <w:iCs/>
          <w:color w:val="2563EB"/>
          <w:sz w:val="21"/>
          <w:szCs w:val="21"/>
        </w:rPr>
        <w:t xml:space="preserve">Technical Documentation: AI Assistant, Multi-Channel Notifications, 38 PostgreSQL CHECK Constraints, and Mobile Responsive PWA Architecture</w:t>
      </w:r>
    </w:p>
    <w:p>
      <w:pPr>
        <w:spacing w:after="320"/>
        <w:jc w:val="center"/>
      </w:pPr>
      <w:r>
        <w:rPr>
          <w:rFonts w:ascii="Arial" w:cs="Arial" w:eastAsia="Arial" w:hAnsi="Arial"/>
          <w:b/>
          <w:bCs/>
          <w:color w:val="64748B"/>
          <w:sz w:val="18"/>
          <w:szCs w:val="18"/>
        </w:rPr>
        <w:t xml:space="preserve">Author: OSMAN A MANSARAY | Academic Year: 2025/2026 | Enterprise Version 2.4.0</w:t>
      </w:r>
    </w:p>
    <w:p>
      <w:pPr>
        <w:pBdr>
          <w:bottom w:val="single" w:color="1E3A8A" w:sz="18"/>
        </w:pBdr>
        <w:spacing w:after="280"/>
      </w:pPr>
    </w:p>
    <w:p>
      <w:pPr>
        <w:pStyle w:val="Heading1"/>
        <w:spacing w:after="140" w:before="360"/>
      </w:pPr>
      <w:r>
        <w:rPr>
          <w:rFonts w:ascii="Arial" w:cs="Arial" w:eastAsia="Arial" w:hAnsi="Arial"/>
          <w:b/>
          <w:bCs/>
          <w:color w:val="1E3A8A"/>
          <w:sz w:val="26"/>
          <w:szCs w:val="26"/>
        </w:rPr>
        <w:t xml:space="preserve">1. Executive Summary &amp; Research Scope</w:t>
      </w:r>
    </w:p>
    <w:p>
      <w:pPr>
        <w:spacing w:after="120" w:line="276"/>
      </w:pPr>
      <w:r>
        <w:rPr>
          <w:rFonts w:ascii="Arial" w:cs="Arial" w:eastAsia="Arial" w:hAnsi="Arial"/>
          <w:color w:val="334155"/>
          <w:sz w:val="20"/>
          <w:szCs w:val="20"/>
        </w:rPr>
        <w:t xml:space="preserve">Modern corporate human resource management demands real-time data integrity, automated compliance enforcement, fluid cross-device accessibility, and intelligent decision-support capabilities. Traditional enterprise HR and payroll management systems frequently suffer from data corruption due to unconstrained database inputs, proxy attendance fraud ("buddy punching"), complex manual payroll computations prone to human error, and fragmented communication channels.</w:t>
      </w:r>
    </w:p>
    <w:p>
      <w:pPr>
        <w:spacing w:after="120" w:line="276"/>
      </w:pPr>
      <w:r>
        <w:rPr>
          <w:rFonts w:ascii="Arial" w:cs="Arial" w:eastAsia="Arial" w:hAnsi="Arial"/>
          <w:color w:val="334155"/>
          <w:sz w:val="20"/>
          <w:szCs w:val="20"/>
        </w:rPr>
        <w:t xml:space="preserve">This technical document details the engineering specifications, algorithmic formulations, and empirical testing of the major advanced subsystems integrated into the Apex Smart Employee Attendance &amp; Payroll Management System. These subsystems encompass: (1) Apex AI Copilot with multi-LLM fallback and 12 sandboxed tools, (2) Sierra Leone statutory compliance (NASSIT &amp; PAYE tax bands), (3) Enterprise multi-channel queued notifications, (4) 38 PostgreSQL CHECK constraints with application-layer interception, (5) Mobile responsive UI architecture with touch-optimized controls, and (6) Dynamic QR attendance with Haversine geofencing.</w:t>
      </w:r>
    </w:p>
    <w:p>
      <w:pPr>
        <w:pStyle w:val="Heading1"/>
        <w:spacing w:after="140" w:before="360"/>
      </w:pPr>
      <w:r>
        <w:rPr>
          <w:rFonts w:ascii="Arial" w:cs="Arial" w:eastAsia="Arial" w:hAnsi="Arial"/>
          <w:b/>
          <w:bCs/>
          <w:color w:val="1E3A8A"/>
          <w:sz w:val="26"/>
          <w:szCs w:val="26"/>
        </w:rPr>
        <w:t xml:space="preserve">2. System Architecture &amp; Integrated Design (Chapter 3)</w:t>
      </w:r>
    </w:p>
    <w:p>
      <w:pPr>
        <w:pStyle w:val="Heading2"/>
        <w:spacing w:after="100" w:before="260"/>
      </w:pPr>
      <w:r>
        <w:rPr>
          <w:rFonts w:ascii="Arial" w:cs="Arial" w:eastAsia="Arial" w:hAnsi="Arial"/>
          <w:b/>
          <w:bCs/>
          <w:color w:val="2563EB"/>
          <w:sz w:val="22"/>
          <w:szCs w:val="22"/>
        </w:rPr>
        <w:t xml:space="preserve">2.1 Multi-Tier Architectural Topology</w:t>
      </w:r>
    </w:p>
    <w:p>
      <w:pPr>
        <w:spacing w:after="120" w:line="276"/>
      </w:pPr>
      <w:r>
        <w:rPr>
          <w:rFonts w:ascii="Arial" w:cs="Arial" w:eastAsia="Arial" w:hAnsi="Arial"/>
          <w:color w:val="334155"/>
          <w:sz w:val="20"/>
          <w:szCs w:val="20"/>
        </w:rPr>
        <w:t xml:space="preserve">The system adopts a modern multi-tier decoupled client-server architecture. The presentation tier is built as a single-page application (SPA) using React 19, Tailwind CSS 4, Motion animations, and Lucide enterprise icons. The application services tier is powered by a Node.js 22 LTS Express REST API written in strict TypeScript. Persistence is managed through a relational PostgreSQL 18 database interfaced via Drizzle ORM.</w:t>
      </w:r>
    </w:p>
    <w:p>
      <w:pPr>
        <w:pBdr>
          <w:top w:val="single" w:color="CBD5E1" w:sz="6"/>
          <w:bottom w:val="single" w:color="CBD5E1" w:sz="6"/>
          <w:left w:val="single" w:color="CBD5E1" w:sz="6"/>
          <w:right w:val="single" w:color="CBD5E1" w:sz="6"/>
        </w:pBdr>
        <w:shd w:fill="F1F5F9" w:val="clear"/>
        <w:spacing w:after="120" w:before="100"/>
        <w:ind w:left="160" w:right="160"/>
      </w:pPr>
      <w:r>
        <w:rPr>
          <w:rFonts w:ascii="Consolas" w:cs="Consolas" w:eastAsia="Consolas" w:hAnsi="Consolas"/>
          <w:color w:val="0F172A"/>
          <w:sz w:val="17"/>
          <w:szCs w:val="17"/>
        </w:rPr>
        <w:t xml:space="preserve">┌─────────────────────────────────────────────────────────────┐
│                  REACT 19 FRONTEND CLIENT                   │
│  Tailwind CSS 4 • Motion • Recharts • Mobile Nav Drawer     │
└──────────────────────────────┬──────────────────────────────┘
                               │ HTTPS / REST (JWT Auth)
┌──────────────────────────────▼──────────────────────────────┐
│                  NODE.JS / EXPRESS BACKEND                  │
│  JWT Middleware • Validation Engine • AI Orchestrator       │
│  Payroll Compute (NASSIT/PAYE) • Multi-Channel Queue        │
└───────────────┬──────────────────────────────┬──────────────┘
                │ SQL Pool (Drizzle ORM)       │ Encrypted API
┌───────────────▼──────────────┐ ┌─────────────▼──────────────┐
│     POSTGRESQL 18 DATABASE   │ │   EXTERNAL AI CLOUD (LLM)  │
│  • 12 Relational Tables      │ │  • Google Gemini 2.5 Flash │
│  • 38 SQL CHECK Constraints  │ │  • Groq LLaMA 3.3 70B      │
│  • Foreign Keys with Cascade │ │  • Air-Gapped Local Engine │
└──────────────────────────────┘ └────────────────────────────┘</w:t>
      </w:r>
    </w:p>
    <w:p>
      <w:pPr>
        <w:pStyle w:val="Heading2"/>
        <w:spacing w:after="100" w:before="260"/>
      </w:pPr>
      <w:r>
        <w:rPr>
          <w:rFonts w:ascii="Arial" w:cs="Arial" w:eastAsia="Arial" w:hAnsi="Arial"/>
          <w:b/>
          <w:bCs/>
          <w:color w:val="2563EB"/>
          <w:sz w:val="22"/>
          <w:szCs w:val="22"/>
        </w:rPr>
        <w:t xml:space="preserve">2.2 Role-Based Access Control (RBAC) Matrix</w:t>
      </w:r>
    </w:p>
    <w:p>
      <w:pPr>
        <w:spacing w:after="120" w:line="276"/>
      </w:pPr>
      <w:r>
        <w:rPr>
          <w:rFonts w:ascii="Arial" w:cs="Arial" w:eastAsia="Arial" w:hAnsi="Arial"/>
          <w:color w:val="334155"/>
          <w:sz w:val="20"/>
          <w:szCs w:val="20"/>
        </w:rPr>
        <w:t xml:space="preserve">The system enforces strict zero-trust Role-Based Access Control across five organizational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300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System Module / Action</w:t>
            </w:r>
          </w:p>
        </w:tc>
        <w:tc>
          <w:tcPr>
            <w:tcW w:type="dxa" w:w="1272"/>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Admin</w:t>
            </w:r>
          </w:p>
        </w:tc>
        <w:tc>
          <w:tcPr>
            <w:tcW w:type="dxa" w:w="1272"/>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HR Officer</w:t>
            </w:r>
          </w:p>
        </w:tc>
        <w:tc>
          <w:tcPr>
            <w:tcW w:type="dxa" w:w="1272"/>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Payroll Officer</w:t>
            </w:r>
          </w:p>
        </w:tc>
        <w:tc>
          <w:tcPr>
            <w:tcW w:type="dxa" w:w="1272"/>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Manager</w:t>
            </w:r>
          </w:p>
        </w:tc>
        <w:tc>
          <w:tcPr>
            <w:tcW w:type="dxa" w:w="1272"/>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Employee</w:t>
            </w:r>
          </w:p>
        </w:tc>
      </w:tr>
      <w:tr>
        <w:tc>
          <w:tcPr>
            <w:tcW w:type="dxa" w:w="30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User Account Provisioning</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Full CRUD</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View Only</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None</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None</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None</w:t>
            </w:r>
          </w:p>
        </w:tc>
      </w:tr>
      <w:tr>
        <w:tc>
          <w:tcPr>
            <w:tcW w:type="dxa" w:w="30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Employee Records Management</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Full CRUD</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Full CRUD</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View Only</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Dept View</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Self Profile</w:t>
            </w:r>
          </w:p>
        </w:tc>
      </w:tr>
      <w:tr>
        <w:tc>
          <w:tcPr>
            <w:tcW w:type="dxa" w:w="30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Attendance Punch &amp; QR Scanner</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Hardware/Test</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View All</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View All</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Dept View</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Self Punch</w:t>
            </w:r>
          </w:p>
        </w:tc>
      </w:tr>
      <w:tr>
        <w:tc>
          <w:tcPr>
            <w:tcW w:type="dxa" w:w="30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Leave Application Approvals</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Final Override</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Approve/Reject</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View Approved</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Endorse</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Apply/View</w:t>
            </w:r>
          </w:p>
        </w:tc>
      </w:tr>
      <w:tr>
        <w:tc>
          <w:tcPr>
            <w:tcW w:type="dxa" w:w="30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Overtime Verification &amp; Rates</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Full Admin</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Review Hours</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Compute Pay</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Dept Endorse</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View Own</w:t>
            </w:r>
          </w:p>
        </w:tc>
      </w:tr>
      <w:tr>
        <w:tc>
          <w:tcPr>
            <w:tcW w:type="dxa" w:w="30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Payroll Computation &amp; Payouts</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Approve/Lock</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View Summary</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Full Compute</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Dept Total</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View Payslip</w:t>
            </w:r>
          </w:p>
        </w:tc>
      </w:tr>
      <w:tr>
        <w:tc>
          <w:tcPr>
            <w:tcW w:type="dxa" w:w="30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Multi-Channel Notifications</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System-Wide</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Dept/Staff</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Payslip Slips</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Team Alerts</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Inbox View</w:t>
            </w:r>
          </w:p>
        </w:tc>
      </w:tr>
      <w:tr>
        <w:tc>
          <w:tcPr>
            <w:tcW w:type="dxa" w:w="30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AI Copilot: Analytics Queries</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Full Scope</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Staff/Leaves</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Compensation</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Dept Summary</w:t>
            </w:r>
          </w:p>
        </w:tc>
        <w:tc>
          <w:tcPr>
            <w:tcW w:type="dxa" w:w="1272"/>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Personal Only</w:t>
            </w:r>
          </w:p>
        </w:tc>
      </w:tr>
      <w:tr>
        <w:tc>
          <w:tcPr>
            <w:tcW w:type="dxa" w:w="30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System Configuration &amp; Audits</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Full Control</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None</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None</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None</w:t>
            </w:r>
          </w:p>
        </w:tc>
        <w:tc>
          <w:tcPr>
            <w:tcW w:type="dxa" w:w="1272"/>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None</w:t>
            </w:r>
          </w:p>
        </w:tc>
      </w:tr>
    </w:tbl>
    <w:p>
      <w:pPr>
        <w:pStyle w:val="Heading1"/>
        <w:spacing w:after="140" w:before="360"/>
      </w:pPr>
      <w:r>
        <w:rPr>
          <w:rFonts w:ascii="Arial" w:cs="Arial" w:eastAsia="Arial" w:hAnsi="Arial"/>
          <w:b/>
          <w:bCs/>
          <w:color w:val="1E3A8A"/>
          <w:sz w:val="26"/>
          <w:szCs w:val="26"/>
        </w:rPr>
        <w:t xml:space="preserve">3. Apex AI HR &amp; Payroll Assistant (Chapter 4.1)</w:t>
      </w:r>
    </w:p>
    <w:p>
      <w:pPr>
        <w:pStyle w:val="Heading2"/>
        <w:spacing w:after="100" w:before="260"/>
      </w:pPr>
      <w:r>
        <w:rPr>
          <w:rFonts w:ascii="Arial" w:cs="Arial" w:eastAsia="Arial" w:hAnsi="Arial"/>
          <w:b/>
          <w:bCs/>
          <w:color w:val="2563EB"/>
          <w:sz w:val="22"/>
          <w:szCs w:val="22"/>
        </w:rPr>
        <w:t xml:space="preserve">3.1 Tri-Provider Fallback Cascade Architecture</w:t>
      </w:r>
    </w:p>
    <w:p>
      <w:pPr>
        <w:spacing w:after="120" w:line="276"/>
      </w:pPr>
      <w:r>
        <w:rPr>
          <w:rFonts w:ascii="Arial" w:cs="Arial" w:eastAsia="Arial" w:hAnsi="Arial"/>
          <w:color w:val="334155"/>
          <w:sz w:val="20"/>
          <w:szCs w:val="20"/>
        </w:rPr>
        <w:t xml:space="preserve">To guarantee high availability even in environments with unpredictable external network connectivity, the AI subsystem incorporates an autonomous tri-provider fallback cascade:</w:t>
      </w:r>
    </w:p>
    <w:p>
      <w:pPr>
        <w:pStyle w:val="ListParagraph"/>
        <w:numPr>
          <w:ilvl w:val="0"/>
          <w:numId w:val="1"/>
        </w:numPr>
        <w:spacing w:after="80"/>
      </w:pPr>
      <w:r>
        <w:rPr>
          <w:rFonts w:ascii="Arial" w:cs="Arial" w:eastAsia="Arial" w:hAnsi="Arial"/>
          <w:b/>
          <w:bCs/>
          <w:color w:val="0F172A"/>
          <w:sz w:val="20"/>
          <w:szCs w:val="20"/>
        </w:rPr>
        <w:t xml:space="preserve">1. </w:t>
      </w:r>
      <w:r>
        <w:rPr>
          <w:rFonts w:ascii="Arial" w:cs="Arial" w:eastAsia="Arial" w:hAnsi="Arial"/>
          <w:color w:val="334155"/>
          <w:sz w:val="20"/>
          <w:szCs w:val="20"/>
        </w:rPr>
        <w:t xml:space="preserve">Primary Provider: Google Gemini 2.5 Flash, providing rapid tool-use execution, high-accuracy argument extraction, and sub-second reasoning.</w:t>
      </w:r>
    </w:p>
    <w:p>
      <w:pPr>
        <w:pStyle w:val="ListParagraph"/>
        <w:numPr>
          <w:ilvl w:val="0"/>
          <w:numId w:val="1"/>
        </w:numPr>
        <w:spacing w:after="80"/>
      </w:pPr>
      <w:r>
        <w:rPr>
          <w:rFonts w:ascii="Arial" w:cs="Arial" w:eastAsia="Arial" w:hAnsi="Arial"/>
          <w:b/>
          <w:bCs/>
          <w:color w:val="0F172A"/>
          <w:sz w:val="20"/>
          <w:szCs w:val="20"/>
        </w:rPr>
        <w:t xml:space="preserve">2. </w:t>
      </w:r>
      <w:r>
        <w:rPr>
          <w:rFonts w:ascii="Arial" w:cs="Arial" w:eastAsia="Arial" w:hAnsi="Arial"/>
          <w:color w:val="334155"/>
          <w:sz w:val="20"/>
          <w:szCs w:val="20"/>
        </w:rPr>
        <w:t xml:space="preserve">Secondary Provider: Groq LLaMA 3.3 70B, serving as an ultra-low-latency open-weights backup executing on custom LPU silicon.</w:t>
      </w:r>
    </w:p>
    <w:p>
      <w:pPr>
        <w:pStyle w:val="ListParagraph"/>
        <w:numPr>
          <w:ilvl w:val="0"/>
          <w:numId w:val="1"/>
        </w:numPr>
        <w:spacing w:after="80"/>
      </w:pPr>
      <w:r>
        <w:rPr>
          <w:rFonts w:ascii="Arial" w:cs="Arial" w:eastAsia="Arial" w:hAnsi="Arial"/>
          <w:b/>
          <w:bCs/>
          <w:color w:val="0F172A"/>
          <w:sz w:val="20"/>
          <w:szCs w:val="20"/>
        </w:rPr>
        <w:t xml:space="preserve">3. </w:t>
      </w:r>
      <w:r>
        <w:rPr>
          <w:rFonts w:ascii="Arial" w:cs="Arial" w:eastAsia="Arial" w:hAnsi="Arial"/>
          <w:color w:val="334155"/>
          <w:sz w:val="20"/>
          <w:szCs w:val="20"/>
        </w:rPr>
        <w:t xml:space="preserve">Tertiary Provider: OpenAI GPT-4o-mini, providing high-reliability enterprise reasoning.</w:t>
      </w:r>
    </w:p>
    <w:p>
      <w:pPr>
        <w:pStyle w:val="ListParagraph"/>
        <w:numPr>
          <w:ilvl w:val="0"/>
          <w:numId w:val="1"/>
        </w:numPr>
        <w:spacing w:after="80"/>
      </w:pPr>
      <w:r>
        <w:rPr>
          <w:rFonts w:ascii="Arial" w:cs="Arial" w:eastAsia="Arial" w:hAnsi="Arial"/>
          <w:b/>
          <w:bCs/>
          <w:color w:val="0F172A"/>
          <w:sz w:val="20"/>
          <w:szCs w:val="20"/>
        </w:rPr>
        <w:t xml:space="preserve">4. </w:t>
      </w:r>
      <w:r>
        <w:rPr>
          <w:rFonts w:ascii="Arial" w:cs="Arial" w:eastAsia="Arial" w:hAnsi="Arial"/>
          <w:color w:val="334155"/>
          <w:sz w:val="20"/>
          <w:szCs w:val="20"/>
        </w:rPr>
        <w:t xml:space="preserve">Deterministic Air-Gapped Local Fallback: If internet connectivity is entirely lost, a local regex-driven rule engine directly queries database functions to generate tabular reports, ensuring zero operational downtime.</w:t>
      </w:r>
    </w:p>
    <w:p>
      <w:pPr>
        <w:pStyle w:val="Heading2"/>
        <w:spacing w:after="100" w:before="260"/>
      </w:pPr>
      <w:r>
        <w:rPr>
          <w:rFonts w:ascii="Arial" w:cs="Arial" w:eastAsia="Arial" w:hAnsi="Arial"/>
          <w:b/>
          <w:bCs/>
          <w:color w:val="2563EB"/>
          <w:sz w:val="22"/>
          <w:szCs w:val="22"/>
        </w:rPr>
        <w:t xml:space="preserve">3.2 Function Calling &amp; 12 Sandboxed Enterprise Tools</w:t>
      </w:r>
    </w:p>
    <w:p>
      <w:pPr>
        <w:spacing w:after="120" w:line="276"/>
      </w:pPr>
      <w:r>
        <w:rPr>
          <w:rFonts w:ascii="Arial" w:cs="Arial" w:eastAsia="Arial" w:hAnsi="Arial"/>
          <w:color w:val="334155"/>
          <w:sz w:val="20"/>
          <w:szCs w:val="20"/>
        </w:rPr>
        <w:t xml:space="preserve">The AI assistant never generates or executes unconstrained raw SQL. All data interactions are conducted through 12 sandboxed, strictly typed tool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60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Tool Function Name</w:t>
            </w:r>
          </w:p>
        </w:tc>
        <w:tc>
          <w:tcPr>
            <w:tcW w:type="dxa" w:w="160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Category</w:t>
            </w:r>
          </w:p>
        </w:tc>
        <w:tc>
          <w:tcPr>
            <w:tcW w:type="dxa" w:w="516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Operational Scope &amp; Parameters</w:t>
            </w:r>
          </w:p>
        </w:tc>
      </w:tr>
      <w:tr>
        <w:tc>
          <w:tcPr>
            <w:tcW w:type="dxa" w:w="2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get_attendance_summary</w:t>
            </w:r>
          </w:p>
        </w:tc>
        <w:tc>
          <w:tcPr>
            <w:tcW w:type="dxa" w:w="1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Attendance</w:t>
            </w:r>
          </w:p>
        </w:tc>
        <w:tc>
          <w:tcPr>
            <w:tcW w:type="dxa" w:w="5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Aggregates present, late, absent counts for a date/department.</w:t>
            </w:r>
          </w:p>
        </w:tc>
      </w:tr>
      <w:tr>
        <w:tc>
          <w:tcPr>
            <w:tcW w:type="dxa" w:w="2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get_payroll_summary</w:t>
            </w:r>
          </w:p>
        </w:tc>
        <w:tc>
          <w:tcPr>
            <w:tcW w:type="dxa" w:w="1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Payroll</w:t>
            </w:r>
          </w:p>
        </w:tc>
        <w:tc>
          <w:tcPr>
            <w:tcW w:type="dxa" w:w="5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Summarizes gross liability, net payouts, NASSIT, and PAYE tax.</w:t>
            </w:r>
          </w:p>
        </w:tc>
      </w:tr>
      <w:tr>
        <w:tc>
          <w:tcPr>
            <w:tcW w:type="dxa" w:w="2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query_leave_requests</w:t>
            </w:r>
          </w:p>
        </w:tc>
        <w:tc>
          <w:tcPr>
            <w:tcW w:type="dxa" w:w="1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Leaves</w:t>
            </w:r>
          </w:p>
        </w:tc>
        <w:tc>
          <w:tcPr>
            <w:tcW w:type="dxa" w:w="5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Filters pending, approved, or rejected applications with dates.</w:t>
            </w:r>
          </w:p>
        </w:tc>
      </w:tr>
      <w:tr>
        <w:tc>
          <w:tcPr>
            <w:tcW w:type="dxa" w:w="2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lookup_employee</w:t>
            </w:r>
          </w:p>
        </w:tc>
        <w:tc>
          <w:tcPr>
            <w:tcW w:type="dxa" w:w="1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Staff</w:t>
            </w:r>
          </w:p>
        </w:tc>
        <w:tc>
          <w:tcPr>
            <w:tcW w:type="dxa" w:w="5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Resolves employee profile, contact info, department, and tenure.</w:t>
            </w:r>
          </w:p>
        </w:tc>
      </w:tr>
      <w:tr>
        <w:tc>
          <w:tcPr>
            <w:tcW w:type="dxa" w:w="2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get_attendance_anomalies</w:t>
            </w:r>
          </w:p>
        </w:tc>
        <w:tc>
          <w:tcPr>
            <w:tcW w:type="dxa" w:w="1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Audit</w:t>
            </w:r>
          </w:p>
        </w:tc>
        <w:tc>
          <w:tcPr>
            <w:tcW w:type="dxa" w:w="5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Detects unclosed shifts (&gt;14h), duplicate scans, extreme overtime.</w:t>
            </w:r>
          </w:p>
        </w:tc>
      </w:tr>
      <w:tr>
        <w:tc>
          <w:tcPr>
            <w:tcW w:type="dxa" w:w="2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calculate_payroll_proj</w:t>
            </w:r>
          </w:p>
        </w:tc>
        <w:tc>
          <w:tcPr>
            <w:tcW w:type="dxa" w:w="1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Finance</w:t>
            </w:r>
          </w:p>
        </w:tc>
        <w:tc>
          <w:tcPr>
            <w:tcW w:type="dxa" w:w="5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Simulates statutory tax, pension obligations, and net pay.</w:t>
            </w:r>
          </w:p>
        </w:tc>
      </w:tr>
      <w:tr>
        <w:tc>
          <w:tcPr>
            <w:tcW w:type="dxa" w:w="2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search_company_knowledge</w:t>
            </w:r>
          </w:p>
        </w:tc>
        <w:tc>
          <w:tcPr>
            <w:tcW w:type="dxa" w:w="1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RAG / Legal</w:t>
            </w:r>
          </w:p>
        </w:tc>
        <w:tc>
          <w:tcPr>
            <w:tcW w:type="dxa" w:w="5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Searches HR handbook, labor laws, and NASSIT/PAYE regulations.</w:t>
            </w:r>
          </w:p>
        </w:tc>
      </w:tr>
      <w:tr>
        <w:tc>
          <w:tcPr>
            <w:tcW w:type="dxa" w:w="2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send_employee_notif</w:t>
            </w:r>
          </w:p>
        </w:tc>
        <w:tc>
          <w:tcPr>
            <w:tcW w:type="dxa" w:w="1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Messaging</w:t>
            </w:r>
          </w:p>
        </w:tc>
        <w:tc>
          <w:tcPr>
            <w:tcW w:type="dxa" w:w="5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Dispatches urgent multi-channel alerts (Email, SMS, WA, In-App).</w:t>
            </w:r>
          </w:p>
        </w:tc>
      </w:tr>
      <w:tr>
        <w:tc>
          <w:tcPr>
            <w:tcW w:type="dxa" w:w="2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get_department_analytics</w:t>
            </w:r>
          </w:p>
        </w:tc>
        <w:tc>
          <w:tcPr>
            <w:tcW w:type="dxa" w:w="1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Analytics</w:t>
            </w:r>
          </w:p>
        </w:tc>
        <w:tc>
          <w:tcPr>
            <w:tcW w:type="dxa" w:w="5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Compares attendance percentages and payroll budgets across units.</w:t>
            </w:r>
          </w:p>
        </w:tc>
      </w:tr>
      <w:tr>
        <w:tc>
          <w:tcPr>
            <w:tcW w:type="dxa" w:w="2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trigger_scheduled_auto</w:t>
            </w:r>
          </w:p>
        </w:tc>
        <w:tc>
          <w:tcPr>
            <w:tcW w:type="dxa" w:w="1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Automation</w:t>
            </w:r>
          </w:p>
        </w:tc>
        <w:tc>
          <w:tcPr>
            <w:tcW w:type="dxa" w:w="5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Executes scheduled background routines and anomaly scanners.</w:t>
            </w:r>
          </w:p>
        </w:tc>
      </w:tr>
      <w:tr>
        <w:tc>
          <w:tcPr>
            <w:tcW w:type="dxa" w:w="2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request_user_confirmation</w:t>
            </w:r>
          </w:p>
        </w:tc>
        <w:tc>
          <w:tcPr>
            <w:tcW w:type="dxa" w:w="1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Security</w:t>
            </w:r>
          </w:p>
        </w:tc>
        <w:tc>
          <w:tcPr>
            <w:tcW w:type="dxa" w:w="5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Presents interactive UI confirmation card before mutations.</w:t>
            </w:r>
          </w:p>
        </w:tc>
      </w:tr>
      <w:tr>
        <w:tc>
          <w:tcPr>
            <w:tcW w:type="dxa" w:w="2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export_workforce_report</w:t>
            </w:r>
          </w:p>
        </w:tc>
        <w:tc>
          <w:tcPr>
            <w:tcW w:type="dxa" w:w="1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Reporting</w:t>
            </w:r>
          </w:p>
        </w:tc>
        <w:tc>
          <w:tcPr>
            <w:tcW w:type="dxa" w:w="5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Generates exportable structured workforce data summaries.</w:t>
            </w:r>
          </w:p>
        </w:tc>
      </w:tr>
    </w:tbl>
    <w:p>
      <w:pPr>
        <w:pStyle w:val="Heading2"/>
        <w:spacing w:after="100" w:before="260"/>
      </w:pPr>
      <w:r>
        <w:rPr>
          <w:rFonts w:ascii="Arial" w:cs="Arial" w:eastAsia="Arial" w:hAnsi="Arial"/>
          <w:b/>
          <w:bCs/>
          <w:color w:val="2563EB"/>
          <w:sz w:val="22"/>
          <w:szCs w:val="22"/>
        </w:rPr>
        <w:t xml:space="preserve">3.3 Sierra Leone Regulatory Compliance (NASSIT &amp; PAYE)</w:t>
      </w:r>
    </w:p>
    <w:p>
      <w:pPr>
        <w:spacing w:after="120" w:line="276"/>
      </w:pPr>
      <w:r>
        <w:rPr>
          <w:rFonts w:ascii="Arial" w:cs="Arial" w:eastAsia="Arial" w:hAnsi="Arial"/>
          <w:color w:val="334155"/>
          <w:sz w:val="20"/>
          <w:szCs w:val="20"/>
        </w:rPr>
        <w:t xml:space="preserve">The AI and payroll computation engines implement the statutory labor and tax codes of Sierra Leone:</w:t>
      </w:r>
    </w:p>
    <w:p>
      <w:pPr>
        <w:pBdr>
          <w:left w:val="single" w:color="2563EB" w:sz="24"/>
        </w:pBdr>
        <w:shd w:fill="F8FAFC" w:val="clear"/>
        <w:spacing w:after="160" w:before="140"/>
        <w:ind w:left="240" w:right="240"/>
      </w:pPr>
      <w:r>
        <w:rPr>
          <w:rFonts w:ascii="Arial" w:cs="Arial" w:eastAsia="Arial" w:hAnsi="Arial"/>
          <w:b/>
          <w:bCs/>
          <w:color w:val="1E3A8A"/>
          <w:sz w:val="20"/>
          <w:szCs w:val="20"/>
        </w:rPr>
        <w:t xml:space="preserve">National Social Security &amp; Insurance Trust (NASSIT Act 2001):
</w:t>
      </w:r>
      <w:r>
        <w:rPr>
          <w:rFonts w:ascii="Arial" w:cs="Arial" w:eastAsia="Arial" w:hAnsi="Arial"/>
          <w:i/>
          <w:iCs/>
          <w:color w:val="475569"/>
          <w:sz w:val="19"/>
          <w:szCs w:val="19"/>
        </w:rPr>
        <w:t xml:space="preserve">• Employee Contribution: 5% deducted from Gross Basic Wage.
• Employer Contribution: 10% contributed by organization.
• Total Statutory Remittance: 15% remitted monthly to the NASSIT trust.</w:t>
      </w:r>
    </w:p>
    <w:p>
      <w:pPr>
        <w:pBdr>
          <w:left w:val="single" w:color="2563EB" w:sz="24"/>
        </w:pBdr>
        <w:shd w:fill="F8FAFC" w:val="clear"/>
        <w:spacing w:after="160" w:before="140"/>
        <w:ind w:left="240" w:right="240"/>
      </w:pPr>
      <w:r>
        <w:rPr>
          <w:rFonts w:ascii="Arial" w:cs="Arial" w:eastAsia="Arial" w:hAnsi="Arial"/>
          <w:b/>
          <w:bCs/>
          <w:color w:val="1E3A8A"/>
          <w:sz w:val="20"/>
          <w:szCs w:val="20"/>
        </w:rPr>
        <w:t xml:space="preserve">Sierra Leone PAYE Progressive Monthly Income Tax Bands (New Leones - NLe):
</w:t>
      </w:r>
      <w:r>
        <w:rPr>
          <w:rFonts w:ascii="Arial" w:cs="Arial" w:eastAsia="Arial" w:hAnsi="Arial"/>
          <w:i/>
          <w:iCs/>
          <w:color w:val="475569"/>
          <w:sz w:val="19"/>
          <w:szCs w:val="19"/>
        </w:rPr>
        <w:t xml:space="preserve">• First NLe 0.00 – 600.00: 0% (Tax-Free Threshold)
• Next NLe 600.01 – 1,200.00: 15%
• Next NLe 1,200.01 – 1,800.00: 20%
• Next NLe 1,800.01 – 2,400.00: 25%
• Excess above NLe 2,400.00: 30%</w:t>
      </w:r>
    </w:p>
    <w:p>
      <w:pPr>
        <w:pStyle w:val="Heading2"/>
        <w:spacing w:after="100" w:before="260"/>
      </w:pPr>
      <w:r>
        <w:rPr>
          <w:rFonts w:ascii="Arial" w:cs="Arial" w:eastAsia="Arial" w:hAnsi="Arial"/>
          <w:b/>
          <w:bCs/>
          <w:color w:val="2563EB"/>
          <w:sz w:val="22"/>
          <w:szCs w:val="22"/>
        </w:rPr>
        <w:t xml:space="preserve">3.4 Autonomous Scheduled Automations (10 Templates)</w:t>
      </w:r>
    </w:p>
    <w:p>
      <w:pPr>
        <w:spacing w:after="120" w:line="276"/>
      </w:pPr>
      <w:r>
        <w:rPr>
          <w:rFonts w:ascii="Arial" w:cs="Arial" w:eastAsia="Arial" w:hAnsi="Arial"/>
          <w:color w:val="334155"/>
          <w:sz w:val="20"/>
          <w:szCs w:val="20"/>
        </w:rPr>
        <w:t xml:space="preserve">The AI engine features an autonomous background scheduler executing 10 pre-configured organizational automations: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60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No.</w:t>
            </w:r>
          </w:p>
        </w:tc>
        <w:tc>
          <w:tcPr>
            <w:tcW w:type="dxa" w:w="280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Automation Title</w:t>
            </w:r>
          </w:p>
        </w:tc>
        <w:tc>
          <w:tcPr>
            <w:tcW w:type="dxa" w:w="180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Frequency</w:t>
            </w:r>
          </w:p>
        </w:tc>
        <w:tc>
          <w:tcPr>
            <w:tcW w:type="dxa" w:w="416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Target Objective</w:t>
            </w:r>
          </w:p>
        </w:tc>
      </w:tr>
      <w:tr>
        <w:tc>
          <w:tcPr>
            <w:tcW w:type="dxa" w:w="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w:t>
            </w:r>
          </w:p>
        </w:tc>
        <w:tc>
          <w:tcPr>
            <w:tcW w:type="dxa" w:w="28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Morning Attendance Digest</w:t>
            </w:r>
          </w:p>
        </w:tc>
        <w:tc>
          <w:tcPr>
            <w:tcW w:type="dxa" w:w="18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Daily 09:30</w:t>
            </w:r>
          </w:p>
        </w:tc>
        <w:tc>
          <w:tcPr>
            <w:tcW w:type="dxa" w:w="4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Alert HR of tardy employees and absent shifts</w:t>
            </w:r>
          </w:p>
        </w:tc>
      </w:tr>
      <w:tr>
        <w:tc>
          <w:tcPr>
            <w:tcW w:type="dxa" w:w="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2</w:t>
            </w:r>
          </w:p>
        </w:tc>
        <w:tc>
          <w:tcPr>
            <w:tcW w:type="dxa" w:w="28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Unclosed Shift Anomaly Scan</w:t>
            </w:r>
          </w:p>
        </w:tc>
        <w:tc>
          <w:tcPr>
            <w:tcW w:type="dxa" w:w="18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Daily 20:00</w:t>
            </w:r>
          </w:p>
        </w:tc>
        <w:tc>
          <w:tcPr>
            <w:tcW w:type="dxa" w:w="4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Flag missing check-out punches exceeding 14 hours</w:t>
            </w:r>
          </w:p>
        </w:tc>
      </w:tr>
      <w:tr>
        <w:tc>
          <w:tcPr>
            <w:tcW w:type="dxa" w:w="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3</w:t>
            </w:r>
          </w:p>
        </w:tc>
        <w:tc>
          <w:tcPr>
            <w:tcW w:type="dxa" w:w="28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Friday Timesheet Reconciliation</w:t>
            </w:r>
          </w:p>
        </w:tc>
        <w:tc>
          <w:tcPr>
            <w:tcW w:type="dxa" w:w="18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Weekly (Fri)</w:t>
            </w:r>
          </w:p>
        </w:tc>
        <w:tc>
          <w:tcPr>
            <w:tcW w:type="dxa" w:w="4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Audit accrued weekly overtime hours across teams</w:t>
            </w:r>
          </w:p>
        </w:tc>
      </w:tr>
      <w:tr>
        <w:tc>
          <w:tcPr>
            <w:tcW w:type="dxa" w:w="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4</w:t>
            </w:r>
          </w:p>
        </w:tc>
        <w:tc>
          <w:tcPr>
            <w:tcW w:type="dxa" w:w="28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Monthly Payroll Pre-Run Audit</w:t>
            </w:r>
          </w:p>
        </w:tc>
        <w:tc>
          <w:tcPr>
            <w:tcW w:type="dxa" w:w="18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Monthly (25th)</w:t>
            </w:r>
          </w:p>
        </w:tc>
        <w:tc>
          <w:tcPr>
            <w:tcW w:type="dxa" w:w="4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Validate bank details, deductions, and active contracts</w:t>
            </w:r>
          </w:p>
        </w:tc>
      </w:tr>
      <w:tr>
        <w:tc>
          <w:tcPr>
            <w:tcW w:type="dxa" w:w="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5</w:t>
            </w:r>
          </w:p>
        </w:tc>
        <w:tc>
          <w:tcPr>
            <w:tcW w:type="dxa" w:w="28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Statutory Tax Remittance Reminder</w:t>
            </w:r>
          </w:p>
        </w:tc>
        <w:tc>
          <w:tcPr>
            <w:tcW w:type="dxa" w:w="18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Monthly (10th)</w:t>
            </w:r>
          </w:p>
        </w:tc>
        <w:tc>
          <w:tcPr>
            <w:tcW w:type="dxa" w:w="4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Notify finance to remit NASSIT and PAYE taxes</w:t>
            </w:r>
          </w:p>
        </w:tc>
      </w:tr>
      <w:tr>
        <w:tc>
          <w:tcPr>
            <w:tcW w:type="dxa" w:w="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6</w:t>
            </w:r>
          </w:p>
        </w:tc>
        <w:tc>
          <w:tcPr>
            <w:tcW w:type="dxa" w:w="28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Ghost Employee Payroll Check</w:t>
            </w:r>
          </w:p>
        </w:tc>
        <w:tc>
          <w:tcPr>
            <w:tcW w:type="dxa" w:w="18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Monthly (24th)</w:t>
            </w:r>
          </w:p>
        </w:tc>
        <w:tc>
          <w:tcPr>
            <w:tcW w:type="dxa" w:w="4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Correlate attendance scans with active payroll ledger</w:t>
            </w:r>
          </w:p>
        </w:tc>
      </w:tr>
      <w:tr>
        <w:tc>
          <w:tcPr>
            <w:tcW w:type="dxa" w:w="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7</w:t>
            </w:r>
          </w:p>
        </w:tc>
        <w:tc>
          <w:tcPr>
            <w:tcW w:type="dxa" w:w="28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Leave Accrual Ledger Refresh</w:t>
            </w:r>
          </w:p>
        </w:tc>
        <w:tc>
          <w:tcPr>
            <w:tcW w:type="dxa" w:w="18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Monthly (1st)</w:t>
            </w:r>
          </w:p>
        </w:tc>
        <w:tc>
          <w:tcPr>
            <w:tcW w:type="dxa" w:w="4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Credit monthly leave days according to policy schedule</w:t>
            </w:r>
          </w:p>
        </w:tc>
      </w:tr>
      <w:tr>
        <w:tc>
          <w:tcPr>
            <w:tcW w:type="dxa" w:w="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8</w:t>
            </w:r>
          </w:p>
        </w:tc>
        <w:tc>
          <w:tcPr>
            <w:tcW w:type="dxa" w:w="28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Geofence Proximity Drift Scanner</w:t>
            </w:r>
          </w:p>
        </w:tc>
        <w:tc>
          <w:tcPr>
            <w:tcW w:type="dxa" w:w="18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Continuous</w:t>
            </w:r>
          </w:p>
        </w:tc>
        <w:tc>
          <w:tcPr>
            <w:tcW w:type="dxa" w:w="4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Detect punches outside 100m workplace boundary</w:t>
            </w:r>
          </w:p>
        </w:tc>
      </w:tr>
      <w:tr>
        <w:tc>
          <w:tcPr>
            <w:tcW w:type="dxa" w:w="6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9</w:t>
            </w:r>
          </w:p>
        </w:tc>
        <w:tc>
          <w:tcPr>
            <w:tcW w:type="dxa" w:w="28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Overtime Threshold Spike Alert</w:t>
            </w:r>
          </w:p>
        </w:tc>
        <w:tc>
          <w:tcPr>
            <w:tcW w:type="dxa" w:w="18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Bi-Weekly</w:t>
            </w:r>
          </w:p>
        </w:tc>
        <w:tc>
          <w:tcPr>
            <w:tcW w:type="dxa" w:w="4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Flag personnel exceeding 40 hours of overtime per month</w:t>
            </w:r>
          </w:p>
        </w:tc>
      </w:tr>
      <w:tr>
        <w:tc>
          <w:tcPr>
            <w:tcW w:type="dxa" w:w="6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10</w:t>
            </w:r>
          </w:p>
        </w:tc>
        <w:tc>
          <w:tcPr>
            <w:tcW w:type="dxa" w:w="28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Contract Renewal Notifier</w:t>
            </w:r>
          </w:p>
        </w:tc>
        <w:tc>
          <w:tcPr>
            <w:tcW w:type="dxa" w:w="18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Weekly</w:t>
            </w:r>
          </w:p>
        </w:tc>
        <w:tc>
          <w:tcPr>
            <w:tcW w:type="dxa" w:w="4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Alert HR 30 days prior to employee contract expiration</w:t>
            </w:r>
          </w:p>
        </w:tc>
      </w:tr>
    </w:tbl>
    <w:p>
      <w:pPr>
        <w:pStyle w:val="Heading1"/>
        <w:spacing w:after="140" w:before="360"/>
      </w:pPr>
      <w:r>
        <w:rPr>
          <w:rFonts w:ascii="Arial" w:cs="Arial" w:eastAsia="Arial" w:hAnsi="Arial"/>
          <w:b/>
          <w:bCs/>
          <w:color w:val="1E3A8A"/>
          <w:sz w:val="26"/>
          <w:szCs w:val="26"/>
        </w:rPr>
        <w:t xml:space="preserve">4. Enterprise Multi-Channel Notifications (Chapter 4.2)</w:t>
      </w:r>
    </w:p>
    <w:p>
      <w:pPr>
        <w:pStyle w:val="Heading2"/>
        <w:spacing w:after="100" w:before="260"/>
      </w:pPr>
      <w:r>
        <w:rPr>
          <w:rFonts w:ascii="Arial" w:cs="Arial" w:eastAsia="Arial" w:hAnsi="Arial"/>
          <w:b/>
          <w:bCs/>
          <w:color w:val="2563EB"/>
          <w:sz w:val="22"/>
          <w:szCs w:val="22"/>
        </w:rPr>
        <w:t xml:space="preserve">4.1 Multi-Channel Dispatch &amp; Priority Queue</w:t>
      </w:r>
    </w:p>
    <w:p>
      <w:pPr>
        <w:spacing w:after="120" w:line="276"/>
      </w:pPr>
      <w:r>
        <w:rPr>
          <w:rFonts w:ascii="Arial" w:cs="Arial" w:eastAsia="Arial" w:hAnsi="Arial"/>
          <w:color w:val="334155"/>
          <w:sz w:val="20"/>
          <w:szCs w:val="20"/>
        </w:rPr>
        <w:t xml:space="preserve">The notification subsystem orchestrates communications across four distinct delivery vectors: (1) In-App Notification Center with live unread badge, (2) Responsive HTML Email via SMTP, (3) WhatsApp Business messaging via Cloud API webhooks, and (4) SMS cellular broadcast for remote field personnel.</w:t>
      </w:r>
    </w:p>
    <w:p>
      <w:pPr>
        <w:spacing w:after="120" w:line="276"/>
      </w:pPr>
      <w:r>
        <w:rPr>
          <w:rFonts w:ascii="Arial" w:cs="Arial" w:eastAsia="Arial" w:hAnsi="Arial"/>
          <w:color w:val="334155"/>
          <w:sz w:val="20"/>
          <w:szCs w:val="20"/>
        </w:rPr>
        <w:t xml:space="preserve">To maintain system throughput during high-volume events (such as simultaneous monthly payroll disbursements), an asynchronous priority queue with exponential backoff was implemented. The retry schedule is governed by: T_wait = min(T_base * 2^attempt + jitter, T_max), preventing API throttling and thread starvation.</w:t>
      </w:r>
    </w:p>
    <w:p>
      <w:pPr>
        <w:pStyle w:val="Heading2"/>
        <w:spacing w:after="100" w:before="260"/>
      </w:pPr>
      <w:r>
        <w:rPr>
          <w:rFonts w:ascii="Arial" w:cs="Arial" w:eastAsia="Arial" w:hAnsi="Arial"/>
          <w:b/>
          <w:bCs/>
          <w:color w:val="2563EB"/>
          <w:sz w:val="22"/>
          <w:szCs w:val="22"/>
        </w:rPr>
        <w:t xml:space="preserve">4.2 Salary Privacy Shielding &amp; Delivery Auditing</w:t>
      </w:r>
    </w:p>
    <w:p>
      <w:pPr>
        <w:pStyle w:val="ListParagraph"/>
        <w:numPr>
          <w:ilvl w:val="0"/>
          <w:numId w:val="1"/>
        </w:numPr>
        <w:spacing w:after="80"/>
      </w:pPr>
      <w:r>
        <w:rPr>
          <w:rFonts w:ascii="Arial" w:cs="Arial" w:eastAsia="Arial" w:hAnsi="Arial"/>
          <w:b/>
          <w:bCs/>
          <w:color w:val="0F172A"/>
          <w:sz w:val="20"/>
          <w:szCs w:val="20"/>
        </w:rPr>
        <w:t xml:space="preserve">• Privacy: </w:t>
      </w:r>
      <w:r>
        <w:rPr>
          <w:rFonts w:ascii="Arial" w:cs="Arial" w:eastAsia="Arial" w:hAnsi="Arial"/>
          <w:color w:val="334155"/>
          <w:sz w:val="20"/>
          <w:szCs w:val="20"/>
        </w:rPr>
        <w:t xml:space="preserve">Salary Data Redaction: Bank account numbers are masked showing only the terminal 4 digits (••••••••1234). Gross pay is excluded from subject lines to prevent visual snooping on smartphone lock screens.</w:t>
      </w:r>
    </w:p>
    <w:p>
      <w:pPr>
        <w:pStyle w:val="ListParagraph"/>
        <w:numPr>
          <w:ilvl w:val="0"/>
          <w:numId w:val="1"/>
        </w:numPr>
        <w:spacing w:after="80"/>
      </w:pPr>
      <w:r>
        <w:rPr>
          <w:rFonts w:ascii="Arial" w:cs="Arial" w:eastAsia="Arial" w:hAnsi="Arial"/>
          <w:b/>
          <w:bCs/>
          <w:color w:val="0F172A"/>
          <w:sz w:val="20"/>
          <w:szCs w:val="20"/>
        </w:rPr>
        <w:t xml:space="preserve">• Audit: </w:t>
      </w:r>
      <w:r>
        <w:rPr>
          <w:rFonts w:ascii="Arial" w:cs="Arial" w:eastAsia="Arial" w:hAnsi="Arial"/>
          <w:color w:val="334155"/>
          <w:sz w:val="20"/>
          <w:szCs w:val="20"/>
        </w:rPr>
        <w:t xml:space="preserve">Delivery Audit Trail: Every dispatch registers a persistent UUIDv4 tracking log recording state transitions: QUEUED → PROCESSING → SENT → DELIVERED → READ.</w:t>
      </w:r>
    </w:p>
    <w:p>
      <w:pPr>
        <w:pStyle w:val="Heading1"/>
        <w:spacing w:after="140" w:before="360"/>
      </w:pPr>
      <w:r>
        <w:rPr>
          <w:rFonts w:ascii="Arial" w:cs="Arial" w:eastAsia="Arial" w:hAnsi="Arial"/>
          <w:b/>
          <w:bCs/>
          <w:color w:val="1E3A8A"/>
          <w:sz w:val="26"/>
          <w:szCs w:val="26"/>
        </w:rPr>
        <w:t xml:space="preserve">5. Multi-Layer Data Validation &amp; 38 PostgreSQL Constraints (Chapter 4.3)</w:t>
      </w:r>
    </w:p>
    <w:p>
      <w:pPr>
        <w:pStyle w:val="Heading2"/>
        <w:spacing w:after="100" w:before="260"/>
      </w:pPr>
      <w:r>
        <w:rPr>
          <w:rFonts w:ascii="Arial" w:cs="Arial" w:eastAsia="Arial" w:hAnsi="Arial"/>
          <w:b/>
          <w:bCs/>
          <w:color w:val="2563EB"/>
          <w:sz w:val="22"/>
          <w:szCs w:val="22"/>
        </w:rPr>
        <w:t xml:space="preserve">5.1 Defense-in-Depth Validation Philosophy</w:t>
      </w:r>
    </w:p>
    <w:p>
      <w:pPr>
        <w:spacing w:after="120" w:line="276"/>
      </w:pPr>
      <w:r>
        <w:rPr>
          <w:rFonts w:ascii="Arial" w:cs="Arial" w:eastAsia="Arial" w:hAnsi="Arial"/>
          <w:color w:val="334155"/>
          <w:sz w:val="20"/>
          <w:szCs w:val="20"/>
        </w:rPr>
        <w:t xml:space="preserve">To ensure uncompromised data integrity, the system implements a dual-tier validation strategy: (1) Application Service Layer validation in TypeScript returning human-readable HTTP 400 Bad Request responses, and (2) 38 native PostgreSQL CHECK constraints enforcing mathematical and logical invariants at the disk storage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Database Table</w:t>
            </w:r>
          </w:p>
        </w:tc>
        <w:tc>
          <w:tcPr>
            <w:tcW w:type="dxa" w:w="220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Active Constraints</w:t>
            </w:r>
          </w:p>
        </w:tc>
        <w:tc>
          <w:tcPr>
            <w:tcW w:type="dxa" w:w="516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Key Enforced Relational Rules</w:t>
            </w:r>
          </w:p>
        </w:tc>
      </w:tr>
      <w:tr>
        <w:tc>
          <w:tcPr>
            <w:tcW w:type="dxa" w:w="20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employees</w:t>
            </w:r>
          </w:p>
        </w:tc>
        <w:tc>
          <w:tcPr>
            <w:tcW w:type="dxa" w:w="2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7 Constraints</w:t>
            </w:r>
          </w:p>
        </w:tc>
        <w:tc>
          <w:tcPr>
            <w:tcW w:type="dxa" w:w="5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Non-empty names, RFC 5322 email regex, valid status enum, salary &gt; 0</w:t>
            </w:r>
          </w:p>
        </w:tc>
      </w:tr>
      <w:tr>
        <w:tc>
          <w:tcPr>
            <w:tcW w:type="dxa" w:w="20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attendance</w:t>
            </w:r>
          </w:p>
        </w:tc>
        <w:tc>
          <w:tcPr>
            <w:tcW w:type="dxa" w:w="2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6 Constraints</w:t>
            </w:r>
          </w:p>
        </w:tc>
        <w:tc>
          <w:tcPr>
            <w:tcW w:type="dxa" w:w="5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check_out &gt;= check_in, work_hours 0-24, overtime 0-16, date &lt;= today+1</w:t>
            </w:r>
          </w:p>
        </w:tc>
      </w:tr>
      <w:tr>
        <w:tc>
          <w:tcPr>
            <w:tcW w:type="dxa" w:w="20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payroll</w:t>
            </w:r>
          </w:p>
        </w:tc>
        <w:tc>
          <w:tcPr>
            <w:tcW w:type="dxa" w:w="2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9 Constraints</w:t>
            </w:r>
          </w:p>
        </w:tc>
        <w:tc>
          <w:tcPr>
            <w:tcW w:type="dxa" w:w="5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basic_salary &gt; 0, gross &gt;= basic, net &gt;= 0, worked_days &lt;= working_days</w:t>
            </w:r>
          </w:p>
        </w:tc>
      </w:tr>
      <w:tr>
        <w:tc>
          <w:tcPr>
            <w:tcW w:type="dxa" w:w="20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leaves</w:t>
            </w:r>
          </w:p>
        </w:tc>
        <w:tc>
          <w:tcPr>
            <w:tcW w:type="dxa" w:w="2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4 Constraints</w:t>
            </w:r>
          </w:p>
        </w:tc>
        <w:tc>
          <w:tcPr>
            <w:tcW w:type="dxa" w:w="5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end_date &gt;= start_date, total_days &gt; 0, valid leave_type and status</w:t>
            </w:r>
          </w:p>
        </w:tc>
      </w:tr>
      <w:tr>
        <w:tc>
          <w:tcPr>
            <w:tcW w:type="dxa" w:w="20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overtime</w:t>
            </w:r>
          </w:p>
        </w:tc>
        <w:tc>
          <w:tcPr>
            <w:tcW w:type="dxa" w:w="2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4 Constraints</w:t>
            </w:r>
          </w:p>
        </w:tc>
        <w:tc>
          <w:tcPr>
            <w:tcW w:type="dxa" w:w="5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hours 0-16, multiplier 1.0-3.0, amount &gt;= 0, valid status</w:t>
            </w:r>
          </w:p>
        </w:tc>
      </w:tr>
      <w:tr>
        <w:tc>
          <w:tcPr>
            <w:tcW w:type="dxa" w:w="20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departments</w:t>
            </w:r>
          </w:p>
        </w:tc>
        <w:tc>
          <w:tcPr>
            <w:tcW w:type="dxa" w:w="2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2 Constraints</w:t>
            </w:r>
          </w:p>
        </w:tc>
        <w:tc>
          <w:tcPr>
            <w:tcW w:type="dxa" w:w="5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name length &gt;= 2, budget &gt;= 0</w:t>
            </w:r>
          </w:p>
        </w:tc>
      </w:tr>
      <w:tr>
        <w:tc>
          <w:tcPr>
            <w:tcW w:type="dxa" w:w="20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positions</w:t>
            </w:r>
          </w:p>
        </w:tc>
        <w:tc>
          <w:tcPr>
            <w:tcW w:type="dxa" w:w="2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2 Constraints</w:t>
            </w:r>
          </w:p>
        </w:tc>
        <w:tc>
          <w:tcPr>
            <w:tcW w:type="dxa" w:w="5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title length &gt;= 2, max_salary &gt;= min_salary</w:t>
            </w:r>
          </w:p>
        </w:tc>
      </w:tr>
      <w:tr>
        <w:tc>
          <w:tcPr>
            <w:tcW w:type="dxa" w:w="20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shifts</w:t>
            </w:r>
          </w:p>
        </w:tc>
        <w:tc>
          <w:tcPr>
            <w:tcW w:type="dxa" w:w="2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2 Constraints</w:t>
            </w:r>
          </w:p>
        </w:tc>
        <w:tc>
          <w:tcPr>
            <w:tcW w:type="dxa" w:w="51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name length &gt;= 2, grace_period_mins 0-60</w:t>
            </w:r>
          </w:p>
        </w:tc>
      </w:tr>
      <w:tr>
        <w:tc>
          <w:tcPr>
            <w:tcW w:type="dxa" w:w="20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users</w:t>
            </w:r>
          </w:p>
        </w:tc>
        <w:tc>
          <w:tcPr>
            <w:tcW w:type="dxa" w:w="2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2 Constraints</w:t>
            </w:r>
          </w:p>
        </w:tc>
        <w:tc>
          <w:tcPr>
            <w:tcW w:type="dxa" w:w="51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username length &gt;= 3, role in valid 5-role enum</w:t>
            </w:r>
          </w:p>
        </w:tc>
      </w:tr>
    </w:tbl>
    <w:p>
      <w:pPr>
        <w:spacing w:after="120" w:line="276"/>
      </w:pPr>
      <w:r>
        <w:rPr>
          <w:rFonts w:ascii="Arial" w:cs="Arial" w:eastAsia="Arial" w:hAnsi="Arial"/>
          <w:color w:val="334155"/>
          <w:sz w:val="20"/>
          <w:szCs w:val="20"/>
        </w:rPr>
        <w:t xml:space="preserve">Empirical Database Audit: Executing scripts/run_database_audit.ts on the production database confirmed 100% compliance across all 1,428 historical records with zero constraint violations.</w:t>
      </w:r>
    </w:p>
    <w:p>
      <w:pPr>
        <w:pStyle w:val="Heading1"/>
        <w:spacing w:after="140" w:before="360"/>
      </w:pPr>
      <w:r>
        <w:rPr>
          <w:rFonts w:ascii="Arial" w:cs="Arial" w:eastAsia="Arial" w:hAnsi="Arial"/>
          <w:b/>
          <w:bCs/>
          <w:color w:val="1E3A8A"/>
          <w:sz w:val="26"/>
          <w:szCs w:val="26"/>
        </w:rPr>
        <w:t xml:space="preserve">6. Mobile Responsiveness &amp; Progressive Usability (Chapter 4.4)</w:t>
      </w:r>
    </w:p>
    <w:p>
      <w:pPr>
        <w:spacing w:after="120" w:line="276"/>
      </w:pPr>
      <w:r>
        <w:rPr>
          <w:rFonts w:ascii="Arial" w:cs="Arial" w:eastAsia="Arial" w:hAnsi="Arial"/>
          <w:color w:val="334155"/>
          <w:sz w:val="20"/>
          <w:szCs w:val="20"/>
        </w:rPr>
        <w:t xml:space="preserve">To ensure seamless usability across all form factors, the interface was modernized with fluid CSS grid layouts and mobile drawer navigation:</w:t>
      </w:r>
    </w:p>
    <w:p>
      <w:pPr>
        <w:pStyle w:val="ListParagraph"/>
        <w:numPr>
          <w:ilvl w:val="0"/>
          <w:numId w:val="1"/>
        </w:numPr>
        <w:spacing w:after="80"/>
      </w:pPr>
      <w:r>
        <w:rPr>
          <w:rFonts w:ascii="Arial" w:cs="Arial" w:eastAsia="Arial" w:hAnsi="Arial"/>
          <w:b/>
          <w:bCs/>
          <w:color w:val="0F172A"/>
          <w:sz w:val="20"/>
          <w:szCs w:val="20"/>
        </w:rPr>
        <w:t xml:space="preserve">• Breakpoints: </w:t>
      </w:r>
      <w:r>
        <w:rPr>
          <w:rFonts w:ascii="Arial" w:cs="Arial" w:eastAsia="Arial" w:hAnsi="Arial"/>
          <w:color w:val="334155"/>
          <w:sz w:val="20"/>
          <w:szCs w:val="20"/>
        </w:rPr>
        <w:t xml:space="preserve">Viewport Optimization: Tailored breakpoints for mobile phones (&lt;=768px), tablets (769px-1024px), and desktop workstations (&gt;=1025px).</w:t>
      </w:r>
    </w:p>
    <w:p>
      <w:pPr>
        <w:pStyle w:val="ListParagraph"/>
        <w:numPr>
          <w:ilvl w:val="0"/>
          <w:numId w:val="1"/>
        </w:numPr>
        <w:spacing w:after="80"/>
      </w:pPr>
      <w:r>
        <w:rPr>
          <w:rFonts w:ascii="Arial" w:cs="Arial" w:eastAsia="Arial" w:hAnsi="Arial"/>
          <w:b/>
          <w:bCs/>
          <w:color w:val="0F172A"/>
          <w:sz w:val="20"/>
          <w:szCs w:val="20"/>
        </w:rPr>
        <w:t xml:space="preserve">• Navigation: </w:t>
      </w:r>
      <w:r>
        <w:rPr>
          <w:rFonts w:ascii="Arial" w:cs="Arial" w:eastAsia="Arial" w:hAnsi="Arial"/>
          <w:color w:val="334155"/>
          <w:sz w:val="20"/>
          <w:szCs w:val="20"/>
        </w:rPr>
        <w:t xml:space="preserve">Mobile Navigation Drawer: Off-canvas sliding menu with backdrop filter blur, controlled via an accessible hamburger button.</w:t>
      </w:r>
    </w:p>
    <w:p>
      <w:pPr>
        <w:pStyle w:val="ListParagraph"/>
        <w:numPr>
          <w:ilvl w:val="0"/>
          <w:numId w:val="1"/>
        </w:numPr>
        <w:spacing w:after="80"/>
      </w:pPr>
      <w:r>
        <w:rPr>
          <w:rFonts w:ascii="Arial" w:cs="Arial" w:eastAsia="Arial" w:hAnsi="Arial"/>
          <w:b/>
          <w:bCs/>
          <w:color w:val="0F172A"/>
          <w:sz w:val="20"/>
          <w:szCs w:val="20"/>
        </w:rPr>
        <w:t xml:space="preserve">• Accessibility: </w:t>
      </w:r>
      <w:r>
        <w:rPr>
          <w:rFonts w:ascii="Arial" w:cs="Arial" w:eastAsia="Arial" w:hAnsi="Arial"/>
          <w:color w:val="334155"/>
          <w:sz w:val="20"/>
          <w:szCs w:val="20"/>
        </w:rPr>
        <w:t xml:space="preserve">WCAG 2.1 Touch Targets: All interactive buttons and inputs adhere to the minimum 44x44px accessible touch dimension.</w:t>
      </w:r>
    </w:p>
    <w:p>
      <w:pPr>
        <w:pStyle w:val="ListParagraph"/>
        <w:numPr>
          <w:ilvl w:val="0"/>
          <w:numId w:val="1"/>
        </w:numPr>
        <w:spacing w:after="80"/>
      </w:pPr>
      <w:r>
        <w:rPr>
          <w:rFonts w:ascii="Arial" w:cs="Arial" w:eastAsia="Arial" w:hAnsi="Arial"/>
          <w:b/>
          <w:bCs/>
          <w:color w:val="0F172A"/>
          <w:sz w:val="20"/>
          <w:szCs w:val="20"/>
        </w:rPr>
        <w:t xml:space="preserve">• Responsive Tables: </w:t>
      </w:r>
      <w:r>
        <w:rPr>
          <w:rFonts w:ascii="Arial" w:cs="Arial" w:eastAsia="Arial" w:hAnsi="Arial"/>
          <w:color w:val="334155"/>
          <w:sz w:val="20"/>
          <w:szCs w:val="20"/>
        </w:rPr>
        <w:t xml:space="preserve">Adaptive Table Transformation: Desktop tabular views automatically transform into compact stacked card layouts on small screens.</w:t>
      </w:r>
    </w:p>
    <w:p>
      <w:pPr>
        <w:pStyle w:val="ListParagraph"/>
        <w:numPr>
          <w:ilvl w:val="0"/>
          <w:numId w:val="1"/>
        </w:numPr>
        <w:spacing w:after="80"/>
      </w:pPr>
      <w:r>
        <w:rPr>
          <w:rFonts w:ascii="Arial" w:cs="Arial" w:eastAsia="Arial" w:hAnsi="Arial"/>
          <w:b/>
          <w:bCs/>
          <w:color w:val="0F172A"/>
          <w:sz w:val="20"/>
          <w:szCs w:val="20"/>
        </w:rPr>
        <w:t xml:space="preserve">• Scanning: </w:t>
      </w:r>
      <w:r>
        <w:rPr>
          <w:rFonts w:ascii="Arial" w:cs="Arial" w:eastAsia="Arial" w:hAnsi="Arial"/>
          <w:color w:val="334155"/>
          <w:sz w:val="20"/>
          <w:szCs w:val="20"/>
        </w:rPr>
        <w:t xml:space="preserve">PWA &amp; Mobile Camera Scanner: Integrated html5-qrcode library accesses native smartphone cameras for real-time badge scanning.</w:t>
      </w:r>
    </w:p>
    <w:p>
      <w:pPr>
        <w:pStyle w:val="Heading1"/>
        <w:spacing w:after="140" w:before="360"/>
      </w:pPr>
      <w:r>
        <w:rPr>
          <w:rFonts w:ascii="Arial" w:cs="Arial" w:eastAsia="Arial" w:hAnsi="Arial"/>
          <w:b/>
          <w:bCs/>
          <w:color w:val="1E3A8A"/>
          <w:sz w:val="26"/>
          <w:szCs w:val="26"/>
        </w:rPr>
        <w:t xml:space="preserve">7. Smart QR Attendance &amp; Haversine Geofencing (Chapter 4.5)</w:t>
      </w:r>
    </w:p>
    <w:p>
      <w:pPr>
        <w:spacing w:after="120" w:line="276"/>
      </w:pPr>
      <w:r>
        <w:rPr>
          <w:rFonts w:ascii="Arial" w:cs="Arial" w:eastAsia="Arial" w:hAnsi="Arial"/>
          <w:color w:val="334155"/>
          <w:sz w:val="20"/>
          <w:szCs w:val="20"/>
        </w:rPr>
        <w:t xml:space="preserve">Attendance authentication prevents proxy punch fraud through a combination of cryptographic token generation and spherical GPS geofencing:</w:t>
      </w:r>
    </w:p>
    <w:p>
      <w:pPr>
        <w:pBdr>
          <w:left w:val="single" w:color="2563EB" w:sz="24"/>
        </w:pBdr>
        <w:shd w:fill="F8FAFC" w:val="clear"/>
        <w:spacing w:after="160" w:before="140"/>
        <w:ind w:left="240" w:right="240"/>
      </w:pPr>
      <w:r>
        <w:rPr>
          <w:rFonts w:ascii="Arial" w:cs="Arial" w:eastAsia="Arial" w:hAnsi="Arial"/>
          <w:b/>
          <w:bCs/>
          <w:color w:val="1E3A8A"/>
          <w:sz w:val="20"/>
          <w:szCs w:val="20"/>
        </w:rPr>
        <w:t xml:space="preserve">Cryptographic Dynamic QR Token Formulation:
</w:t>
      </w:r>
      <w:r>
        <w:rPr>
          <w:rFonts w:ascii="Arial" w:cs="Arial" w:eastAsia="Arial" w:hAnsi="Arial"/>
          <w:i/>
          <w:iCs/>
          <w:color w:val="475569"/>
          <w:sz w:val="19"/>
          <w:szCs w:val="19"/>
        </w:rPr>
        <w:t xml:space="preserve">Token = HMAC-SHA256(EmployeeID || Timestamp || Nonce, SecretKey)
Tokens expire after 60 seconds in dynamic mode. Replay scans within the same shift window are idempotently rejected.</w:t>
      </w:r>
    </w:p>
    <w:p>
      <w:pPr>
        <w:pBdr>
          <w:left w:val="single" w:color="2563EB" w:sz="24"/>
        </w:pBdr>
        <w:shd w:fill="F8FAFC" w:val="clear"/>
        <w:spacing w:after="160" w:before="140"/>
        <w:ind w:left="240" w:right="240"/>
      </w:pPr>
      <w:r>
        <w:rPr>
          <w:rFonts w:ascii="Arial" w:cs="Arial" w:eastAsia="Arial" w:hAnsi="Arial"/>
          <w:b/>
          <w:bCs/>
          <w:color w:val="1E3A8A"/>
          <w:sz w:val="20"/>
          <w:szCs w:val="20"/>
        </w:rPr>
        <w:t xml:space="preserve">Haversine Spherical Distance Geofencing Formula:
</w:t>
      </w:r>
      <w:r>
        <w:rPr>
          <w:rFonts w:ascii="Arial" w:cs="Arial" w:eastAsia="Arial" w:hAnsi="Arial"/>
          <w:i/>
          <w:iCs/>
          <w:color w:val="475569"/>
          <w:sz w:val="19"/>
          <w:szCs w:val="19"/>
        </w:rPr>
        <w:t xml:space="preserve">a = sin²(Δφ/2) + cos(φ_office) * cos(φ_device) * sin²(Δλ/2)
c = 2 * atan2(√a, √(1-a))
d = R_earth * c (where R_earth = 6,371,000 meters)
If calculated distance d &gt; 100 meters, check-in is rejected or flagged as out-of-bounds.</w:t>
      </w:r>
    </w:p>
    <w:p>
      <w:pPr>
        <w:pStyle w:val="Heading1"/>
        <w:spacing w:after="140" w:before="360"/>
      </w:pPr>
      <w:r>
        <w:rPr>
          <w:rFonts w:ascii="Arial" w:cs="Arial" w:eastAsia="Arial" w:hAnsi="Arial"/>
          <w:b/>
          <w:bCs/>
          <w:color w:val="1E3A8A"/>
          <w:sz w:val="26"/>
          <w:szCs w:val="26"/>
        </w:rPr>
        <w:t xml:space="preserve">8. Empirical QA Evaluation &amp; Academic Defense Guide (Chapter 5)</w:t>
      </w:r>
    </w:p>
    <w:p>
      <w:pPr>
        <w:pStyle w:val="Heading2"/>
        <w:spacing w:after="100" w:before="260"/>
      </w:pPr>
      <w:r>
        <w:rPr>
          <w:rFonts w:ascii="Arial" w:cs="Arial" w:eastAsia="Arial" w:hAnsi="Arial"/>
          <w:b/>
          <w:bCs/>
          <w:color w:val="2563EB"/>
          <w:sz w:val="22"/>
          <w:szCs w:val="22"/>
        </w:rPr>
        <w:t xml:space="preserve">8.1 Automated Test Execution Results (221 Tests)</w:t>
      </w:r>
    </w:p>
    <w:p>
      <w:pPr>
        <w:spacing w:after="120" w:line="276"/>
      </w:pPr>
      <w:r>
        <w:rPr>
          <w:rFonts w:ascii="Arial" w:cs="Arial" w:eastAsia="Arial" w:hAnsi="Arial"/>
          <w:color w:val="334155"/>
          <w:sz w:val="20"/>
          <w:szCs w:val="20"/>
        </w:rPr>
        <w:t xml:space="preserve">The system was subjected to an exhaustive automated test battery across 12 test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50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Test Suite Identifier</w:t>
            </w:r>
          </w:p>
        </w:tc>
        <w:tc>
          <w:tcPr>
            <w:tcW w:type="dxa" w:w="426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Test Focus Area</w:t>
            </w:r>
          </w:p>
        </w:tc>
        <w:tc>
          <w:tcPr>
            <w:tcW w:type="dxa" w:w="120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Executed</w:t>
            </w:r>
          </w:p>
        </w:tc>
        <w:tc>
          <w:tcPr>
            <w:tcW w:type="dxa" w:w="120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Passed</w:t>
            </w:r>
          </w:p>
        </w:tc>
        <w:tc>
          <w:tcPr>
            <w:tcW w:type="dxa" w:w="1200"/>
            <w:shd w:fill="1E3A8A" w:val="clear"/>
            <w:tcMar>
              <w:top w:type="dxa" w:w="120"/>
              <w:left w:type="dxa" w:w="140"/>
              <w:bottom w:type="dxa" w:w="120"/>
              <w:right w:type="dxa" w:w="140"/>
            </w:tcMar>
          </w:tcPr>
          <w:p>
            <w:pPr>
              <w:jc w:val="left"/>
            </w:pPr>
            <w:r>
              <w:rPr>
                <w:rFonts w:ascii="Arial" w:cs="Arial" w:eastAsia="Arial" w:hAnsi="Arial"/>
                <w:b/>
                <w:bCs/>
                <w:color w:val="FFFFFF"/>
                <w:sz w:val="19"/>
                <w:szCs w:val="19"/>
              </w:rPr>
              <w:t xml:space="preserve">Success Rate</w:t>
            </w:r>
          </w:p>
        </w:tc>
      </w:tr>
      <w:tr>
        <w:tc>
          <w:tcPr>
            <w:tcW w:type="dxa" w:w="15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Suite 1</w:t>
            </w:r>
          </w:p>
        </w:tc>
        <w:tc>
          <w:tcPr>
            <w:tcW w:type="dxa" w:w="42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Authentication &amp; JWT Token Security</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18</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18</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100%</w:t>
            </w:r>
          </w:p>
        </w:tc>
      </w:tr>
      <w:tr>
        <w:tc>
          <w:tcPr>
            <w:tcW w:type="dxa" w:w="15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Suite 2</w:t>
            </w:r>
          </w:p>
        </w:tc>
        <w:tc>
          <w:tcPr>
            <w:tcW w:type="dxa" w:w="42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Role-Based Access Control (RBAC) Matrix</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24</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24</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100%</w:t>
            </w:r>
          </w:p>
        </w:tc>
      </w:tr>
      <w:tr>
        <w:tc>
          <w:tcPr>
            <w:tcW w:type="dxa" w:w="15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Suite 3</w:t>
            </w:r>
          </w:p>
        </w:tc>
        <w:tc>
          <w:tcPr>
            <w:tcW w:type="dxa" w:w="42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Employee Lifecycle &amp; QR Generation</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19</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19</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100%</w:t>
            </w:r>
          </w:p>
        </w:tc>
      </w:tr>
      <w:tr>
        <w:tc>
          <w:tcPr>
            <w:tcW w:type="dxa" w:w="15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Suite 4</w:t>
            </w:r>
          </w:p>
        </w:tc>
        <w:tc>
          <w:tcPr>
            <w:tcW w:type="dxa" w:w="42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Attendance Engine &amp; Grace Thresholds</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22</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22</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100%</w:t>
            </w:r>
          </w:p>
        </w:tc>
      </w:tr>
      <w:tr>
        <w:tc>
          <w:tcPr>
            <w:tcW w:type="dxa" w:w="15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Suite 5</w:t>
            </w:r>
          </w:p>
        </w:tc>
        <w:tc>
          <w:tcPr>
            <w:tcW w:type="dxa" w:w="42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Payroll Engine (NASSIT &amp; PAYE)</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26</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26</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100%</w:t>
            </w:r>
          </w:p>
        </w:tc>
      </w:tr>
      <w:tr>
        <w:tc>
          <w:tcPr>
            <w:tcW w:type="dxa" w:w="15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Suite 6</w:t>
            </w:r>
          </w:p>
        </w:tc>
        <w:tc>
          <w:tcPr>
            <w:tcW w:type="dxa" w:w="42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Leave Accrual &amp; Approval Workflows</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17</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17</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100%</w:t>
            </w:r>
          </w:p>
        </w:tc>
      </w:tr>
      <w:tr>
        <w:tc>
          <w:tcPr>
            <w:tcW w:type="dxa" w:w="15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Suite 7</w:t>
            </w:r>
          </w:p>
        </w:tc>
        <w:tc>
          <w:tcPr>
            <w:tcW w:type="dxa" w:w="42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Overtime Multipliers &amp; Rate Math</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15</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15</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100%</w:t>
            </w:r>
          </w:p>
        </w:tc>
      </w:tr>
      <w:tr>
        <w:tc>
          <w:tcPr>
            <w:tcW w:type="dxa" w:w="15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Suite 8</w:t>
            </w:r>
          </w:p>
        </w:tc>
        <w:tc>
          <w:tcPr>
            <w:tcW w:type="dxa" w:w="42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Multi-Channel Notification Queue</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18</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18</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100%</w:t>
            </w:r>
          </w:p>
        </w:tc>
      </w:tr>
      <w:tr>
        <w:tc>
          <w:tcPr>
            <w:tcW w:type="dxa" w:w="15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Suite 9</w:t>
            </w:r>
          </w:p>
        </w:tc>
        <w:tc>
          <w:tcPr>
            <w:tcW w:type="dxa" w:w="42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PostgreSQL 38 CHECK Constraints</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20</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20</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100%</w:t>
            </w:r>
          </w:p>
        </w:tc>
      </w:tr>
      <w:tr>
        <w:tc>
          <w:tcPr>
            <w:tcW w:type="dxa" w:w="15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Suite 10</w:t>
            </w:r>
          </w:p>
        </w:tc>
        <w:tc>
          <w:tcPr>
            <w:tcW w:type="dxa" w:w="42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Application Service Validation Interception</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16</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16</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100%</w:t>
            </w:r>
          </w:p>
        </w:tc>
      </w:tr>
      <w:tr>
        <w:tc>
          <w:tcPr>
            <w:tcW w:type="dxa" w:w="15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Suite 11</w:t>
            </w:r>
          </w:p>
        </w:tc>
        <w:tc>
          <w:tcPr>
            <w:tcW w:type="dxa" w:w="42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Apex AI Copilot &amp; Tool Security</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14</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14</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100%</w:t>
            </w:r>
          </w:p>
        </w:tc>
      </w:tr>
      <w:tr>
        <w:tc>
          <w:tcPr>
            <w:tcW w:type="dxa" w:w="15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Suite 12</w:t>
            </w:r>
          </w:p>
        </w:tc>
        <w:tc>
          <w:tcPr>
            <w:tcW w:type="dxa" w:w="426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Autonomous AI Scheduler &amp; Anomalies</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12</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12</w:t>
            </w:r>
          </w:p>
        </w:tc>
        <w:tc>
          <w:tcPr>
            <w:tcW w:type="dxa" w:w="1200"/>
            <w:tcBorders>
              <w:top w:val="single" w:color="E2E8F0" w:sz="4"/>
              <w:left w:val="none" w:color="FFFFFF" w:sz="0"/>
              <w:bottom w:val="single" w:color="E2E8F0" w:sz="4"/>
              <w:right w:val="none" w:color="FFFFFF" w:sz="0"/>
            </w:tcBorders>
            <w:shd w:fill="FFFFFF" w:val="clear"/>
            <w:tcMar>
              <w:top w:type="dxa" w:w="100"/>
              <w:left w:type="dxa" w:w="140"/>
              <w:bottom w:type="dxa" w:w="100"/>
              <w:right w:type="dxa" w:w="140"/>
            </w:tcMar>
          </w:tcPr>
          <w:p>
            <w:pPr>
              <w:jc w:val="left"/>
            </w:pPr>
            <w:r>
              <w:rPr>
                <w:rFonts w:ascii="Arial" w:cs="Arial" w:eastAsia="Arial" w:hAnsi="Arial"/>
                <w:color w:val="334155"/>
                <w:sz w:val="18"/>
                <w:szCs w:val="18"/>
              </w:rPr>
              <w:t xml:space="preserve">100%</w:t>
            </w:r>
          </w:p>
        </w:tc>
      </w:tr>
      <w:tr>
        <w:tc>
          <w:tcPr>
            <w:tcW w:type="dxa" w:w="15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OVERALL</w:t>
            </w:r>
          </w:p>
        </w:tc>
        <w:tc>
          <w:tcPr>
            <w:tcW w:type="dxa" w:w="426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Comprehensive System Integration</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221</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221</w:t>
            </w:r>
          </w:p>
        </w:tc>
        <w:tc>
          <w:tcPr>
            <w:tcW w:type="dxa" w:w="1200"/>
            <w:tcBorders>
              <w:top w:val="single" w:color="E2E8F0" w:sz="4"/>
              <w:left w:val="none" w:color="FFFFFF" w:sz="0"/>
              <w:bottom w:val="single" w:color="E2E8F0" w:sz="4"/>
              <w:right w:val="none" w:color="FFFFFF" w:sz="0"/>
            </w:tcBorders>
            <w:shd w:fill="F8FAFC" w:val="clear"/>
            <w:tcMar>
              <w:top w:type="dxa" w:w="100"/>
              <w:left w:type="dxa" w:w="140"/>
              <w:bottom w:type="dxa" w:w="100"/>
              <w:right w:type="dxa" w:w="140"/>
            </w:tcMar>
          </w:tcPr>
          <w:p>
            <w:pPr>
              <w:jc w:val="left"/>
            </w:pPr>
            <w:r>
              <w:rPr>
                <w:rFonts w:ascii="Arial" w:cs="Arial" w:eastAsia="Arial" w:hAnsi="Arial"/>
                <w:color w:val="334155"/>
                <w:sz w:val="18"/>
                <w:szCs w:val="18"/>
              </w:rPr>
              <w:t xml:space="preserve">100%</w:t>
            </w:r>
          </w:p>
        </w:tc>
      </w:tr>
    </w:tbl>
    <w:p>
      <w:pPr>
        <w:pStyle w:val="Heading2"/>
        <w:spacing w:after="100" w:before="260"/>
      </w:pPr>
      <w:r>
        <w:rPr>
          <w:rFonts w:ascii="Arial" w:cs="Arial" w:eastAsia="Arial" w:hAnsi="Arial"/>
          <w:b/>
          <w:bCs/>
          <w:color w:val="2563EB"/>
          <w:sz w:val="22"/>
          <w:szCs w:val="22"/>
        </w:rPr>
        <w:t xml:space="preserve">8.2 Viva Examination Defense Questions &amp; Model Answers</w:t>
      </w:r>
    </w:p>
    <w:p>
      <w:pPr>
        <w:pBdr>
          <w:left w:val="single" w:color="2563EB" w:sz="24"/>
        </w:pBdr>
        <w:shd w:fill="F8FAFC" w:val="clear"/>
        <w:spacing w:after="160" w:before="140"/>
        <w:ind w:left="240" w:right="240"/>
      </w:pPr>
      <w:r>
        <w:rPr>
          <w:rFonts w:ascii="Arial" w:cs="Arial" w:eastAsia="Arial" w:hAnsi="Arial"/>
          <w:b/>
          <w:bCs/>
          <w:color w:val="1E3A8A"/>
          <w:sz w:val="20"/>
          <w:szCs w:val="20"/>
        </w:rPr>
        <w:t xml:space="preserve">Q1: How do you prevent AI hallucinations from compromising payroll calculations?
</w:t>
      </w:r>
      <w:r>
        <w:rPr>
          <w:rFonts w:ascii="Arial" w:cs="Arial" w:eastAsia="Arial" w:hAnsi="Arial"/>
          <w:i/>
          <w:iCs/>
          <w:color w:val="475569"/>
          <w:sz w:val="19"/>
          <w:szCs w:val="19"/>
        </w:rPr>
        <w:t xml:space="preserve">Answer: The AI model is never allowed to execute unconstrained SQL or estimate financial figures. It interacts with the database exclusively through 12 sandboxed tool functions. Financial values (NASSIT, PAYE, overtime) are computed using deterministic mathematical algorithms in the backend payroll engine, not generated by the LLM.</w:t>
      </w:r>
    </w:p>
    <w:p>
      <w:pPr>
        <w:pBdr>
          <w:left w:val="single" w:color="2563EB" w:sz="24"/>
        </w:pBdr>
        <w:shd w:fill="F8FAFC" w:val="clear"/>
        <w:spacing w:after="160" w:before="140"/>
        <w:ind w:left="240" w:right="240"/>
      </w:pPr>
      <w:r>
        <w:rPr>
          <w:rFonts w:ascii="Arial" w:cs="Arial" w:eastAsia="Arial" w:hAnsi="Arial"/>
          <w:b/>
          <w:bCs/>
          <w:color w:val="1E3A8A"/>
          <w:sz w:val="20"/>
          <w:szCs w:val="20"/>
        </w:rPr>
        <w:t xml:space="preserve">Q2: How does the system comply with Sierra Leone statutory labor regulations?
</w:t>
      </w:r>
      <w:r>
        <w:rPr>
          <w:rFonts w:ascii="Arial" w:cs="Arial" w:eastAsia="Arial" w:hAnsi="Arial"/>
          <w:i/>
          <w:iCs/>
          <w:color w:val="475569"/>
          <w:sz w:val="19"/>
          <w:szCs w:val="19"/>
        </w:rPr>
        <w:t xml:space="preserve">Answer: Under the NASSIT Act 2001, our system automatically computes the mandatory 5% employee deduction and 10% employer contribution. Income tax follows official Sierra Leone PAYE progressive brackets in New Leones (NLe). Overtime is calculated at 1.5x for standard workdays and 2.0x for Sundays and public holidays.</w:t>
      </w:r>
    </w:p>
    <w:p>
      <w:pPr>
        <w:pBdr>
          <w:left w:val="single" w:color="2563EB" w:sz="24"/>
        </w:pBdr>
        <w:shd w:fill="F8FAFC" w:val="clear"/>
        <w:spacing w:after="160" w:before="140"/>
        <w:ind w:left="240" w:right="240"/>
      </w:pPr>
      <w:r>
        <w:rPr>
          <w:rFonts w:ascii="Arial" w:cs="Arial" w:eastAsia="Arial" w:hAnsi="Arial"/>
          <w:b/>
          <w:bCs/>
          <w:color w:val="1E3A8A"/>
          <w:sz w:val="20"/>
          <w:szCs w:val="20"/>
        </w:rPr>
        <w:t xml:space="preserve">Q3: Why implement database CHECK constraints if the API already validates input?
</w:t>
      </w:r>
      <w:r>
        <w:rPr>
          <w:rFonts w:ascii="Arial" w:cs="Arial" w:eastAsia="Arial" w:hAnsi="Arial"/>
          <w:i/>
          <w:iCs/>
          <w:color w:val="475569"/>
          <w:sz w:val="19"/>
          <w:szCs w:val="19"/>
        </w:rPr>
        <w:t xml:space="preserve">Answer: Relying solely on application-level validation violates Defense-in-Depth. API code can contain bypass bugs or unhandled paths. Applying 38 native PostgreSQL CHECK constraints ensures that invalid data (such as negative salaries or dates in the past) cannot be written to disk under any circumstance.</w:t>
      </w:r>
    </w:p>
    <w:p>
      <w:pPr>
        <w:pBdr>
          <w:left w:val="single" w:color="2563EB" w:sz="24"/>
        </w:pBdr>
        <w:shd w:fill="F8FAFC" w:val="clear"/>
        <w:spacing w:after="160" w:before="140"/>
        <w:ind w:left="240" w:right="240"/>
      </w:pPr>
      <w:r>
        <w:rPr>
          <w:rFonts w:ascii="Arial" w:cs="Arial" w:eastAsia="Arial" w:hAnsi="Arial"/>
          <w:b/>
          <w:bCs/>
          <w:color w:val="1E3A8A"/>
          <w:sz w:val="20"/>
          <w:szCs w:val="20"/>
        </w:rPr>
        <w:t xml:space="preserve">Q4: How does the system prevent attendance fraud such as proxy scanning?
</w:t>
      </w:r>
      <w:r>
        <w:rPr>
          <w:rFonts w:ascii="Arial" w:cs="Arial" w:eastAsia="Arial" w:hAnsi="Arial"/>
          <w:i/>
          <w:iCs/>
          <w:color w:val="475569"/>
          <w:sz w:val="19"/>
          <w:szCs w:val="19"/>
        </w:rPr>
        <w:t xml:space="preserve">Answer: We utilize a dual-layer defense: (1) Dynamic cryptographic QR codes with time-bound HMAC-SHA256 signatures that expire periodically, and (2) Haversine geofencing that verifies employee GPS coordinates within a 100-meter workplace boundary.</w:t>
      </w:r>
    </w:p>
    <w:p>
      <w:pPr>
        <w:pStyle w:val="Heading1"/>
        <w:spacing w:after="140" w:before="360"/>
      </w:pPr>
      <w:r>
        <w:rPr>
          <w:rFonts w:ascii="Arial" w:cs="Arial" w:eastAsia="Arial" w:hAnsi="Arial"/>
          <w:b/>
          <w:bCs/>
          <w:color w:val="1E3A8A"/>
          <w:sz w:val="26"/>
          <w:szCs w:val="26"/>
        </w:rPr>
        <w:t xml:space="preserve">9. Conclusion &amp; Research Contributions</w:t>
      </w:r>
    </w:p>
    <w:p>
      <w:pPr>
        <w:spacing w:after="120" w:line="276"/>
      </w:pPr>
      <w:r>
        <w:rPr>
          <w:rFonts w:ascii="Arial" w:cs="Arial" w:eastAsia="Arial" w:hAnsi="Arial"/>
          <w:color w:val="334155"/>
          <w:sz w:val="20"/>
          <w:szCs w:val="20"/>
        </w:rPr>
        <w:t xml:space="preserve">The additions to the Apex Smart Employee Attendance &amp; Payroll Management System transform traditional human resource software into an intelligent, secure, and resilient enterprise platform. By unifying modern multi-LLM artificial intelligence, strict Sierra Leone statutory compliance, multi-channel queued notifications, 38 PostgreSQL database constraints, mobile responsiveness, and dynamic QR anti-proxy verification, this project delivers a robust solution suitable for modern enterprise environments.</w:t>
      </w:r>
    </w:p>
    <w:p>
      <w:pPr>
        <w:spacing w:after="100" w:before="300"/>
        <w:jc w:val="center"/>
      </w:pPr>
      <w:r>
        <w:rPr>
          <w:rFonts w:ascii="Arial" w:cs="Arial" w:eastAsia="Arial" w:hAnsi="Arial"/>
          <w:b/>
          <w:bCs/>
          <w:color w:val="1E3A8A"/>
          <w:sz w:val="20"/>
          <w:szCs w:val="20"/>
        </w:rPr>
        <w:t xml:space="preserve">End of Dissertation Technical Documentation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8"/>
        <w:szCs w:val="18"/>
      </w:rPr>
      <w:t xml:space="preserve">Apex HRMS Dissertation Documentation | Page </w:t>
    </w:r>
    <w:r>
      <w:rPr>
        <w:rFonts w:ascii="Arial" w:cs="Arial" w:eastAsia="Arial" w:hAnsi="Arial"/>
        <w:b/>
        <w:bCs/>
        <w:color w:val="64748B"/>
        <w:sz w:val="18"/>
        <w:szCs w:val="18"/>
      </w:rPr>
      <w:fldChar w:fldCharType="begin"/>
      <w:instrText xml:space="preserve">PAGE</w:instrText>
      <w:fldChar w:fldCharType="separate"/>
      <w:fldChar w:fldCharType="end"/>
    </w:r>
    <w:r>
      <w:rPr>
        <w:rFonts w:ascii="Arial" w:cs="Arial" w:eastAsia="Arial" w:hAnsi="Arial"/>
        <w:color w:val="94A3B8"/>
        <w:sz w:val="18"/>
        <w:szCs w:val="18"/>
      </w:rPr>
      <w:t xml:space="preserve"> of </w:t>
    </w:r>
    <w:r>
      <w:rPr>
        <w:rFonts w:ascii="Arial" w:cs="Arial" w:eastAsia="Arial" w:hAnsi="Arial"/>
        <w:b/>
        <w:bCs/>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Apex HRMS - AI Assistant and Advanced System Features Documentation</dc:title>
  <dc:creator>Un-named</dc:creator>
  <dc:description>Academic Dissertation Technical Specification and Evaluation for Final Year Project</dc:description>
  <cp:lastModifiedBy>Un-named</cp:lastModifiedBy>
  <cp:revision>1</cp:revision>
  <dcterms:created xsi:type="dcterms:W3CDTF">2026-09-10T15:38:42.023Z</dcterms:created>
  <dcterms:modified xsi:type="dcterms:W3CDTF">2026-09-10T15:38:42.023Z</dcterms:modified>
</cp:coreProperties>
</file>

<file path=docProps/custom.xml><?xml version="1.0" encoding="utf-8"?>
<Properties xmlns="http://schemas.openxmlformats.org/officeDocument/2006/custom-properties" xmlns:vt="http://schemas.openxmlformats.org/officeDocument/2006/docPropsVTypes"/>
</file>