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4F46E5"/>
          <w:sz w:val="28"/>
          <w:szCs w:val="28"/>
        </w:rPr>
        <w:t xml:space="preserve">APEX ENTERPRISE HRMS</w:t>
      </w:r>
    </w:p>
    <w:p>
      <w:pPr>
        <w:spacing w:after="200"/>
        <w:jc w:val="center"/>
      </w:pPr>
      <w:r>
        <w:rPr>
          <w:i/>
          <w:iCs/>
          <w:color w:val="64748B"/>
          <w:sz w:val="20"/>
          <w:szCs w:val="20"/>
        </w:rPr>
        <w:t xml:space="preserve">Smart Employee Attendance &amp; Statutory Payroll Management System</w:t>
      </w:r>
    </w:p>
    <w:p>
      <w:pPr>
        <w:spacing w:after="300"/>
        <w:jc w:val="center"/>
      </w:pPr>
      <w:r>
        <w:rPr>
          <w:b/>
          <w:bCs/>
          <w:color w:val="0F172A"/>
          <w:sz w:val="38"/>
          <w:szCs w:val="38"/>
        </w:rPr>
        <w:t xml:space="preserve">AI ASSISTANT &amp; COPILOT MODULE</w:t>
      </w:r>
    </w:p>
    <w:p>
      <w:pPr>
        <w:spacing w:after="400"/>
        <w:jc w:val="center"/>
      </w:pPr>
      <w:r>
        <w:rPr>
          <w:b/>
          <w:bCs/>
          <w:color w:val="7C3AED"/>
          <w:sz w:val="24"/>
          <w:szCs w:val="24"/>
        </w:rPr>
        <w:t xml:space="preserve">Comprehensive Step-by-Step Operations &amp; User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8FAFC" w:val="clear"/>
          </w:tcPr>
          <w:p>
            <w:r>
              <w:rPr>
                <w:b/>
                <w:bCs/>
              </w:rPr>
              <w:t xml:space="preserve">Author / Developer: </w:t>
            </w:r>
            <w:r>
              <w:t xml:space="preserve">Osman A. Mansaray</w:t>
            </w:r>
          </w:p>
          <w:p>
            <w:r>
              <w:rPr>
                <w:b/>
                <w:bCs/>
              </w:rPr>
              <w:t xml:space="preserve">Target Systems: </w:t>
            </w:r>
            <w:r>
              <w:t xml:space="preserve">Computer (PC/Mac) &amp; Mobile Phones (iOS/Android)</w:t>
            </w:r>
          </w:p>
          <w:p>
            <w:r>
              <w:rPr>
                <w:b/>
                <w:bCs/>
              </w:rPr>
              <w:t xml:space="preserve">System Release: </w:t>
            </w:r>
            <w:r>
              <w:t xml:space="preserve">Apex HRMS v2.4 (Statutory Sierra Leone Edition)</w:t>
            </w:r>
          </w:p>
          <w:p>
            <w:r>
              <w:rPr>
                <w:b/>
                <w:bCs/>
              </w:rPr>
              <w:t xml:space="preserve">Local Access URLs: </w:t>
            </w:r>
            <w:r>
              <w:t xml:space="preserve">Computer: http://localhost:3001 | Mobile: http://192.168.0.119:3001</w:t>
            </w:r>
          </w:p>
        </w:tc>
      </w:tr>
    </w:tbl>
    <w:p>
      <w:pPr>
        <w:spacing w:before="300"/>
      </w:pPr>
    </w:p>
    <w:p>
      <w:pPr>
        <w:pStyle w:val="Heading1"/>
      </w:pPr>
      <w:r>
        <w:rPr>
          <w:b/>
          <w:bCs/>
          <w:color w:val="4F46E5"/>
        </w:rPr>
        <w:t xml:space="preserve">1. Overview of the Apex AI Assistant Module</w:t>
      </w:r>
    </w:p>
    <w:p>
      <w:r>
        <w:t xml:space="preserve">The Apex AI Assistant is an enterprise-grade, domain-specific artificial intelligence copilot designed specifically for human resource administrators, payroll accountants, operations supervisors, and employees. Unlike generic chatbots, the Apex AI Copilot is deeply integrated with the system’s SQLite database, real-time biometric QR scan records, and statutory Sierra Leone labor regulations.</w:t>
      </w:r>
    </w:p>
    <w:p>
      <w:r>
        <w:t xml:space="preserve">The AI module is delivered through two coordinated interfaces:
</w:t>
      </w:r>
      <w:r>
        <w:rPr>
          <w:b/>
          <w:bCs/>
        </w:rPr>
        <w:t xml:space="preserve">• The Docked Floating Widget: </w:t>
      </w:r>
      <w:r>
        <w:t xml:space="preserve">A movable, drag-and-drop assistant orb and popover available on every single page in the application.
</w:t>
      </w:r>
      <w:r>
        <w:rPr>
          <w:b/>
          <w:bCs/>
        </w:rPr>
        <w:t xml:space="preserve">• The Dedicated Full-Screen AI Hub: </w:t>
      </w:r>
      <w:r>
        <w:t xml:space="preserve">A comprehensive control center featuring multi-turn conversation memory, 4 customizable writing styles, background workflow automation, anomaly fraud detection, and regulatory rule books.</w:t>
      </w:r>
    </w:p>
    <w:p>
      <w:pPr>
        <w:pStyle w:val="Heading1"/>
        <w:spacing w:before="300"/>
      </w:pPr>
      <w:r>
        <w:rPr>
          <w:b/>
          <w:bCs/>
          <w:color w:val="4F46E5"/>
        </w:rPr>
        <w:t xml:space="preserve">2. How to Use the Docked Floating AI Widget</w:t>
      </w:r>
    </w:p>
    <w:p>
      <w:r>
        <w:t xml:space="preserve">The floating widget gives you instant access to AI insights without ever leaving your current screen (such as Employee directory, Attendance ledger, or Payroll processing).</w:t>
      </w:r>
    </w:p>
    <w:p>
      <w:pPr>
        <w:pStyle w:val="Heading2"/>
      </w:pPr>
      <w:r>
        <w:rPr>
          <w:b/>
          <w:bCs/>
          <w:color w:val="0F172A"/>
        </w:rPr>
        <w:t xml:space="preserve">Step 2.1: Opening and Collapsing the Assistant</w:t>
      </w:r>
    </w:p>
    <w:p>
      <w:r>
        <w:rPr>
          <w:b/>
          <w:bCs/>
        </w:rPr>
        <w:t xml:space="preserve">1. Locate the Amethyst AI Orb: </w:t>
      </w:r>
      <w:r>
        <w:t xml:space="preserve">On desktop, it sits in the lower right corner (above system notifications). On mobile phones, it is automatically docked above the bottom navigation bar.
</w:t>
      </w:r>
      <w:r>
        <w:rPr>
          <w:b/>
          <w:bCs/>
        </w:rPr>
        <w:t xml:space="preserve">2. Click or Tap Once: </w:t>
      </w:r>
      <w:r>
        <w:t xml:space="preserve">A single click smoothly opens the expanded chat popover.
</w:t>
      </w:r>
      <w:r>
        <w:rPr>
          <w:b/>
          <w:bCs/>
        </w:rPr>
        <w:t xml:space="preserve">3. Close or Minimize: </w:t>
      </w:r>
      <w:r>
        <w:t xml:space="preserve">Click the "X" button on the header to close, or the minimize button (–) to shrink the card into a slim header pill while keeping your conversation active.</w:t>
      </w:r>
    </w:p>
    <w:p>
      <w:pPr>
        <w:pStyle w:val="Heading2"/>
      </w:pPr>
      <w:r>
        <w:rPr>
          <w:b/>
          <w:bCs/>
          <w:color w:val="0F172A"/>
        </w:rPr>
        <w:t xml:space="preserve">Step 2.2: Dragging and Moving the Widget Anywhere</w:t>
      </w:r>
    </w:p>
    <w:p>
      <w:r>
        <w:rPr>
          <w:b/>
          <w:bCs/>
        </w:rPr>
        <w:t xml:space="preserve">• Move the Collapsed Orb: </w:t>
      </w:r>
      <w:r>
        <w:t xml:space="preserve">Click and hold (or touch and drag on a phone/tablet) the purple circular orb. Drag it anywhere across the screen. Notice the cursor changes to a gripping hand and the orb follows your pointer with physics damping.
</w:t>
      </w:r>
      <w:r>
        <w:rPr>
          <w:b/>
          <w:bCs/>
        </w:rPr>
        <w:t xml:space="preserve">• Move the Expanded Card: </w:t>
      </w:r>
      <w:r>
        <w:t xml:space="preserve">Click and drag the top header bar (next to the grip icon). You can position the chat window anywhere on your screen so it never blocks important table data.
</w:t>
      </w:r>
      <w:r>
        <w:rPr>
          <w:b/>
          <w:bCs/>
        </w:rPr>
        <w:t xml:space="preserve">• Automatic Viewport Clamping: </w:t>
      </w:r>
      <w:r>
        <w:t xml:space="preserve">The widget will never slide off-screen. It automatically detects screen edges and respects mobile bottom navigation bars.
</w:t>
      </w:r>
      <w:r>
        <w:rPr>
          <w:b/>
          <w:bCs/>
        </w:rPr>
        <w:t xml:space="preserve">• Position Memory &amp; Reset: </w:t>
      </w:r>
      <w:r>
        <w:t xml:space="preserve">Your custom position is saved automatically in browser memory. When moved, a Reset button (circular arrow icon) appears in the header. Clicking it instantly docks the widget back to its original corner.</w:t>
      </w:r>
    </w:p>
    <w:p>
      <w:pPr>
        <w:pStyle w:val="Heading2"/>
      </w:pPr>
      <w:r>
        <w:rPr>
          <w:b/>
          <w:bCs/>
          <w:color w:val="0F172A"/>
        </w:rPr>
        <w:t xml:space="preserve">Step 2.3: Using Quick Suggestions &amp; Jump to Full Page</w:t>
      </w:r>
    </w:p>
    <w:p>
      <w:r>
        <w:rPr>
          <w:b/>
          <w:bCs/>
        </w:rPr>
        <w:t xml:space="preserve">• Quick Suggestion Chips: </w:t>
      </w:r>
      <w:r>
        <w:t xml:space="preserve">When opening the widget, click any suggestion chip (e.g. "Explain NASSIT rules", "Who is late today?", "Attendance grace period") to trigger instant analysis.
</w:t>
      </w:r>
      <w:r>
        <w:rPr>
          <w:b/>
          <w:bCs/>
        </w:rPr>
        <w:t xml:space="preserve">• Jump to Full Page: </w:t>
      </w:r>
      <w:r>
        <w:t xml:space="preserve">Click the External Link icon on the header bar to immediately transition your current context to the full-screen AI Assistant Page.</w:t>
      </w:r>
    </w:p>
    <w:p>
      <w:pPr>
        <w:pStyle w:val="Heading1"/>
        <w:spacing w:before="300"/>
      </w:pPr>
      <w:r>
        <w:rPr>
          <w:b/>
          <w:bCs/>
          <w:color w:val="4F46E5"/>
        </w:rPr>
        <w:t xml:space="preserve">3. Step-by-Step Guide: The Dedicated AI Assistant Page</w:t>
      </w:r>
    </w:p>
    <w:p>
      <w:r>
        <w:t xml:space="preserve">The dedicated page (`/ai-assistant`) provides deep analytical workspaces for complex HR queries, compliance generation, and automation workflows.</w:t>
      </w:r>
    </w:p>
    <w:p>
      <w:r>
        <w:rPr>
          <w:b/>
          <w:bCs/>
        </w:rPr>
        <w:t xml:space="preserve">How to Navigate: </w:t>
      </w:r>
      <w:r>
        <w:t xml:space="preserve">Click "AI Assistant" on the left sidebar navigation menu, or press Ctrl+K (Cmd+K on Mac) in the top search bar and select "AI Assistant".</w:t>
      </w:r>
    </w:p>
    <w:p>
      <w:pPr>
        <w:pStyle w:val="Heading2"/>
      </w:pPr>
      <w:r>
        <w:rPr>
          <w:b/>
          <w:bCs/>
          <w:color w:val="0F172A"/>
        </w:rPr>
        <w:t xml:space="preserve">Feature 3.1: Writing Style Personas</w:t>
      </w:r>
    </w:p>
    <w:p>
      <w:r>
        <w:t xml:space="preserve">Before submitting a query, select your desired tone from the Writing Style dropdown:
</w:t>
      </w:r>
      <w:r>
        <w:rPr>
          <w:b/>
          <w:bCs/>
        </w:rPr>
        <w:t xml:space="preserve">1. Statutory (Default): </w:t>
      </w:r>
      <w:r>
        <w:t xml:space="preserve">Outputs formal, legally grounded answers citing the Sierra Leone Employment Act 2023, NASSIT Act No. 5 of 2001, and Finance Act tax schedules.
</w:t>
      </w:r>
      <w:r>
        <w:rPr>
          <w:b/>
          <w:bCs/>
        </w:rPr>
        <w:t xml:space="preserve">2. Executive: </w:t>
      </w:r>
      <w:r>
        <w:t xml:space="preserve">High-level summaries, bullet points, and strategic managerial takeaways for directors and executives.
</w:t>
      </w:r>
      <w:r>
        <w:rPr>
          <w:b/>
          <w:bCs/>
        </w:rPr>
        <w:t xml:space="preserve">3. Analytical: </w:t>
      </w:r>
      <w:r>
        <w:t xml:space="preserve">Deep numerical breakdowns, formula steps, variance calculations, and auditing audits.
</w:t>
      </w:r>
      <w:r>
        <w:rPr>
          <w:b/>
          <w:bCs/>
        </w:rPr>
        <w:t xml:space="preserve">4. Concise: </w:t>
      </w:r>
      <w:r>
        <w:t xml:space="preserve">Short, fast answers ideal for quick mobile lookups.</w:t>
      </w:r>
    </w:p>
    <w:p>
      <w:pPr>
        <w:pStyle w:val="Heading2"/>
      </w:pPr>
      <w:r>
        <w:rPr>
          <w:b/>
          <w:bCs/>
          <w:color w:val="0F172A"/>
        </w:rPr>
        <w:t xml:space="preserve">Feature 3.2: Message Action Toolbar &amp; Document Export</w:t>
      </w:r>
    </w:p>
    <w:p>
      <w:r>
        <w:t xml:space="preserve">Every response delivered by the AI features an action toolbar at the bottom of the message bubble:
</w:t>
      </w:r>
      <w:r>
        <w:rPr>
          <w:b/>
          <w:bCs/>
        </w:rPr>
        <w:t xml:space="preserve">• Copy to Clipboard: </w:t>
      </w:r>
      <w:r>
        <w:t xml:space="preserve">Copies formatted markdown or plain text with one click.
</w:t>
      </w:r>
      <w:r>
        <w:rPr>
          <w:b/>
          <w:bCs/>
        </w:rPr>
        <w:t xml:space="preserve">• Full View Modal: </w:t>
      </w:r>
      <w:r>
        <w:t xml:space="preserve">Opens an expansive reading view with clean typography, search, and presentation styling.
</w:t>
      </w:r>
      <w:r>
        <w:rPr>
          <w:b/>
          <w:bCs/>
        </w:rPr>
        <w:t xml:space="preserve">• Export to PDF &amp; Word: </w:t>
      </w:r>
      <w:r>
        <w:t xml:space="preserve">Instantly download the AI's generated report, policy clarification, or audit summary as an official document.</w:t>
      </w:r>
    </w:p>
    <w:p>
      <w:pPr>
        <w:pStyle w:val="Heading1"/>
        <w:spacing w:before="300"/>
      </w:pPr>
      <w:r>
        <w:rPr>
          <w:b/>
          <w:bCs/>
          <w:color w:val="4F46E5"/>
        </w:rPr>
        <w:t xml:space="preserve">4. Using Automated Workflows (Automations Tab)</w:t>
      </w:r>
    </w:p>
    <w:p>
      <w:r>
        <w:t xml:space="preserve">The Automations tab allows administrators and payroll managers to trigger rule-based background processes with AI verification.</w:t>
      </w:r>
    </w:p>
    <w:p>
      <w:r>
        <w:t xml:space="preserve">Available Automated Routines:
</w:t>
      </w:r>
      <w:r>
        <w:rPr>
          <w:b/>
          <w:bCs/>
        </w:rPr>
        <w:t xml:space="preserve">1. Daily Attendance Audit: </w:t>
      </w:r>
      <w:r>
        <w:t xml:space="preserve">Scans all punches for the day, flags missing check-outs, identifies tardiness beyond the 15-minute grace window, and computes regular vs overtime hours.
</w:t>
      </w:r>
      <w:r>
        <w:rPr>
          <w:b/>
          <w:bCs/>
        </w:rPr>
        <w:t xml:space="preserve">2. Midnight Shift Roll-Forward: </w:t>
      </w:r>
      <w:r>
        <w:t xml:space="preserve">Reconciles overnight shifts and pre-populates the next morning's active roster.
</w:t>
      </w:r>
      <w:r>
        <w:rPr>
          <w:b/>
          <w:bCs/>
        </w:rPr>
        <w:t xml:space="preserve">3. Pre-Flight Payroll Check: </w:t>
      </w:r>
      <w:r>
        <w:t xml:space="preserve">Runs automated mathematical checks verifying NASSIT calculations (5% + 10%) and graduated PAYE tax tiers before salary disbursement.</w:t>
      </w:r>
    </w:p>
    <w:p>
      <w:r>
        <w:rPr>
          <w:b/>
          <w:bCs/>
        </w:rPr>
        <w:t xml:space="preserve">How to Run: </w:t>
      </w:r>
      <w:r>
        <w:t xml:space="preserve">Click the "Automations" tab at the top of the AI page. Click the "Run Now" button next to any scheduled routine. Review the status badge and execution timestamp in the real-time audit log.</w:t>
      </w:r>
    </w:p>
    <w:p>
      <w:pPr>
        <w:pStyle w:val="Heading1"/>
        <w:spacing w:before="300"/>
      </w:pPr>
      <w:r>
        <w:rPr>
          <w:b/>
          <w:bCs/>
          <w:color w:val="4F46E5"/>
        </w:rPr>
        <w:t xml:space="preserve">5. AI Anomaly Detection &amp; Fraud Prevention (Anomalies Tab)</w:t>
      </w:r>
    </w:p>
    <w:p>
      <w:r>
        <w:t xml:space="preserve">The Apex AI continuously runs heuristic inspection algorithms over attendance transactions to prevent buddy punching, time theft, and payroll inconsistencies.</w:t>
      </w:r>
    </w:p>
    <w:p>
      <w:r>
        <w:t xml:space="preserve">What the AI Monitors:
</w:t>
      </w:r>
      <w:r>
        <w:rPr>
          <w:b/>
          <w:bCs/>
        </w:rPr>
        <w:t xml:space="preserve">• Buddy Punching Signals: </w:t>
      </w:r>
      <w:r>
        <w:t xml:space="preserve">Detects multiple employees scanned within unrealistic sub-second intervals from the same IP or terminal scanner.
</w:t>
      </w:r>
      <w:r>
        <w:rPr>
          <w:b/>
          <w:bCs/>
        </w:rPr>
        <w:t xml:space="preserve">• Overtime Spikes: </w:t>
      </w:r>
      <w:r>
        <w:t xml:space="preserve">Identifies sudden, unapproved overtime jumps exceeding 3 standard deviations from an employee's departmental baseline.
</w:t>
      </w:r>
      <w:r>
        <w:rPr>
          <w:b/>
          <w:bCs/>
        </w:rPr>
        <w:t xml:space="preserve">• Ghost Clocking: </w:t>
      </w:r>
      <w:r>
        <w:t xml:space="preserve">Flags records with check-ins but no check-outs or consecutive abnormal punch sequences.</w:t>
      </w:r>
    </w:p>
    <w:p>
      <w:r>
        <w:rPr>
          <w:b/>
          <w:bCs/>
        </w:rPr>
        <w:t xml:space="preserve">How to Review: </w:t>
      </w:r>
      <w:r>
        <w:t xml:space="preserve">Open the "Anomalies" tab. Click "Scan for Anomalies". Review the risk level badges (High, Medium, Low) and click "Resolve" or "Investigate" to take corrective measures.</w:t>
      </w:r>
    </w:p>
    <w:p>
      <w:pPr>
        <w:pStyle w:val="Heading1"/>
        <w:spacing w:before="300"/>
      </w:pPr>
      <w:r>
        <w:rPr>
          <w:b/>
          <w:bCs/>
          <w:color w:val="4F46E5"/>
        </w:rPr>
        <w:t xml:space="preserve">6. Regulatory &amp; Statutory Knowledge Repository</w:t>
      </w:r>
    </w:p>
    <w:p>
      <w:r>
        <w:t xml:space="preserve">The AI module contains an embedded, offline-capable statutory knowledge base. The AI references these exact rules for all payroll and attendance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4F46E5" w:val="clear"/>
          </w:tcPr>
          <w:p>
            <w:r>
              <w:rPr>
                <w:b/>
                <w:bCs/>
                <w:color w:val="FFFFFF"/>
              </w:rPr>
              <w:t xml:space="preserve">Regulatory Domain</w:t>
            </w:r>
          </w:p>
        </w:tc>
        <w:tc>
          <w:tcPr>
            <w:tcBorders>
              <w:top w:val="single" w:color="CBD5E1" w:sz="4"/>
              <w:left w:val="single" w:color="CBD5E1" w:sz="4"/>
              <w:bottom w:val="single" w:color="CBD5E1" w:sz="4"/>
              <w:right w:val="single" w:color="CBD5E1" w:sz="4"/>
            </w:tcBorders>
            <w:shd w:fill="4F46E5" w:val="clear"/>
          </w:tcPr>
          <w:p>
            <w:r>
              <w:rPr>
                <w:b/>
                <w:bCs/>
                <w:color w:val="FFFFFF"/>
              </w:rPr>
              <w:t xml:space="preserve">Statutory Formula / Apex Rule</w:t>
            </w:r>
          </w:p>
        </w:tc>
      </w:tr>
      <w:tr>
        <w:tc>
          <w:tcPr>
            <w:tcBorders>
              <w:top w:val="single" w:color="CBD5E1" w:sz="4"/>
              <w:left w:val="single" w:color="CBD5E1" w:sz="4"/>
              <w:bottom w:val="single" w:color="CBD5E1" w:sz="4"/>
              <w:right w:val="single" w:color="CBD5E1" w:sz="4"/>
            </w:tcBorders>
          </w:tcPr>
          <w:p>
            <w:r>
              <w:rPr>
                <w:b/>
                <w:bCs/>
              </w:rPr>
              <w:t xml:space="preserve">NASSIT Pension (Employee)</w:t>
            </w:r>
          </w:p>
        </w:tc>
        <w:tc>
          <w:tcPr>
            <w:tcBorders>
              <w:top w:val="single" w:color="CBD5E1" w:sz="4"/>
              <w:left w:val="single" w:color="CBD5E1" w:sz="4"/>
              <w:bottom w:val="single" w:color="CBD5E1" w:sz="4"/>
              <w:right w:val="single" w:color="CBD5E1" w:sz="4"/>
            </w:tcBorders>
          </w:tcPr>
          <w:p>
            <w:r>
              <w:t xml:space="preserve">5% mandatory statutory deduction from Gross Basic Salary</w:t>
            </w:r>
          </w:p>
        </w:tc>
      </w:tr>
      <w:tr>
        <w:tc>
          <w:tcPr>
            <w:tcBorders>
              <w:top w:val="single" w:color="CBD5E1" w:sz="4"/>
              <w:left w:val="single" w:color="CBD5E1" w:sz="4"/>
              <w:bottom w:val="single" w:color="CBD5E1" w:sz="4"/>
              <w:right w:val="single" w:color="CBD5E1" w:sz="4"/>
            </w:tcBorders>
            <w:shd w:fill="F8FAFC" w:val="clear"/>
          </w:tcPr>
          <w:p>
            <w:r>
              <w:rPr>
                <w:b/>
                <w:bCs/>
              </w:rPr>
              <w:t xml:space="preserve">NASSIT Contribution (Employer)</w:t>
            </w:r>
          </w:p>
        </w:tc>
        <w:tc>
          <w:tcPr>
            <w:tcBorders>
              <w:top w:val="single" w:color="CBD5E1" w:sz="4"/>
              <w:left w:val="single" w:color="CBD5E1" w:sz="4"/>
              <w:bottom w:val="single" w:color="CBD5E1" w:sz="4"/>
              <w:right w:val="single" w:color="CBD5E1" w:sz="4"/>
            </w:tcBorders>
            <w:shd w:fill="F8FAFC" w:val="clear"/>
          </w:tcPr>
          <w:p>
            <w:r>
              <w:t xml:space="preserve">10% employer statutory contribution (Total 15% remitted to NASSIT)</w:t>
            </w:r>
          </w:p>
        </w:tc>
      </w:tr>
      <w:tr>
        <w:tc>
          <w:tcPr>
            <w:tcBorders>
              <w:top w:val="single" w:color="CBD5E1" w:sz="4"/>
              <w:left w:val="single" w:color="CBD5E1" w:sz="4"/>
              <w:bottom w:val="single" w:color="CBD5E1" w:sz="4"/>
              <w:right w:val="single" w:color="CBD5E1" w:sz="4"/>
            </w:tcBorders>
          </w:tcPr>
          <w:p>
            <w:r>
              <w:rPr>
                <w:b/>
                <w:bCs/>
              </w:rPr>
              <w:t xml:space="preserve">PAYE Income Tax</w:t>
            </w:r>
          </w:p>
        </w:tc>
        <w:tc>
          <w:tcPr>
            <w:tcBorders>
              <w:top w:val="single" w:color="CBD5E1" w:sz="4"/>
              <w:left w:val="single" w:color="CBD5E1" w:sz="4"/>
              <w:bottom w:val="single" w:color="CBD5E1" w:sz="4"/>
              <w:right w:val="single" w:color="CBD5E1" w:sz="4"/>
            </w:tcBorders>
          </w:tcPr>
          <w:p>
            <w:r>
              <w:t xml:space="preserve">Graduated progressive tax brackets (0% tax-free baseline up to 30% top bracket)</w:t>
            </w:r>
          </w:p>
        </w:tc>
      </w:tr>
      <w:tr>
        <w:tc>
          <w:tcPr>
            <w:tcBorders>
              <w:top w:val="single" w:color="CBD5E1" w:sz="4"/>
              <w:left w:val="single" w:color="CBD5E1" w:sz="4"/>
              <w:bottom w:val="single" w:color="CBD5E1" w:sz="4"/>
              <w:right w:val="single" w:color="CBD5E1" w:sz="4"/>
            </w:tcBorders>
            <w:shd w:fill="F8FAFC" w:val="clear"/>
          </w:tcPr>
          <w:p>
            <w:r>
              <w:rPr>
                <w:b/>
                <w:bCs/>
              </w:rPr>
              <w:t xml:space="preserve">Overtime Multiplier</w:t>
            </w:r>
          </w:p>
        </w:tc>
        <w:tc>
          <w:tcPr>
            <w:tcBorders>
              <w:top w:val="single" w:color="CBD5E1" w:sz="4"/>
              <w:left w:val="single" w:color="CBD5E1" w:sz="4"/>
              <w:bottom w:val="single" w:color="CBD5E1" w:sz="4"/>
              <w:right w:val="single" w:color="CBD5E1" w:sz="4"/>
            </w:tcBorders>
            <w:shd w:fill="F8FAFC" w:val="clear"/>
          </w:tcPr>
          <w:p>
            <w:r>
              <w:t xml:space="preserve">1.5× hourly rate on regular working days; 2.0× on weekends and declared public holidays</w:t>
            </w:r>
          </w:p>
        </w:tc>
      </w:tr>
      <w:tr>
        <w:tc>
          <w:tcPr>
            <w:tcBorders>
              <w:top w:val="single" w:color="CBD5E1" w:sz="4"/>
              <w:left w:val="single" w:color="CBD5E1" w:sz="4"/>
              <w:bottom w:val="single" w:color="CBD5E1" w:sz="4"/>
              <w:right w:val="single" w:color="CBD5E1" w:sz="4"/>
            </w:tcBorders>
          </w:tcPr>
          <w:p>
            <w:r>
              <w:rPr>
                <w:b/>
                <w:bCs/>
              </w:rPr>
              <w:t xml:space="preserve">Attendance Grace Period</w:t>
            </w:r>
          </w:p>
        </w:tc>
        <w:tc>
          <w:tcPr>
            <w:tcBorders>
              <w:top w:val="single" w:color="CBD5E1" w:sz="4"/>
              <w:left w:val="single" w:color="CBD5E1" w:sz="4"/>
              <w:bottom w:val="single" w:color="CBD5E1" w:sz="4"/>
              <w:right w:val="single" w:color="CBD5E1" w:sz="4"/>
            </w:tcBorders>
          </w:tcPr>
          <w:p>
            <w:r>
              <w:t xml:space="preserve">15-minute grace period past standard 08:30 shift start before status shifts to "Late"</w:t>
            </w:r>
          </w:p>
        </w:tc>
      </w:tr>
    </w:tbl>
    <w:p>
      <w:pPr>
        <w:pStyle w:val="Heading1"/>
        <w:spacing w:before="300"/>
      </w:pPr>
      <w:r>
        <w:rPr>
          <w:b/>
          <w:bCs/>
          <w:color w:val="4F46E5"/>
        </w:rPr>
        <w:t xml:space="preserve">7. Accessing and Using the AI Module on Mobile Phones</w:t>
      </w:r>
    </w:p>
    <w:p>
      <w:r>
        <w:t xml:space="preserve">The entire system is 100% responsive and optimized for smartphones (iOS Safari, Android Chrome, and modern mobile browsers).</w:t>
      </w:r>
    </w:p>
    <w:p>
      <w:r>
        <w:rPr>
          <w:b/>
          <w:bCs/>
        </w:rPr>
        <w:t xml:space="preserve">Step 7.1: Connecting from Mobile
</w:t>
      </w:r>
      <w:r>
        <w:t xml:space="preserve">1. Ensure your smartphone is connected to the same Wi-Fi network as the host computer.
</w:t>
      </w:r>
      <w:r>
        <w:t xml:space="preserve">2. Open your mobile browser and navigate to: </w:t>
      </w:r>
      <w:r>
        <w:rPr>
          <w:b/>
          <w:bCs/>
          <w:color w:val="4F46E5"/>
        </w:rPr>
        <w:t xml:space="preserve">http://192.168.0.119:3001
</w:t>
      </w:r>
      <w:r>
        <w:t xml:space="preserve">3. Log in with your credentials or tap any quick-select role.
</w:t>
      </w:r>
      <w:r>
        <w:rPr>
          <w:b/>
          <w:bCs/>
        </w:rPr>
        <w:t xml:space="preserve">Step 7.2: Mobile AI Floating Experience
</w:t>
      </w:r>
      <w:r>
        <w:t xml:space="preserve">• The AI orb automatically docks above the mobile bottom navigation bar (at bottom-20 offset) so it never obstructs your navigation tabs.
</w:t>
      </w:r>
      <w:r>
        <w:t xml:space="preserve">• Dragging on touchscreens is smooth: touch and drag the orb to move it out of the way of any form inputs.
</w:t>
      </w:r>
      <w:r>
        <w:t xml:space="preserve">• The expanded chat popover adapts fluidly to your mobile screen width (`w-[calc(100vw-1rem)]`) with touch-friendly scrollbars.</w:t>
      </w:r>
    </w:p>
    <w:p>
      <w:pPr>
        <w:pStyle w:val="Heading1"/>
        <w:spacing w:before="300"/>
      </w:pPr>
      <w:r>
        <w:rPr>
          <w:b/>
          <w:bCs/>
          <w:color w:val="4F46E5"/>
        </w:rPr>
        <w:t xml:space="preserve">8. Practical Sample Prompts for Everyday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Pr>
          <w:p>
            <w:r>
              <w:rPr>
                <w:b/>
                <w:bCs/>
                <w:color w:val="FFFFFF"/>
              </w:rPr>
              <w:t xml:space="preserve">Department / Role</w:t>
            </w:r>
          </w:p>
        </w:tc>
        <w:tc>
          <w:tcPr>
            <w:tcBorders>
              <w:top w:val="single" w:color="CBD5E1" w:sz="4"/>
              <w:left w:val="single" w:color="CBD5E1" w:sz="4"/>
              <w:bottom w:val="single" w:color="CBD5E1" w:sz="4"/>
              <w:right w:val="single" w:color="CBD5E1" w:sz="4"/>
            </w:tcBorders>
            <w:shd w:fill="0F172A" w:val="clear"/>
          </w:tcPr>
          <w:p>
            <w:r>
              <w:rPr>
                <w:b/>
                <w:bCs/>
                <w:color w:val="FFFFFF"/>
              </w:rPr>
              <w:t xml:space="preserve">Example AI Assistant Query</w:t>
            </w:r>
          </w:p>
        </w:tc>
      </w:tr>
      <w:tr>
        <w:tc>
          <w:tcPr>
            <w:tcBorders>
              <w:top w:val="single" w:color="CBD5E1" w:sz="4"/>
              <w:left w:val="single" w:color="CBD5E1" w:sz="4"/>
              <w:bottom w:val="single" w:color="CBD5E1" w:sz="4"/>
              <w:right w:val="single" w:color="CBD5E1" w:sz="4"/>
            </w:tcBorders>
          </w:tcPr>
          <w:p>
            <w:r>
              <w:rPr>
                <w:b/>
                <w:bCs/>
              </w:rPr>
              <w:t xml:space="preserve">HR &amp; Management</w:t>
            </w:r>
          </w:p>
        </w:tc>
        <w:tc>
          <w:tcPr>
            <w:tcBorders>
              <w:top w:val="single" w:color="CBD5E1" w:sz="4"/>
              <w:left w:val="single" w:color="CBD5E1" w:sz="4"/>
              <w:bottom w:val="single" w:color="CBD5E1" w:sz="4"/>
              <w:right w:val="single" w:color="CBD5E1" w:sz="4"/>
            </w:tcBorders>
          </w:tcPr>
          <w:p>
            <w:r>
              <w:t xml:space="preserve">"Who arrived late today and what was the average tardiness in the Engineering department?"</w:t>
            </w:r>
          </w:p>
        </w:tc>
      </w:tr>
      <w:tr>
        <w:tc>
          <w:tcPr>
            <w:tcBorders>
              <w:top w:val="single" w:color="CBD5E1" w:sz="4"/>
              <w:left w:val="single" w:color="CBD5E1" w:sz="4"/>
              <w:bottom w:val="single" w:color="CBD5E1" w:sz="4"/>
              <w:right w:val="single" w:color="CBD5E1" w:sz="4"/>
            </w:tcBorders>
            <w:shd w:fill="F8FAFC" w:val="clear"/>
          </w:tcPr>
          <w:p>
            <w:r>
              <w:rPr>
                <w:b/>
                <w:bCs/>
              </w:rPr>
              <w:t xml:space="preserve">Payroll Accounting</w:t>
            </w:r>
          </w:p>
        </w:tc>
        <w:tc>
          <w:tcPr>
            <w:tcBorders>
              <w:top w:val="single" w:color="CBD5E1" w:sz="4"/>
              <w:left w:val="single" w:color="CBD5E1" w:sz="4"/>
              <w:bottom w:val="single" w:color="CBD5E1" w:sz="4"/>
              <w:right w:val="single" w:color="CBD5E1" w:sz="4"/>
            </w:tcBorders>
            <w:shd w:fill="F8FAFC" w:val="clear"/>
          </w:tcPr>
          <w:p>
            <w:r>
              <w:t xml:space="preserve">"Explain how NASSIT 5% and graduated PAYE are calculated for a basic salary of NLe 15,000."</w:t>
            </w:r>
          </w:p>
        </w:tc>
      </w:tr>
      <w:tr>
        <w:tc>
          <w:tcPr>
            <w:tcBorders>
              <w:top w:val="single" w:color="CBD5E1" w:sz="4"/>
              <w:left w:val="single" w:color="CBD5E1" w:sz="4"/>
              <w:bottom w:val="single" w:color="CBD5E1" w:sz="4"/>
              <w:right w:val="single" w:color="CBD5E1" w:sz="4"/>
            </w:tcBorders>
          </w:tcPr>
          <w:p>
            <w:r>
              <w:rPr>
                <w:b/>
                <w:bCs/>
              </w:rPr>
              <w:t xml:space="preserve">Staff / Self-Service</w:t>
            </w:r>
          </w:p>
        </w:tc>
        <w:tc>
          <w:tcPr>
            <w:tcBorders>
              <w:top w:val="single" w:color="CBD5E1" w:sz="4"/>
              <w:left w:val="single" w:color="CBD5E1" w:sz="4"/>
              <w:bottom w:val="single" w:color="CBD5E1" w:sz="4"/>
              <w:right w:val="single" w:color="CBD5E1" w:sz="4"/>
            </w:tcBorders>
          </w:tcPr>
          <w:p>
            <w:r>
              <w:t xml:space="preserve">"How do I print or display my personal QR attendance badge for the kiosk scanner?"</w:t>
            </w:r>
          </w:p>
        </w:tc>
      </w:tr>
      <w:tr>
        <w:tc>
          <w:tcPr>
            <w:tcBorders>
              <w:top w:val="single" w:color="CBD5E1" w:sz="4"/>
              <w:left w:val="single" w:color="CBD5E1" w:sz="4"/>
              <w:bottom w:val="single" w:color="CBD5E1" w:sz="4"/>
              <w:right w:val="single" w:color="CBD5E1" w:sz="4"/>
            </w:tcBorders>
            <w:shd w:fill="F8FAFC" w:val="clear"/>
          </w:tcPr>
          <w:p>
            <w:r>
              <w:rPr>
                <w:b/>
                <w:bCs/>
              </w:rPr>
              <w:t xml:space="preserve">Compliance &amp; Audit</w:t>
            </w:r>
          </w:p>
        </w:tc>
        <w:tc>
          <w:tcPr>
            <w:tcBorders>
              <w:top w:val="single" w:color="CBD5E1" w:sz="4"/>
              <w:left w:val="single" w:color="CBD5E1" w:sz="4"/>
              <w:bottom w:val="single" w:color="CBD5E1" w:sz="4"/>
              <w:right w:val="single" w:color="CBD5E1" w:sz="4"/>
            </w:tcBorders>
            <w:shd w:fill="F8FAFC" w:val="clear"/>
          </w:tcPr>
          <w:p>
            <w:r>
              <w:t xml:space="preserve">"Generate an executive payroll reconciliation summary for this month's audit report."</w:t>
            </w:r>
          </w:p>
        </w:tc>
      </w:tr>
    </w:tbl>
    <w:p>
      <w:pPr>
        <w:spacing w:before="400"/>
      </w:pPr>
      <w:r>
        <w:rPr>
          <w:i/>
          <w:iCs/>
          <w:color w:val="64748B"/>
        </w:rPr>
        <w:t xml:space="preserve">For technical assistance or system maintenance, refer to the dissertation documentation or contact the system administrator.</w:t>
      </w:r>
    </w:p>
    <w:p>
      <w:r>
        <w:rPr>
          <w:b/>
          <w:bCs/>
          <w:color w:val="4F46E5"/>
          <w:sz w:val="18"/>
          <w:szCs w:val="18"/>
        </w:rPr>
        <w:t xml:space="preserve">Apex Enterprise HRMS • Smart Employee Attendance and Statutory Payroll Management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pPr>
        <w:spacing w:after="1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HRMS AI Assistant Module User Manual</dc:title>
  <dc:creator>Osman A. Mansaray</dc:creator>
  <dc:description>Step-by-step comprehensive guide on how to use the AI Assistant Module across desktop and mobile devices.</dc:description>
  <cp:lastModifiedBy>Un-named</cp:lastModifiedBy>
  <cp:revision>1</cp:revision>
  <dcterms:created xsi:type="dcterms:W3CDTF">2026-09-17T12:28:59.066Z</dcterms:created>
  <dcterms:modified xsi:type="dcterms:W3CDTF">2026-09-17T12:28:59.066Z</dcterms:modified>
</cp:coreProperties>
</file>

<file path=docProps/custom.xml><?xml version="1.0" encoding="utf-8"?>
<Properties xmlns="http://schemas.openxmlformats.org/officeDocument/2006/custom-properties" xmlns:vt="http://schemas.openxmlformats.org/officeDocument/2006/docPropsVTypes"/>
</file>