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70F1C"/>
          <w:sz w:val="52"/>
          <w:szCs w:val="52"/>
        </w:rPr>
        <w:t xml:space="preserve">NEURALAUNCH</w:t>
      </w:r>
    </w:p>
    <w:p>
      <w:pPr>
        <w:spacing w:after="120"/>
        <w:jc w:val="center"/>
      </w:pPr>
      <w:r>
        <w:rPr>
          <w:rFonts w:ascii="Arial" w:cs="Arial" w:eastAsia="Arial" w:hAnsi="Arial"/>
          <w:b/>
          <w:bCs/>
          <w:color w:val="2563EB"/>
          <w:sz w:val="40"/>
          <w:szCs w:val="40"/>
        </w:rPr>
        <w:t xml:space="preserve">EXECUTION TOOL SUITE</w:t>
      </w:r>
    </w:p>
    <w:p>
      <w:pPr>
        <w:pBdr>
          <w:bottom w:val="single" w:color="C9A84C" w:sz="6" w:space="1"/>
        </w:pBdr>
        <w:spacing w:after="600"/>
        <w:jc w:val="center"/>
      </w:pPr>
      <w:r>
        <w:rPr>
          <w:rFonts w:ascii="Arial" w:cs="Arial" w:eastAsia="Arial" w:hAnsi="Arial"/>
          <w:color w:val="C0C8D8"/>
          <w:sz w:val="26"/>
          <w:szCs w:val="26"/>
        </w:rPr>
        <w:t xml:space="preserve">Strategic Recommendation &amp; Architecture</w:t>
      </w:r>
    </w:p>
    <w:p>
      <w:pPr>
        <w:spacing w:before="400"/>
      </w:pPr>
    </w:p>
    <w:p>
      <w:pPr>
        <w:spacing w:after="80"/>
        <w:jc w:val="center"/>
      </w:pPr>
      <w:r>
        <w:rPr>
          <w:rFonts w:ascii="Arial" w:cs="Arial" w:eastAsia="Arial" w:hAnsi="Arial"/>
          <w:color w:val="1E293B"/>
          <w:sz w:val="20"/>
          <w:szCs w:val="20"/>
        </w:rPr>
        <w:t xml:space="preserve">Derived from 63 Production Sessions | 529 Roadmap Tasks | 15 Completed Evaluations</w:t>
      </w:r>
    </w:p>
    <w:p>
      <w:pPr>
        <w:spacing w:after="80"/>
        <w:jc w:val="center"/>
      </w:pPr>
      <w:r>
        <w:rPr>
          <w:rFonts w:ascii="Arial" w:cs="Arial" w:eastAsia="Arial" w:hAnsi="Arial"/>
          <w:color w:val="1E293B"/>
          <w:sz w:val="20"/>
          <w:szCs w:val="20"/>
        </w:rPr>
        <w:t xml:space="preserve">6 Recommendation Types | 4 Audience Segments | 32 Active Roadmaps</w:t>
      </w:r>
    </w:p>
    <w:p>
      <w:pPr>
        <w:spacing w:before="800"/>
      </w:pPr>
    </w:p>
    <w:p>
      <w:pPr>
        <w:spacing w:after="40"/>
        <w:jc w:val="center"/>
      </w:pPr>
      <w:r>
        <w:rPr>
          <w:rFonts w:ascii="Arial" w:cs="Arial" w:eastAsia="Arial" w:hAnsi="Arial"/>
          <w:b/>
          <w:bCs/>
          <w:color w:val="070F1C"/>
          <w:sz w:val="22"/>
          <w:szCs w:val="22"/>
        </w:rPr>
        <w:t xml:space="preserve">Tabempa Engineering Limited</w:t>
      </w:r>
    </w:p>
    <w:p>
      <w:pPr>
        <w:spacing w:after="40"/>
        <w:jc w:val="center"/>
      </w:pPr>
      <w:r>
        <w:rPr>
          <w:rFonts w:ascii="Arial" w:cs="Arial" w:eastAsia="Arial" w:hAnsi="Arial"/>
          <w:i/>
          <w:iCs/>
          <w:color w:val="C9A84C"/>
          <w:sz w:val="20"/>
          <w:szCs w:val="20"/>
        </w:rPr>
        <w:t xml:space="preserve">Precision Engineering. Intelligent Outcomes.</w:t>
      </w:r>
    </w:p>
    <w:p>
      <w:pPr>
        <w:jc w:val="center"/>
      </w:pPr>
      <w:r>
        <w:rPr>
          <w:rFonts w:ascii="Arial" w:cs="Arial" w:eastAsia="Arial" w:hAnsi="Arial"/>
          <w:color w:val="1E293B"/>
          <w:sz w:val="20"/>
          <w:szCs w:val="20"/>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70F1C"/>
          <w:sz w:val="32"/>
          <w:szCs w:val="32"/>
        </w:rPr>
        <w:t xml:space="preserve">1. Executive Summary</w:t>
      </w:r>
    </w:p>
    <w:p>
      <w:pPr>
        <w:spacing w:after="140" w:line="276"/>
      </w:pPr>
      <w:r>
        <w:rPr>
          <w:rFonts w:ascii="Arial" w:cs="Arial" w:eastAsia="Arial" w:hAnsi="Arial"/>
          <w:b w:val="false"/>
          <w:bCs w:val="false"/>
          <w:i w:val="false"/>
          <w:iCs w:val="false"/>
          <w:color w:val="1E293B"/>
          <w:sz w:val="21"/>
          <w:szCs w:val="21"/>
        </w:rPr>
        <w:t xml:space="preserve">This document presents the strategic recommendation for NeuraLaunch’s Execution Tool Suite — the platform capability that replaces what was originally conceived as Phases 3 through 5 of the NeuraLaunch roadmap. The recommendation is derived entirely from production data: 63 real sessions, 529 roadmap tasks across 32 active roadmaps, and 15 fully evaluated sessions spanning all six recommendation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DF8ED" w:val="clear"/>
            <w:tcMar>
              <w:top w:type="dxa" w:w="120"/>
              <w:left w:type="dxa" w:w="200"/>
              <w:bottom w:type="dxa" w:w="120"/>
              <w:right w:type="dxa" w:w="200"/>
            </w:tcMar>
          </w:tcPr>
          <w:p>
            <w:pPr>
              <w:spacing w:after="60"/>
            </w:pPr>
            <w:r>
              <w:rPr>
                <w:rFonts w:ascii="Arial" w:cs="Arial" w:eastAsia="Arial" w:hAnsi="Arial"/>
                <w:b/>
                <w:bCs/>
                <w:color w:val="C9A84C"/>
                <w:sz w:val="21"/>
                <w:szCs w:val="21"/>
              </w:rPr>
              <w:t xml:space="preserve">THE CORE INSIGHT</w:t>
            </w:r>
          </w:p>
          <w:p>
            <w:pPr>
              <w:spacing w:after="0"/>
            </w:pPr>
            <w:r>
              <w:rPr>
                <w:rFonts w:ascii="Arial" w:cs="Arial" w:eastAsia="Arial" w:hAnsi="Arial"/>
                <w:color w:val="1E293B"/>
                <w:sz w:val="20"/>
                <w:szCs w:val="20"/>
              </w:rPr>
              <w:t xml:space="preserve">NeuraLaunch’s user base is overwhelmingly non-technical. Of the 15 completed evaluations, only 1 resulted in a build_software recommendation. The remaining 14 — 93% — were build_service, sales_motion, process_change, hire_or_outsource, and further_research. The execution tools must be designed for founders who operate through WhatsApp, Google Docs, and face-to-face conversations — not IDEs and deployment pipelines.</w:t>
            </w:r>
          </w:p>
        </w:tc>
      </w:tr>
    </w:tbl>
    <w:p>
      <w:pPr>
        <w:spacing w:after="60"/>
      </w:pPr>
    </w:p>
    <w:p>
      <w:pPr>
        <w:spacing w:after="140" w:line="276"/>
      </w:pPr>
      <w:r>
        <w:rPr>
          <w:rFonts w:ascii="Arial" w:cs="Arial" w:eastAsia="Arial" w:hAnsi="Arial"/>
          <w:b w:val="false"/>
          <w:bCs w:val="false"/>
          <w:i w:val="false"/>
          <w:iCs w:val="false"/>
          <w:color w:val="1E293B"/>
          <w:sz w:val="21"/>
          <w:szCs w:val="21"/>
        </w:rPr>
        <w:t xml:space="preserve">The analysis of all 529 roadmap tasks reveals that founders need help with a specific, recurring set of execution activities: composing outreach messages, drafting proposals and service descriptions, preparing for difficult conversations (pricing, confrontation, negotiation), building prospect lists, tracking revenue and pipeline, creating SOPs and checklists, collecting customer feedback, and producing content. These needs repeat across every recommendation type and every audience segment.</w:t>
      </w:r>
    </w:p>
    <w:p>
      <w:pPr>
        <w:spacing w:after="140" w:line="276"/>
      </w:pPr>
      <w:r>
        <w:rPr>
          <w:rFonts w:ascii="Arial" w:cs="Arial" w:eastAsia="Arial" w:hAnsi="Arial"/>
          <w:b w:val="false"/>
          <w:bCs w:val="false"/>
          <w:i w:val="false"/>
          <w:iCs w:val="false"/>
          <w:color w:val="1E293B"/>
          <w:sz w:val="21"/>
          <w:szCs w:val="21"/>
        </w:rPr>
        <w:t xml:space="preserve">The recommended suite consists of 8 execution tools, organised into 3 tiers based on demand signal strength and founder impact. Each tool maps directly to the RecommendationType enum already locked in the NeuraLaunch architecture, but is designed to serve all types — because the data shows that a founder building a service needs outreach help just as much as a founder executing a sales motion.</w:t>
      </w:r>
    </w:p>
    <w:p>
      <w:pPr>
        <w:pStyle w:val="Heading1"/>
        <w:spacing w:after="200" w:before="360"/>
      </w:pPr>
      <w:r>
        <w:rPr>
          <w:rFonts w:ascii="Arial" w:cs="Arial" w:eastAsia="Arial" w:hAnsi="Arial"/>
          <w:b/>
          <w:bCs/>
          <w:color w:val="070F1C"/>
          <w:sz w:val="32"/>
          <w:szCs w:val="32"/>
        </w:rPr>
        <w:t xml:space="preserve">2. What the Data Shows</w:t>
      </w:r>
    </w:p>
    <w:p>
      <w:pPr>
        <w:pStyle w:val="Heading2"/>
        <w:spacing w:after="160" w:before="280"/>
      </w:pPr>
      <w:r>
        <w:rPr>
          <w:rFonts w:ascii="Arial" w:cs="Arial" w:eastAsia="Arial" w:hAnsi="Arial"/>
          <w:b/>
          <w:bCs/>
          <w:color w:val="2563EB"/>
          <w:sz w:val="26"/>
          <w:szCs w:val="26"/>
        </w:rPr>
        <w:t xml:space="preserve">2.1 Session &amp; Recommendation Distribution</w:t>
      </w:r>
    </w:p>
    <w:p>
      <w:pPr>
        <w:spacing w:after="140" w:line="276"/>
      </w:pPr>
      <w:r>
        <w:rPr>
          <w:rFonts w:ascii="Arial" w:cs="Arial" w:eastAsia="Arial" w:hAnsi="Arial"/>
          <w:b w:val="false"/>
          <w:bCs w:val="false"/>
          <w:i w:val="false"/>
          <w:iCs w:val="false"/>
          <w:color w:val="1E293B"/>
          <w:sz w:val="21"/>
          <w:szCs w:val="21"/>
        </w:rPr>
        <w:t xml:space="preserve">The production database contains 63 sessions: 34 complete, 24 active, and 5 expired. Of the 34 complete sessions, 15 have fully resolved recommendations with accepted roadmaps. The recommendation type distribution tells a clear story about who NeuraLaunch actually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3560"/>
      </w:tblGrid>
      <w:tr>
        <w:tc>
          <w:tcPr>
            <w:tcW w:type="dxa" w:w="32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Recommendation Type</w:t>
            </w:r>
          </w:p>
        </w:tc>
        <w:tc>
          <w:tcPr>
            <w:tcW w:type="dxa" w:w="12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Count</w:t>
            </w:r>
          </w:p>
        </w:tc>
        <w:tc>
          <w:tcPr>
            <w:tcW w:type="dxa" w:w="14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Share</w:t>
            </w:r>
          </w:p>
        </w:tc>
        <w:tc>
          <w:tcPr>
            <w:tcW w:type="dxa" w:w="356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Primary Audience</w:t>
            </w:r>
          </w:p>
        </w:tc>
      </w:tr>
      <w:tr>
        <w:tc>
          <w:tcPr>
            <w:tcW w:type="dxa" w:w="3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build_service</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w:t>
            </w:r>
          </w:p>
        </w:tc>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33.3%</w:t>
            </w:r>
          </w:p>
        </w:tc>
        <w:tc>
          <w:tcPr>
            <w:tcW w:type="dxa" w:w="35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Aspiring Builders, Mid-Journey, Established</w:t>
            </w:r>
          </w:p>
        </w:tc>
      </w:tr>
      <w:tr>
        <w:tc>
          <w:tcPr>
            <w:tcW w:type="dxa" w:w="3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sales_motion</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20.0%</w:t>
            </w:r>
          </w:p>
        </w:tc>
        <w:tc>
          <w:tcPr>
            <w:tcW w:type="dxa" w:w="35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Stuck Founders, Established Owners</w:t>
            </w:r>
          </w:p>
        </w:tc>
      </w:tr>
      <w:tr>
        <w:tc>
          <w:tcPr>
            <w:tcW w:type="dxa" w:w="3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process_change</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20.0%</w:t>
            </w:r>
          </w:p>
        </w:tc>
        <w:tc>
          <w:tcPr>
            <w:tcW w:type="dxa" w:w="35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Established Owners, Aspiring Builders</w:t>
            </w:r>
          </w:p>
        </w:tc>
      </w:tr>
      <w:tr>
        <w:tc>
          <w:tcPr>
            <w:tcW w:type="dxa" w:w="3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further_research</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13.3%</w:t>
            </w:r>
          </w:p>
        </w:tc>
        <w:tc>
          <w:tcPr>
            <w:tcW w:type="dxa" w:w="35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Established Owners, Aspiring Builders</w:t>
            </w:r>
          </w:p>
        </w:tc>
      </w:tr>
      <w:tr>
        <w:tc>
          <w:tcPr>
            <w:tcW w:type="dxa" w:w="3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build_software</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6.7%</w:t>
            </w:r>
          </w:p>
        </w:tc>
        <w:tc>
          <w:tcPr>
            <w:tcW w:type="dxa" w:w="35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Aspiring Builders</w:t>
            </w:r>
          </w:p>
        </w:tc>
      </w:tr>
      <w:tr>
        <w:tc>
          <w:tcPr>
            <w:tcW w:type="dxa" w:w="3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hire_or_outsource</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c>
          <w:tcPr>
            <w:tcW w:type="dxa" w:w="1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6.7%</w:t>
            </w:r>
          </w:p>
        </w:tc>
        <w:tc>
          <w:tcPr>
            <w:tcW w:type="dxa" w:w="35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Established Owners</w:t>
            </w:r>
          </w:p>
        </w:tc>
      </w:tr>
    </w:tbl>
    <w:p>
      <w:pPr>
        <w:spacing w:after="60"/>
      </w:pPr>
    </w:p>
    <w:p>
      <w:pPr>
        <w:spacing w:after="140" w:line="276"/>
      </w:pPr>
      <w:r>
        <w:rPr>
          <w:rFonts w:ascii="Arial" w:cs="Arial" w:eastAsia="Arial" w:hAnsi="Arial"/>
          <w:color w:val="1E293B"/>
          <w:sz w:val="21"/>
          <w:szCs w:val="21"/>
        </w:rPr>
        <w:t xml:space="preserve">The dominance of non-software types is not an artefact of limited data. </w:t>
      </w:r>
      <w:r>
        <w:rPr>
          <w:rFonts w:ascii="Arial" w:cs="Arial" w:eastAsia="Arial" w:hAnsi="Arial"/>
          <w:b/>
          <w:bCs/>
          <w:color w:val="1E293B"/>
          <w:sz w:val="21"/>
          <w:szCs w:val="21"/>
        </w:rPr>
        <w:t xml:space="preserve">build_service alone accounts for a third of all recommendations</w:t>
      </w:r>
      <w:r>
        <w:rPr>
          <w:rFonts w:ascii="Arial" w:cs="Arial" w:eastAsia="Arial" w:hAnsi="Arial"/>
          <w:color w:val="1E293B"/>
          <w:sz w:val="21"/>
          <w:szCs w:val="21"/>
        </w:rPr>
        <w:t xml:space="preserve">, and the three non-technical types (build_service + sales_motion + process_change) collectively represent 73.3% of all outcomes. This distribution should be treated as a structural feature of the user base, not a sampling anomaly.</w:t>
      </w:r>
    </w:p>
    <w:p>
      <w:pPr>
        <w:pStyle w:val="Heading2"/>
        <w:spacing w:after="160" w:before="280"/>
      </w:pPr>
      <w:r>
        <w:rPr>
          <w:rFonts w:ascii="Arial" w:cs="Arial" w:eastAsia="Arial" w:hAnsi="Arial"/>
          <w:b/>
          <w:bCs/>
          <w:color w:val="2563EB"/>
          <w:sz w:val="26"/>
          <w:szCs w:val="26"/>
        </w:rPr>
        <w:t xml:space="preserve">2.2 Audience Segmentation</w:t>
      </w:r>
    </w:p>
    <w:p>
      <w:pPr>
        <w:spacing w:after="140" w:line="276"/>
      </w:pPr>
      <w:r>
        <w:rPr>
          <w:rFonts w:ascii="Arial" w:cs="Arial" w:eastAsia="Arial" w:hAnsi="Arial"/>
          <w:b w:val="false"/>
          <w:bCs w:val="false"/>
          <w:i w:val="false"/>
          <w:iCs w:val="false"/>
          <w:color w:val="1E293B"/>
          <w:sz w:val="21"/>
          <w:szCs w:val="21"/>
        </w:rPr>
        <w:t xml:space="preserve">The 30 sessions with audience classification break down as follows:</w:t>
      </w:r>
    </w:p>
    <w:p>
      <w:pPr>
        <w:pStyle w:val="ListParagraph"/>
        <w:numPr>
          <w:ilvl w:val="0"/>
          <w:numId w:val="2"/>
        </w:numPr>
        <w:spacing w:after="80" w:line="276"/>
      </w:pPr>
      <w:r>
        <w:rPr>
          <w:rFonts w:ascii="Arial" w:cs="Arial" w:eastAsia="Arial" w:hAnsi="Arial"/>
          <w:color w:val="1E293B"/>
          <w:sz w:val="21"/>
          <w:szCs w:val="21"/>
        </w:rPr>
        <w:t xml:space="preserve">ASPIRING_BUILDER: 11 sessions (36.7%) — people starting from zero, no existing revenue</w:t>
      </w:r>
    </w:p>
    <w:p>
      <w:pPr>
        <w:pStyle w:val="ListParagraph"/>
        <w:numPr>
          <w:ilvl w:val="0"/>
          <w:numId w:val="2"/>
        </w:numPr>
        <w:spacing w:after="80" w:line="276"/>
      </w:pPr>
      <w:r>
        <w:rPr>
          <w:rFonts w:ascii="Arial" w:cs="Arial" w:eastAsia="Arial" w:hAnsi="Arial"/>
          <w:color w:val="1E293B"/>
          <w:sz w:val="21"/>
          <w:szCs w:val="21"/>
        </w:rPr>
        <w:t xml:space="preserve">ESTABLISHED_OWNER: 9 sessions (30.0%) — people with existing operations and real constraints</w:t>
      </w:r>
    </w:p>
    <w:p>
      <w:pPr>
        <w:pStyle w:val="ListParagraph"/>
        <w:numPr>
          <w:ilvl w:val="0"/>
          <w:numId w:val="2"/>
        </w:numPr>
        <w:spacing w:after="80" w:line="276"/>
      </w:pPr>
      <w:r>
        <w:rPr>
          <w:rFonts w:ascii="Arial" w:cs="Arial" w:eastAsia="Arial" w:hAnsi="Arial"/>
          <w:color w:val="1E293B"/>
          <w:sz w:val="21"/>
          <w:szCs w:val="21"/>
        </w:rPr>
        <w:t xml:space="preserve">MID_JOURNEY_PROFESSIONAL: 8 sessions (26.7%) — people pivoting from employment to entrepreneurship</w:t>
      </w:r>
    </w:p>
    <w:p>
      <w:pPr>
        <w:pStyle w:val="ListParagraph"/>
        <w:numPr>
          <w:ilvl w:val="0"/>
          <w:numId w:val="2"/>
        </w:numPr>
        <w:spacing w:after="80" w:line="276"/>
      </w:pPr>
      <w:r>
        <w:rPr>
          <w:rFonts w:ascii="Arial" w:cs="Arial" w:eastAsia="Arial" w:hAnsi="Arial"/>
          <w:color w:val="1E293B"/>
          <w:sz w:val="21"/>
          <w:szCs w:val="21"/>
        </w:rPr>
        <w:t xml:space="preserve">STUCK_FOUNDER: 2 sessions (6.7%) — people with a product but no revenue traction</w:t>
      </w:r>
    </w:p>
    <w:p>
      <w:pPr>
        <w:spacing w:after="60"/>
      </w:pPr>
    </w:p>
    <w:p>
      <w:pPr>
        <w:spacing w:after="140" w:line="276"/>
      </w:pPr>
      <w:r>
        <w:rPr>
          <w:rFonts w:ascii="Arial" w:cs="Arial" w:eastAsia="Arial" w:hAnsi="Arial"/>
          <w:b w:val="false"/>
          <w:bCs w:val="false"/>
          <w:i w:val="false"/>
          <w:iCs w:val="false"/>
          <w:color w:val="1E293B"/>
          <w:sz w:val="21"/>
          <w:szCs w:val="21"/>
        </w:rPr>
        <w:t xml:space="preserve">This confirms that NeuraLaunch’s primary user is not a technical founder with a product idea. It is someone — often in Sub-Saharan Africa, often without formal technical training — who is trying to turn a skill, a network, or a market observation into a paying business. The tools must meet this user where they are.</w:t>
      </w:r>
    </w:p>
    <w:p>
      <w:pPr>
        <w:pStyle w:val="Heading2"/>
        <w:spacing w:after="160" w:before="280"/>
      </w:pPr>
      <w:r>
        <w:rPr>
          <w:rFonts w:ascii="Arial" w:cs="Arial" w:eastAsia="Arial" w:hAnsi="Arial"/>
          <w:b/>
          <w:bCs/>
          <w:color w:val="2563EB"/>
          <w:sz w:val="26"/>
          <w:szCs w:val="26"/>
        </w:rPr>
        <w:t xml:space="preserve">2.3 The 529-Task Execution Map</w:t>
      </w:r>
    </w:p>
    <w:p>
      <w:pPr>
        <w:spacing w:after="140" w:line="276"/>
      </w:pPr>
      <w:r>
        <w:rPr>
          <w:rFonts w:ascii="Arial" w:cs="Arial" w:eastAsia="Arial" w:hAnsi="Arial"/>
          <w:b w:val="false"/>
          <w:bCs w:val="false"/>
          <w:i w:val="false"/>
          <w:iCs w:val="false"/>
          <w:color w:val="1E293B"/>
          <w:sz w:val="21"/>
          <w:szCs w:val="21"/>
        </w:rPr>
        <w:t xml:space="preserve">Across all 32 sessions with roadmap phases, NeuraLaunch generated 529 discrete tasks. A keyword analysis of every task title and description reveals where founders actually need execution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Execution Need</w:t>
            </w:r>
          </w:p>
        </w:tc>
        <w:tc>
          <w:tcPr>
            <w:tcW w:type="dxa" w:w="12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Tasks</w:t>
            </w:r>
          </w:p>
        </w:tc>
        <w:tc>
          <w:tcPr>
            <w:tcW w:type="dxa" w:w="436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Example Task</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Financial &amp; Pipeline Tracking</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237</w:t>
            </w:r>
          </w:p>
        </w:tc>
        <w:tc>
          <w:tcPr>
            <w:tcW w:type="dxa" w:w="43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Track revenue, pricing tests, and conversion rates</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Conversation Preparation</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209</w:t>
            </w:r>
          </w:p>
        </w:tc>
        <w:tc>
          <w:tcPr>
            <w:tcW w:type="dxa" w:w="43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Execute the pricing conversation you’ve been avoiding</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Proposal &amp; Document Drafting</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134</w:t>
            </w:r>
          </w:p>
        </w:tc>
        <w:tc>
          <w:tcPr>
            <w:tcW w:type="dxa" w:w="43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Send a one-page proposal to your two strongest prospects</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Pricing &amp; Packaging</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110</w:t>
            </w:r>
          </w:p>
        </w:tc>
        <w:tc>
          <w:tcPr>
            <w:tcW w:type="dxa" w:w="43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Define and price your scoped deliverable</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Feedback &amp; Testimonial Collection</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96</w:t>
            </w:r>
          </w:p>
        </w:tc>
        <w:tc>
          <w:tcPr>
            <w:tcW w:type="dxa" w:w="43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Deliver the first project and collect a written testimonial</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Prospect List Building</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74</w:t>
            </w:r>
          </w:p>
        </w:tc>
        <w:tc>
          <w:tcPr>
            <w:tcW w:type="dxa" w:w="43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Build a list of 50 prospects in your chosen niche</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Content &amp; Publishing</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55</w:t>
            </w:r>
          </w:p>
        </w:tc>
        <w:tc>
          <w:tcPr>
            <w:tcW w:type="dxa" w:w="43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Publish a one-page service description online</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Outreach Messaging</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50</w:t>
            </w:r>
          </w:p>
        </w:tc>
        <w:tc>
          <w:tcPr>
            <w:tcW w:type="dxa" w:w="43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Write two outreach templates and send the first 10</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SOP &amp; Process Design</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50</w:t>
            </w:r>
          </w:p>
        </w:tc>
        <w:tc>
          <w:tcPr>
            <w:tcW w:type="dxa" w:w="43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your delivery process as a repeatable checklist</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Hiring &amp; Delegation</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48</w:t>
            </w:r>
          </w:p>
        </w:tc>
        <w:tc>
          <w:tcPr>
            <w:tcW w:type="dxa" w:w="43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Hire a part-time coordination assistant within 30 days</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Market &amp; Competitor Research</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38</w:t>
            </w:r>
          </w:p>
        </w:tc>
        <w:tc>
          <w:tcPr>
            <w:tcW w:type="dxa" w:w="43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Identify your highest-converting prospect profile</w:t>
            </w:r>
          </w:p>
        </w:tc>
      </w:tr>
      <w:tr>
        <w:tc>
          <w:tcPr>
            <w:tcW w:type="dxa" w:w="3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Contract &amp; Agreement Drafting</w:t>
            </w:r>
          </w:p>
        </w:tc>
        <w:tc>
          <w:tcPr>
            <w:tcW w:type="dxa" w:w="1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37</w:t>
            </w:r>
          </w:p>
        </w:tc>
        <w:tc>
          <w:tcPr>
            <w:tcW w:type="dxa" w:w="43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Formalize a lightweight pilot agreement</w:t>
            </w:r>
          </w:p>
        </w:tc>
      </w:tr>
    </w:tbl>
    <w:p>
      <w:pPr>
        <w:spacing w:after="60"/>
      </w:pPr>
    </w:p>
    <w:p>
      <w:pPr>
        <w:pStyle w:val="Heading2"/>
        <w:spacing w:after="160" w:before="280"/>
      </w:pPr>
      <w:r>
        <w:rPr>
          <w:rFonts w:ascii="Arial" w:cs="Arial" w:eastAsia="Arial" w:hAnsi="Arial"/>
          <w:b/>
          <w:bCs/>
          <w:color w:val="2563EB"/>
          <w:sz w:val="26"/>
          <w:szCs w:val="26"/>
        </w:rPr>
        <w:t xml:space="preserve">2.4 The Tool Ecosystem Founders Already Use</w:t>
      </w:r>
    </w:p>
    <w:p>
      <w:pPr>
        <w:spacing w:after="140" w:line="276"/>
      </w:pPr>
      <w:r>
        <w:rPr>
          <w:rFonts w:ascii="Arial" w:cs="Arial" w:eastAsia="Arial" w:hAnsi="Arial"/>
          <w:b w:val="false"/>
          <w:bCs w:val="false"/>
          <w:i w:val="false"/>
          <w:iCs w:val="false"/>
          <w:color w:val="1E293B"/>
          <w:sz w:val="21"/>
          <w:szCs w:val="21"/>
        </w:rPr>
        <w:t xml:space="preserve">The resources field across all 529 tasks reveals what tools founders are already reaching for. The top referenced tools, in order: WhatsApp (70 mentions), Google Docs (68), Google Sheets (54), LinkedIn (13), WhatsApp Business (11), Gmail (9), Airtable (9), LinkedIn Messaging (9), Google Forms (7), Notion (6), M-Pesa (5), Canva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DF8ED" w:val="clear"/>
            <w:tcMar>
              <w:top w:type="dxa" w:w="120"/>
              <w:left w:type="dxa" w:w="200"/>
              <w:bottom w:type="dxa" w:w="120"/>
              <w:right w:type="dxa" w:w="200"/>
            </w:tcMar>
          </w:tcPr>
          <w:p>
            <w:pPr>
              <w:spacing w:after="60"/>
            </w:pPr>
            <w:r>
              <w:rPr>
                <w:rFonts w:ascii="Arial" w:cs="Arial" w:eastAsia="Arial" w:hAnsi="Arial"/>
                <w:b/>
                <w:bCs/>
                <w:color w:val="C9A84C"/>
                <w:sz w:val="21"/>
                <w:szCs w:val="21"/>
              </w:rPr>
              <w:t xml:space="preserve">DESIGN IMPLICATION</w:t>
            </w:r>
          </w:p>
          <w:p>
            <w:pPr>
              <w:spacing w:after="0"/>
            </w:pPr>
            <w:r>
              <w:rPr>
                <w:rFonts w:ascii="Arial" w:cs="Arial" w:eastAsia="Arial" w:hAnsi="Arial"/>
                <w:color w:val="1E293B"/>
                <w:sz w:val="20"/>
                <w:szCs w:val="20"/>
              </w:rPr>
              <w:t xml:space="preserve">The execution tools should not try to replace WhatsApp, Google Sheets, or LinkedIn. They should generate outputs that are immediately usable inside those tools — messages ready to paste into WhatsApp, spreadsheet templates ready to download, LinkedIn post drafts ready to publish. The tool suite is a preparation layer, not a replacement platform.</w:t>
            </w:r>
          </w:p>
        </w:tc>
      </w:tr>
    </w:tbl>
    <w:p>
      <w:pPr>
        <w:spacing w:after="60"/>
      </w:pPr>
    </w:p>
    <w:p>
      <w:pPr>
        <w:pStyle w:val="Heading1"/>
        <w:spacing w:after="200" w:before="360"/>
      </w:pPr>
      <w:r>
        <w:rPr>
          <w:rFonts w:ascii="Arial" w:cs="Arial" w:eastAsia="Arial" w:hAnsi="Arial"/>
          <w:b/>
          <w:bCs/>
          <w:color w:val="070F1C"/>
          <w:sz w:val="32"/>
          <w:szCs w:val="32"/>
        </w:rPr>
        <w:t xml:space="preserve">3. The Recommended Execution Tool Suite</w:t>
      </w:r>
    </w:p>
    <w:p>
      <w:pPr>
        <w:spacing w:after="140" w:line="276"/>
      </w:pPr>
      <w:r>
        <w:rPr>
          <w:rFonts w:ascii="Arial" w:cs="Arial" w:eastAsia="Arial" w:hAnsi="Arial"/>
          <w:b w:val="false"/>
          <w:bCs w:val="false"/>
          <w:i w:val="false"/>
          <w:iCs w:val="false"/>
          <w:color w:val="1E293B"/>
          <w:sz w:val="21"/>
          <w:szCs w:val="21"/>
        </w:rPr>
        <w:t xml:space="preserve">The suite is organised into three tiers. Tier 1 tools address the highest-frequency execution needs and should be built first. Tier 2 tools address substantial but secondary needs. Tier 3 tools are high-value but lower-frequency, and can be sequenced after Tier 1 and 2 are validated.</w:t>
      </w:r>
    </w:p>
    <w:p>
      <w:pPr>
        <w:spacing w:after="140" w:line="276"/>
      </w:pPr>
      <w:r>
        <w:rPr>
          <w:rFonts w:ascii="Arial" w:cs="Arial" w:eastAsia="Arial" w:hAnsi="Arial"/>
          <w:b w:val="false"/>
          <w:bCs w:val="false"/>
          <w:i w:val="false"/>
          <w:iCs w:val="false"/>
          <w:color w:val="1E293B"/>
          <w:sz w:val="21"/>
          <w:szCs w:val="21"/>
        </w:rPr>
        <w:t xml:space="preserve">Every tool follows a common design philosophy:</w:t>
      </w:r>
    </w:p>
    <w:p>
      <w:pPr>
        <w:pStyle w:val="ListParagraph"/>
        <w:numPr>
          <w:ilvl w:val="0"/>
          <w:numId w:val="2"/>
        </w:numPr>
        <w:spacing w:after="80" w:line="276"/>
      </w:pPr>
      <w:r>
        <w:rPr>
          <w:rFonts w:ascii="Arial" w:cs="Arial" w:eastAsia="Arial" w:hAnsi="Arial"/>
          <w:color w:val="1E293B"/>
          <w:sz w:val="21"/>
          <w:szCs w:val="21"/>
        </w:rPr>
        <w:t xml:space="preserve">Context-aware: The tool has full access to the session’s recommendation, roadmap, and founder context. It never starts from zero.</w:t>
      </w:r>
    </w:p>
    <w:p>
      <w:pPr>
        <w:pStyle w:val="ListParagraph"/>
        <w:numPr>
          <w:ilvl w:val="0"/>
          <w:numId w:val="2"/>
        </w:numPr>
        <w:spacing w:after="80" w:line="276"/>
      </w:pPr>
      <w:r>
        <w:rPr>
          <w:rFonts w:ascii="Arial" w:cs="Arial" w:eastAsia="Arial" w:hAnsi="Arial"/>
          <w:color w:val="1E293B"/>
          <w:sz w:val="21"/>
          <w:szCs w:val="21"/>
        </w:rPr>
        <w:t xml:space="preserve">Conversation-first: Each tool is an AI agent interaction, not a static template. The founder describes the situation; the tool generates a ready-to-use output.</w:t>
      </w:r>
    </w:p>
    <w:p>
      <w:pPr>
        <w:pStyle w:val="ListParagraph"/>
        <w:numPr>
          <w:ilvl w:val="0"/>
          <w:numId w:val="2"/>
        </w:numPr>
        <w:spacing w:after="80" w:line="276"/>
      </w:pPr>
      <w:r>
        <w:rPr>
          <w:rFonts w:ascii="Arial" w:cs="Arial" w:eastAsia="Arial" w:hAnsi="Arial"/>
          <w:color w:val="1E293B"/>
          <w:sz w:val="21"/>
          <w:szCs w:val="21"/>
        </w:rPr>
        <w:t xml:space="preserve">Copy-paste ready: Every output is designed to be immediately usable in the founder’s actual workflow (WhatsApp, email, Google Docs, print).</w:t>
      </w:r>
    </w:p>
    <w:p>
      <w:pPr>
        <w:pStyle w:val="ListParagraph"/>
        <w:numPr>
          <w:ilvl w:val="0"/>
          <w:numId w:val="2"/>
        </w:numPr>
        <w:spacing w:after="80" w:line="276"/>
      </w:pPr>
      <w:r>
        <w:rPr>
          <w:rFonts w:ascii="Arial" w:cs="Arial" w:eastAsia="Arial" w:hAnsi="Arial"/>
          <w:color w:val="1E293B"/>
          <w:sz w:val="21"/>
          <w:szCs w:val="21"/>
        </w:rPr>
        <w:t xml:space="preserve">Recommendation-type aware: While every tool is available for every recommendation type, the agent behaviour adapts based on whether this is a sales_motion, build_service, process_change, etc.</w:t>
      </w:r>
    </w:p>
    <w:p>
      <w:pPr>
        <w:spacing w:after="60"/>
      </w:pPr>
    </w:p>
    <w:p>
      <w:pPr>
        <w:pStyle w:val="Heading2"/>
        <w:spacing w:after="160" w:before="280"/>
      </w:pPr>
      <w:r>
        <w:rPr>
          <w:rFonts w:ascii="Arial" w:cs="Arial" w:eastAsia="Arial" w:hAnsi="Arial"/>
          <w:b/>
          <w:bCs/>
          <w:color w:val="2563EB"/>
          <w:sz w:val="26"/>
          <w:szCs w:val="26"/>
        </w:rPr>
        <w:t xml:space="preserve">3.1 Tier 1: High-Demand, High-Impact (Build First)</w:t>
      </w:r>
    </w:p>
    <w:p>
      <w:pPr>
        <w:spacing w:after="60"/>
      </w:pPr>
    </w:p>
    <w:p>
      <w:pPr>
        <w:spacing w:after="120" w:before="200"/>
      </w:pPr>
      <w:r>
        <w:rPr>
          <w:rFonts w:ascii="Arial" w:cs="Arial" w:eastAsia="Arial" w:hAnsi="Arial"/>
          <w:b/>
          <w:bCs/>
          <w:color w:val="0D1E38"/>
          <w:sz w:val="22"/>
          <w:szCs w:val="22"/>
        </w:rPr>
        <w:t xml:space="preserve">Tool 1: The Conversation Coach</w:t>
      </w:r>
    </w:p>
    <w:p>
      <w:pPr>
        <w:spacing w:after="140" w:line="276"/>
      </w:pPr>
      <w:r>
        <w:rPr>
          <w:rFonts w:ascii="Arial" w:cs="Arial" w:eastAsia="Arial" w:hAnsi="Arial"/>
          <w:b/>
          <w:bCs/>
          <w:color w:val="1E293B"/>
          <w:sz w:val="21"/>
          <w:szCs w:val="21"/>
        </w:rPr>
        <w:t xml:space="preserve">Demand Signal: </w:t>
      </w:r>
      <w:r>
        <w:rPr>
          <w:rFonts w:ascii="Arial" w:cs="Arial" w:eastAsia="Arial" w:hAnsi="Arial"/>
          <w:color w:val="1E293B"/>
          <w:sz w:val="21"/>
          <w:szCs w:val="21"/>
        </w:rPr>
        <w:t xml:space="preserve">209 tasks (39.5% of all roadmap tasks)</w:t>
      </w:r>
    </w:p>
    <w:p>
      <w:pPr>
        <w:spacing w:after="140" w:line="276"/>
      </w:pPr>
      <w:r>
        <w:rPr>
          <w:rFonts w:ascii="Arial" w:cs="Arial" w:eastAsia="Arial" w:hAnsi="Arial"/>
          <w:b/>
          <w:bCs/>
          <w:color w:val="1E293B"/>
          <w:sz w:val="21"/>
          <w:szCs w:val="21"/>
        </w:rPr>
        <w:t xml:space="preserve">Primary Types: </w:t>
      </w:r>
      <w:r>
        <w:rPr>
          <w:rFonts w:ascii="Arial" w:cs="Arial" w:eastAsia="Arial" w:hAnsi="Arial"/>
          <w:color w:val="1E293B"/>
          <w:sz w:val="21"/>
          <w:szCs w:val="21"/>
        </w:rPr>
        <w:t xml:space="preserve">sales_motion, process_change, hire_or_outsource</w:t>
      </w:r>
    </w:p>
    <w:p>
      <w:pPr>
        <w:spacing w:after="140" w:line="276"/>
      </w:pPr>
      <w:r>
        <w:rPr>
          <w:rFonts w:ascii="Arial" w:cs="Arial" w:eastAsia="Arial" w:hAnsi="Arial"/>
          <w:b w:val="false"/>
          <w:bCs w:val="false"/>
          <w:i w:val="false"/>
          <w:iCs w:val="false"/>
          <w:color w:val="1E293B"/>
          <w:sz w:val="21"/>
          <w:szCs w:val="21"/>
        </w:rPr>
        <w:t xml:space="preserve">This is the single highest-demand execution need in the entire dataset. Across every recommendation type and every audience segment, founders are told to have conversations they have been avoiding — pricing conversations with free users, accountability conversations with underperforming staff, negotiation conversations with prospects, hiring conversations with candidates.</w:t>
      </w:r>
    </w:p>
    <w:p>
      <w:pPr>
        <w:spacing w:after="140" w:line="276"/>
      </w:pPr>
      <w:r>
        <w:rPr>
          <w:rFonts w:ascii="Arial" w:cs="Arial" w:eastAsia="Arial" w:hAnsi="Arial"/>
          <w:b w:val="false"/>
          <w:bCs w:val="false"/>
          <w:i w:val="false"/>
          <w:iCs w:val="false"/>
          <w:color w:val="1E293B"/>
          <w:sz w:val="21"/>
          <w:szCs w:val="21"/>
        </w:rPr>
        <w:t xml:space="preserve">The Conversation Coach is an AI agent that takes the founder’s specific situation (who they are talking to, what they need to achieve, what they are afraid of) and generates:</w:t>
      </w:r>
    </w:p>
    <w:p>
      <w:pPr>
        <w:pStyle w:val="ListParagraph"/>
        <w:numPr>
          <w:ilvl w:val="0"/>
          <w:numId w:val="2"/>
        </w:numPr>
        <w:spacing w:after="80" w:line="276"/>
      </w:pPr>
      <w:r>
        <w:rPr>
          <w:rFonts w:ascii="Arial" w:cs="Arial" w:eastAsia="Arial" w:hAnsi="Arial"/>
          <w:color w:val="1E293B"/>
          <w:sz w:val="21"/>
          <w:szCs w:val="21"/>
        </w:rPr>
        <w:t xml:space="preserve">A structured conversation script with opening, key asks, and fallback positions</w:t>
      </w:r>
    </w:p>
    <w:p>
      <w:pPr>
        <w:pStyle w:val="ListParagraph"/>
        <w:numPr>
          <w:ilvl w:val="0"/>
          <w:numId w:val="2"/>
        </w:numPr>
        <w:spacing w:after="80" w:line="276"/>
      </w:pPr>
      <w:r>
        <w:rPr>
          <w:rFonts w:ascii="Arial" w:cs="Arial" w:eastAsia="Arial" w:hAnsi="Arial"/>
          <w:color w:val="1E293B"/>
          <w:sz w:val="21"/>
          <w:szCs w:val="21"/>
        </w:rPr>
        <w:t xml:space="preserve">Specific objection handling for the 3–4 most likely pushbacks</w:t>
      </w:r>
    </w:p>
    <w:p>
      <w:pPr>
        <w:pStyle w:val="ListParagraph"/>
        <w:numPr>
          <w:ilvl w:val="0"/>
          <w:numId w:val="2"/>
        </w:numPr>
        <w:spacing w:after="80" w:line="276"/>
      </w:pPr>
      <w:r>
        <w:rPr>
          <w:rFonts w:ascii="Arial" w:cs="Arial" w:eastAsia="Arial" w:hAnsi="Arial"/>
          <w:color w:val="1E293B"/>
          <w:sz w:val="21"/>
          <w:szCs w:val="21"/>
        </w:rPr>
        <w:t xml:space="preserve">A “what to do after” checklist based on the conversation’s possible outcomes</w:t>
      </w:r>
    </w:p>
    <w:p>
      <w:pPr>
        <w:pStyle w:val="ListParagraph"/>
        <w:numPr>
          <w:ilvl w:val="0"/>
          <w:numId w:val="2"/>
        </w:numPr>
        <w:spacing w:after="80" w:line="276"/>
      </w:pPr>
      <w:r>
        <w:rPr>
          <w:rFonts w:ascii="Arial" w:cs="Arial" w:eastAsia="Arial" w:hAnsi="Arial"/>
          <w:color w:val="1E293B"/>
          <w:sz w:val="21"/>
          <w:szCs w:val="21"/>
        </w:rPr>
        <w:t xml:space="preserve">An optional role-play mode where the agent plays the other party and the founder practises</w:t>
      </w:r>
    </w:p>
    <w:p>
      <w:pPr>
        <w:spacing w:after="60"/>
      </w:pPr>
    </w:p>
    <w:p>
      <w:pPr>
        <w:spacing w:after="140" w:line="276"/>
      </w:pPr>
      <w:r>
        <w:rPr>
          <w:rFonts w:ascii="Arial" w:cs="Arial" w:eastAsia="Arial" w:hAnsi="Arial"/>
          <w:b/>
          <w:bCs/>
          <w:color w:val="1E293B"/>
          <w:sz w:val="21"/>
          <w:szCs w:val="21"/>
        </w:rPr>
        <w:t xml:space="preserve">Why this is Tier 1: </w:t>
      </w:r>
      <w:r>
        <w:rPr>
          <w:rFonts w:ascii="Arial" w:cs="Arial" w:eastAsia="Arial" w:hAnsi="Arial"/>
          <w:color w:val="1E293B"/>
          <w:sz w:val="21"/>
          <w:szCs w:val="21"/>
        </w:rPr>
        <w:t xml:space="preserve">The data shows that the single biggest execution bottleneck for NeuraLaunch founders is not knowledge or resources — it is the courage and preparation to have one specific conversation. This tool directly attacks that bottleneck. Multiple roadmap summaries explicitly name conversation avoidance as the primary risk (the stuck founder in Ghana avoiding the GHS 800 pricing ask, the school owner in Nigeria avoiding the deputy principal confrontation, the content creator in Nigeria avoiding the junior writer hire). An AI that helps them prepare and rehearse could be the single most valuable feature NeuraLaunch ever ships.</w:t>
      </w:r>
    </w:p>
    <w:p>
      <w:pPr>
        <w:spacing w:after="60"/>
      </w:pPr>
    </w:p>
    <w:p>
      <w:pPr>
        <w:spacing w:after="120" w:before="200"/>
      </w:pPr>
      <w:r>
        <w:rPr>
          <w:rFonts w:ascii="Arial" w:cs="Arial" w:eastAsia="Arial" w:hAnsi="Arial"/>
          <w:b/>
          <w:bCs/>
          <w:color w:val="0D1E38"/>
          <w:sz w:val="22"/>
          <w:szCs w:val="22"/>
        </w:rPr>
        <w:t xml:space="preserve">Tool 2: The Outreach Composer</w:t>
      </w:r>
    </w:p>
    <w:p>
      <w:pPr>
        <w:spacing w:after="140" w:line="276"/>
      </w:pPr>
      <w:r>
        <w:rPr>
          <w:rFonts w:ascii="Arial" w:cs="Arial" w:eastAsia="Arial" w:hAnsi="Arial"/>
          <w:b/>
          <w:bCs/>
          <w:color w:val="1E293B"/>
          <w:sz w:val="21"/>
          <w:szCs w:val="21"/>
        </w:rPr>
        <w:t xml:space="preserve">Demand Signal: </w:t>
      </w:r>
      <w:r>
        <w:rPr>
          <w:rFonts w:ascii="Arial" w:cs="Arial" w:eastAsia="Arial" w:hAnsi="Arial"/>
          <w:color w:val="1E293B"/>
          <w:sz w:val="21"/>
          <w:szCs w:val="21"/>
        </w:rPr>
        <w:t xml:space="preserve">50 direct outreach tasks + 134 proposal/document tasks = 184 combined</w:t>
      </w:r>
    </w:p>
    <w:p>
      <w:pPr>
        <w:spacing w:after="140" w:line="276"/>
      </w:pPr>
      <w:r>
        <w:rPr>
          <w:rFonts w:ascii="Arial" w:cs="Arial" w:eastAsia="Arial" w:hAnsi="Arial"/>
          <w:b/>
          <w:bCs/>
          <w:color w:val="1E293B"/>
          <w:sz w:val="21"/>
          <w:szCs w:val="21"/>
        </w:rPr>
        <w:t xml:space="preserve">Primary Types: </w:t>
      </w:r>
      <w:r>
        <w:rPr>
          <w:rFonts w:ascii="Arial" w:cs="Arial" w:eastAsia="Arial" w:hAnsi="Arial"/>
          <w:color w:val="1E293B"/>
          <w:sz w:val="21"/>
          <w:szCs w:val="21"/>
        </w:rPr>
        <w:t xml:space="preserve">build_service, sales_motion, further_research</w:t>
      </w:r>
    </w:p>
    <w:p>
      <w:pPr>
        <w:spacing w:after="140" w:line="276"/>
      </w:pPr>
      <w:r>
        <w:rPr>
          <w:rFonts w:ascii="Arial" w:cs="Arial" w:eastAsia="Arial" w:hAnsi="Arial"/>
          <w:b w:val="false"/>
          <w:bCs w:val="false"/>
          <w:i w:val="false"/>
          <w:iCs w:val="false"/>
          <w:color w:val="1E293B"/>
          <w:sz w:val="21"/>
          <w:szCs w:val="21"/>
        </w:rPr>
        <w:t xml:space="preserve">Nearly every roadmap includes a phase that requires the founder to reach out to strangers or warm contacts — prospects, potential partners, referral sources, pilot customers. The Outreach Composer generates ready-to-send messages tailored to the founder’s channel (WhatsApp, LinkedIn DM, email, SMS) and context:</w:t>
      </w:r>
    </w:p>
    <w:p>
      <w:pPr>
        <w:pStyle w:val="ListParagraph"/>
        <w:numPr>
          <w:ilvl w:val="0"/>
          <w:numId w:val="2"/>
        </w:numPr>
        <w:spacing w:after="80" w:line="276"/>
      </w:pPr>
      <w:r>
        <w:rPr>
          <w:rFonts w:ascii="Arial" w:cs="Arial" w:eastAsia="Arial" w:hAnsi="Arial"/>
          <w:color w:val="1E293B"/>
          <w:sz w:val="21"/>
          <w:szCs w:val="21"/>
        </w:rPr>
        <w:t xml:space="preserve">Cold outreach messages with personalisation hooks based on the prospect’s profile</w:t>
      </w:r>
    </w:p>
    <w:p>
      <w:pPr>
        <w:pStyle w:val="ListParagraph"/>
        <w:numPr>
          <w:ilvl w:val="0"/>
          <w:numId w:val="2"/>
        </w:numPr>
        <w:spacing w:after="80" w:line="276"/>
      </w:pPr>
      <w:r>
        <w:rPr>
          <w:rFonts w:ascii="Arial" w:cs="Arial" w:eastAsia="Arial" w:hAnsi="Arial"/>
          <w:color w:val="1E293B"/>
          <w:sz w:val="21"/>
          <w:szCs w:val="21"/>
        </w:rPr>
        <w:t xml:space="preserve">Warm re-engagement messages for dormant contacts</w:t>
      </w:r>
    </w:p>
    <w:p>
      <w:pPr>
        <w:pStyle w:val="ListParagraph"/>
        <w:numPr>
          <w:ilvl w:val="0"/>
          <w:numId w:val="2"/>
        </w:numPr>
        <w:spacing w:after="80" w:line="276"/>
      </w:pPr>
      <w:r>
        <w:rPr>
          <w:rFonts w:ascii="Arial" w:cs="Arial" w:eastAsia="Arial" w:hAnsi="Arial"/>
          <w:color w:val="1E293B"/>
          <w:sz w:val="21"/>
          <w:szCs w:val="21"/>
        </w:rPr>
        <w:t xml:space="preserve">Follow-up sequences (Day 1, Day 5, Day 14) that escalate without being aggressive</w:t>
      </w:r>
    </w:p>
    <w:p>
      <w:pPr>
        <w:pStyle w:val="ListParagraph"/>
        <w:numPr>
          <w:ilvl w:val="0"/>
          <w:numId w:val="2"/>
        </w:numPr>
        <w:spacing w:after="80" w:line="276"/>
      </w:pPr>
      <w:r>
        <w:rPr>
          <w:rFonts w:ascii="Arial" w:cs="Arial" w:eastAsia="Arial" w:hAnsi="Arial"/>
          <w:color w:val="1E293B"/>
          <w:sz w:val="21"/>
          <w:szCs w:val="21"/>
        </w:rPr>
        <w:t xml:space="preserve">One-page proposals and service descriptions as attached documents</w:t>
      </w:r>
    </w:p>
    <w:p>
      <w:pPr>
        <w:pStyle w:val="ListParagraph"/>
        <w:numPr>
          <w:ilvl w:val="0"/>
          <w:numId w:val="2"/>
        </w:numPr>
        <w:spacing w:after="80" w:line="276"/>
      </w:pPr>
      <w:r>
        <w:rPr>
          <w:rFonts w:ascii="Arial" w:cs="Arial" w:eastAsia="Arial" w:hAnsi="Arial"/>
          <w:color w:val="1E293B"/>
          <w:sz w:val="21"/>
          <w:szCs w:val="21"/>
        </w:rPr>
        <w:t xml:space="preserve">Pricing introduction messages (specifically designed for the sales_motion type)</w:t>
      </w:r>
    </w:p>
    <w:p>
      <w:pPr>
        <w:spacing w:after="60"/>
      </w:pPr>
    </w:p>
    <w:p>
      <w:pPr>
        <w:spacing w:after="140" w:line="276"/>
      </w:pPr>
      <w:r>
        <w:rPr>
          <w:rFonts w:ascii="Arial" w:cs="Arial" w:eastAsia="Arial" w:hAnsi="Arial"/>
          <w:b/>
          <w:bCs/>
          <w:color w:val="1E293B"/>
          <w:sz w:val="21"/>
          <w:szCs w:val="21"/>
        </w:rPr>
        <w:t xml:space="preserve">Why this is Tier 1: </w:t>
      </w:r>
      <w:r>
        <w:rPr>
          <w:rFonts w:ascii="Arial" w:cs="Arial" w:eastAsia="Arial" w:hAnsi="Arial"/>
          <w:color w:val="1E293B"/>
          <w:sz w:val="21"/>
          <w:szCs w:val="21"/>
        </w:rPr>
        <w:t xml:space="preserve">The most common resource referenced in roadmap tasks is WhatsApp (70 mentions), and the most common execution verb is “send” (31 tasks). Founders know they need to reach out. They stall because they don’t know what to say. The tool eliminates that friction by producing the exact words, formatted for the exact channel, with the exact tone appropriate to the founder’s relationship with the recipient.</w:t>
      </w:r>
    </w:p>
    <w:p>
      <w:pPr>
        <w:spacing w:after="60"/>
      </w:pPr>
    </w:p>
    <w:p>
      <w:pPr>
        <w:spacing w:after="120" w:before="200"/>
      </w:pPr>
      <w:r>
        <w:rPr>
          <w:rFonts w:ascii="Arial" w:cs="Arial" w:eastAsia="Arial" w:hAnsi="Arial"/>
          <w:b/>
          <w:bCs/>
          <w:color w:val="0D1E38"/>
          <w:sz w:val="22"/>
          <w:szCs w:val="22"/>
        </w:rPr>
        <w:t xml:space="preserve">Tool 3: The Revenue Tracker</w:t>
      </w:r>
    </w:p>
    <w:p>
      <w:pPr>
        <w:spacing w:after="140" w:line="276"/>
      </w:pPr>
      <w:r>
        <w:rPr>
          <w:rFonts w:ascii="Arial" w:cs="Arial" w:eastAsia="Arial" w:hAnsi="Arial"/>
          <w:b/>
          <w:bCs/>
          <w:color w:val="1E293B"/>
          <w:sz w:val="21"/>
          <w:szCs w:val="21"/>
        </w:rPr>
        <w:t xml:space="preserve">Demand Signal: </w:t>
      </w:r>
      <w:r>
        <w:rPr>
          <w:rFonts w:ascii="Arial" w:cs="Arial" w:eastAsia="Arial" w:hAnsi="Arial"/>
          <w:color w:val="1E293B"/>
          <w:sz w:val="21"/>
          <w:szCs w:val="21"/>
        </w:rPr>
        <w:t xml:space="preserve">237 tasks (44.8% of all roadmap tasks)</w:t>
      </w:r>
    </w:p>
    <w:p>
      <w:pPr>
        <w:spacing w:after="140" w:line="276"/>
      </w:pPr>
      <w:r>
        <w:rPr>
          <w:rFonts w:ascii="Arial" w:cs="Arial" w:eastAsia="Arial" w:hAnsi="Arial"/>
          <w:b/>
          <w:bCs/>
          <w:color w:val="1E293B"/>
          <w:sz w:val="21"/>
          <w:szCs w:val="21"/>
        </w:rPr>
        <w:t xml:space="preserve">Primary Types: </w:t>
      </w:r>
      <w:r>
        <w:rPr>
          <w:rFonts w:ascii="Arial" w:cs="Arial" w:eastAsia="Arial" w:hAnsi="Arial"/>
          <w:color w:val="1E293B"/>
          <w:sz w:val="21"/>
          <w:szCs w:val="21"/>
        </w:rPr>
        <w:t xml:space="preserve">All types (universal)</w:t>
      </w:r>
    </w:p>
    <w:p>
      <w:pPr>
        <w:spacing w:after="140" w:line="276"/>
      </w:pPr>
      <w:r>
        <w:rPr>
          <w:rFonts w:ascii="Arial" w:cs="Arial" w:eastAsia="Arial" w:hAnsi="Arial"/>
          <w:b w:val="false"/>
          <w:bCs w:val="false"/>
          <w:i w:val="false"/>
          <w:iCs w:val="false"/>
          <w:color w:val="1E293B"/>
          <w:sz w:val="21"/>
          <w:szCs w:val="21"/>
        </w:rPr>
        <w:t xml:space="preserve">Financial and pipeline tracking is the single most referenced execution need by raw task count. But the tracking these founders need is not enterprise-grade analytics — it is simple, mobile-friendly visibility into: how many people did I reach out to, how many responded, how many paid, how much revenue have I collected, and what does my pipeline look like this week.</w:t>
      </w:r>
    </w:p>
    <w:p>
      <w:pPr>
        <w:spacing w:after="140" w:line="276"/>
      </w:pPr>
      <w:r>
        <w:rPr>
          <w:rFonts w:ascii="Arial" w:cs="Arial" w:eastAsia="Arial" w:hAnsi="Arial"/>
          <w:b w:val="false"/>
          <w:bCs w:val="false"/>
          <w:i w:val="false"/>
          <w:iCs w:val="false"/>
          <w:color w:val="1E293B"/>
          <w:sz w:val="21"/>
          <w:szCs w:val="21"/>
        </w:rPr>
        <w:t xml:space="preserve">The Revenue Tracker is a lightweight, in-platform dashboard that:</w:t>
      </w:r>
    </w:p>
    <w:p>
      <w:pPr>
        <w:pStyle w:val="ListParagraph"/>
        <w:numPr>
          <w:ilvl w:val="0"/>
          <w:numId w:val="2"/>
        </w:numPr>
        <w:spacing w:after="80" w:line="276"/>
      </w:pPr>
      <w:r>
        <w:rPr>
          <w:rFonts w:ascii="Arial" w:cs="Arial" w:eastAsia="Arial" w:hAnsi="Arial"/>
          <w:color w:val="1E293B"/>
          <w:sz w:val="21"/>
          <w:szCs w:val="21"/>
        </w:rPr>
        <w:t xml:space="preserve">Auto-creates tracking fields based on the founder’s roadmap (outreach count, response rate, conversion rate, revenue collected)</w:t>
      </w:r>
    </w:p>
    <w:p>
      <w:pPr>
        <w:pStyle w:val="ListParagraph"/>
        <w:numPr>
          <w:ilvl w:val="0"/>
          <w:numId w:val="2"/>
        </w:numPr>
        <w:spacing w:after="80" w:line="276"/>
      </w:pPr>
      <w:r>
        <w:rPr>
          <w:rFonts w:ascii="Arial" w:cs="Arial" w:eastAsia="Arial" w:hAnsi="Arial"/>
          <w:color w:val="1E293B"/>
          <w:sz w:val="21"/>
          <w:szCs w:val="21"/>
        </w:rPr>
        <w:t xml:space="preserve">Accepts manual input via a simple mobile-first form (the founder logs activity in 30 seconds)</w:t>
      </w:r>
    </w:p>
    <w:p>
      <w:pPr>
        <w:pStyle w:val="ListParagraph"/>
        <w:numPr>
          <w:ilvl w:val="0"/>
          <w:numId w:val="2"/>
        </w:numPr>
        <w:spacing w:after="80" w:line="276"/>
      </w:pPr>
      <w:r>
        <w:rPr>
          <w:rFonts w:ascii="Arial" w:cs="Arial" w:eastAsia="Arial" w:hAnsi="Arial"/>
          <w:color w:val="1E293B"/>
          <w:sz w:val="21"/>
          <w:szCs w:val="21"/>
        </w:rPr>
        <w:t xml:space="preserve">Generates a weekly snapshot the founder can screenshot and share with their accountability partner</w:t>
      </w:r>
    </w:p>
    <w:p>
      <w:pPr>
        <w:pStyle w:val="ListParagraph"/>
        <w:numPr>
          <w:ilvl w:val="0"/>
          <w:numId w:val="2"/>
        </w:numPr>
        <w:spacing w:after="80" w:line="276"/>
      </w:pPr>
      <w:r>
        <w:rPr>
          <w:rFonts w:ascii="Arial" w:cs="Arial" w:eastAsia="Arial" w:hAnsi="Arial"/>
          <w:color w:val="1E293B"/>
          <w:sz w:val="21"/>
          <w:szCs w:val="21"/>
        </w:rPr>
        <w:t xml:space="preserve">Provides the Roadmap Check-in agent with real data to make nudges specific rather than generic</w:t>
      </w:r>
    </w:p>
    <w:p>
      <w:pPr>
        <w:pStyle w:val="ListParagraph"/>
        <w:numPr>
          <w:ilvl w:val="0"/>
          <w:numId w:val="2"/>
        </w:numPr>
        <w:spacing w:after="80" w:line="276"/>
      </w:pPr>
      <w:r>
        <w:rPr>
          <w:rFonts w:ascii="Arial" w:cs="Arial" w:eastAsia="Arial" w:hAnsi="Arial"/>
          <w:color w:val="1E293B"/>
          <w:sz w:val="21"/>
          <w:szCs w:val="21"/>
        </w:rPr>
        <w:t xml:space="preserve">Exportable to Google Sheets for founders who want to maintain their own records</w:t>
      </w:r>
    </w:p>
    <w:p>
      <w:pPr>
        <w:spacing w:after="60"/>
      </w:pPr>
    </w:p>
    <w:p>
      <w:pPr>
        <w:spacing w:after="140" w:line="276"/>
      </w:pPr>
      <w:r>
        <w:rPr>
          <w:rFonts w:ascii="Arial" w:cs="Arial" w:eastAsia="Arial" w:hAnsi="Arial"/>
          <w:b/>
          <w:bCs/>
          <w:color w:val="1E293B"/>
          <w:sz w:val="21"/>
          <w:szCs w:val="21"/>
        </w:rPr>
        <w:t xml:space="preserve">Why this is Tier 1: </w:t>
      </w:r>
      <w:r>
        <w:rPr>
          <w:rFonts w:ascii="Arial" w:cs="Arial" w:eastAsia="Arial" w:hAnsi="Arial"/>
          <w:color w:val="1E293B"/>
          <w:sz w:val="21"/>
          <w:szCs w:val="21"/>
        </w:rPr>
        <w:t xml:space="preserve">Without a tracking system, the roadmap check-in agent (already built in Phase 3) is flying blind. It can ask “did you do this?” but it cannot say “your outreach response rate dropped from 15% to 8% this week — here’s what to adjust.” The Revenue Tracker turns the check-in system from a reminder into a coach.</w:t>
      </w:r>
    </w:p>
    <w:p>
      <w:pPr>
        <w:spacing w:after="60"/>
      </w:pPr>
    </w:p>
    <w:p>
      <w:pPr>
        <w:pStyle w:val="Heading2"/>
        <w:spacing w:after="160" w:before="280"/>
      </w:pPr>
      <w:r>
        <w:rPr>
          <w:rFonts w:ascii="Arial" w:cs="Arial" w:eastAsia="Arial" w:hAnsi="Arial"/>
          <w:b/>
          <w:bCs/>
          <w:color w:val="2563EB"/>
          <w:sz w:val="26"/>
          <w:szCs w:val="26"/>
        </w:rPr>
        <w:t xml:space="preserve">3.2 Tier 2: Substantial Demand, High Leverage (Build Second)</w:t>
      </w:r>
    </w:p>
    <w:p>
      <w:pPr>
        <w:spacing w:after="60"/>
      </w:pPr>
    </w:p>
    <w:p>
      <w:pPr>
        <w:spacing w:after="120" w:before="200"/>
      </w:pPr>
      <w:r>
        <w:rPr>
          <w:rFonts w:ascii="Arial" w:cs="Arial" w:eastAsia="Arial" w:hAnsi="Arial"/>
          <w:b/>
          <w:bCs/>
          <w:color w:val="0D1E38"/>
          <w:sz w:val="22"/>
          <w:szCs w:val="22"/>
        </w:rPr>
        <w:t xml:space="preserve">Tool 4: The Pricing Architect</w:t>
      </w:r>
    </w:p>
    <w:p>
      <w:pPr>
        <w:spacing w:after="140" w:line="276"/>
      </w:pPr>
      <w:r>
        <w:rPr>
          <w:rFonts w:ascii="Arial" w:cs="Arial" w:eastAsia="Arial" w:hAnsi="Arial"/>
          <w:b/>
          <w:bCs/>
          <w:color w:val="1E293B"/>
          <w:sz w:val="21"/>
          <w:szCs w:val="21"/>
        </w:rPr>
        <w:t xml:space="preserve">Demand Signal: </w:t>
      </w:r>
      <w:r>
        <w:rPr>
          <w:rFonts w:ascii="Arial" w:cs="Arial" w:eastAsia="Arial" w:hAnsi="Arial"/>
          <w:color w:val="1E293B"/>
          <w:sz w:val="21"/>
          <w:szCs w:val="21"/>
        </w:rPr>
        <w:t xml:space="preserve">110 tasks</w:t>
      </w:r>
    </w:p>
    <w:p>
      <w:pPr>
        <w:spacing w:after="140" w:line="276"/>
      </w:pPr>
      <w:r>
        <w:rPr>
          <w:rFonts w:ascii="Arial" w:cs="Arial" w:eastAsia="Arial" w:hAnsi="Arial"/>
          <w:b/>
          <w:bCs/>
          <w:color w:val="1E293B"/>
          <w:sz w:val="21"/>
          <w:szCs w:val="21"/>
        </w:rPr>
        <w:t xml:space="preserve">Primary Types: </w:t>
      </w:r>
      <w:r>
        <w:rPr>
          <w:rFonts w:ascii="Arial" w:cs="Arial" w:eastAsia="Arial" w:hAnsi="Arial"/>
          <w:color w:val="1E293B"/>
          <w:sz w:val="21"/>
          <w:szCs w:val="21"/>
        </w:rPr>
        <w:t xml:space="preserve">build_service, sales_motion</w:t>
      </w:r>
    </w:p>
    <w:p>
      <w:pPr>
        <w:spacing w:after="140" w:line="276"/>
      </w:pPr>
      <w:r>
        <w:rPr>
          <w:rFonts w:ascii="Arial" w:cs="Arial" w:eastAsia="Arial" w:hAnsi="Arial"/>
          <w:b w:val="false"/>
          <w:bCs w:val="false"/>
          <w:i w:val="false"/>
          <w:iCs w:val="false"/>
          <w:color w:val="1E293B"/>
          <w:sz w:val="21"/>
          <w:szCs w:val="21"/>
        </w:rPr>
        <w:t xml:space="preserve">Pricing is where more founders stall than anywhere else except conversation avoidance. The data shows founders being asked to “define and price your scoped deliverable,” “raise your price by 50%,” “prepare a one-page pricing document.” The Pricing Architect helps founders:</w:t>
      </w:r>
    </w:p>
    <w:p>
      <w:pPr>
        <w:pStyle w:val="ListParagraph"/>
        <w:numPr>
          <w:ilvl w:val="0"/>
          <w:numId w:val="2"/>
        </w:numPr>
        <w:spacing w:after="80" w:line="276"/>
      </w:pPr>
      <w:r>
        <w:rPr>
          <w:rFonts w:ascii="Arial" w:cs="Arial" w:eastAsia="Arial" w:hAnsi="Arial"/>
          <w:color w:val="1E293B"/>
          <w:sz w:val="21"/>
          <w:szCs w:val="21"/>
        </w:rPr>
        <w:t xml:space="preserve">Define their offer as a fixed-scope, fixed-fee deliverable (the dominant pattern in build_service roadmaps)</w:t>
      </w:r>
    </w:p>
    <w:p>
      <w:pPr>
        <w:pStyle w:val="ListParagraph"/>
        <w:numPr>
          <w:ilvl w:val="0"/>
          <w:numId w:val="2"/>
        </w:numPr>
        <w:spacing w:after="80" w:line="276"/>
      </w:pPr>
      <w:r>
        <w:rPr>
          <w:rFonts w:ascii="Arial" w:cs="Arial" w:eastAsia="Arial" w:hAnsi="Arial"/>
          <w:color w:val="1E293B"/>
          <w:sz w:val="21"/>
          <w:szCs w:val="21"/>
        </w:rPr>
        <w:t xml:space="preserve">Calculate pricing based on their time, local market rates, and target margin</w:t>
      </w:r>
    </w:p>
    <w:p>
      <w:pPr>
        <w:pStyle w:val="ListParagraph"/>
        <w:numPr>
          <w:ilvl w:val="0"/>
          <w:numId w:val="2"/>
        </w:numPr>
        <w:spacing w:after="80" w:line="276"/>
      </w:pPr>
      <w:r>
        <w:rPr>
          <w:rFonts w:ascii="Arial" w:cs="Arial" w:eastAsia="Arial" w:hAnsi="Arial"/>
          <w:color w:val="1E293B"/>
          <w:sz w:val="21"/>
          <w:szCs w:val="21"/>
        </w:rPr>
        <w:t xml:space="preserve">Generate tiered pricing options (basic / standard / premium) with clear differentiation</w:t>
      </w:r>
    </w:p>
    <w:p>
      <w:pPr>
        <w:pStyle w:val="ListParagraph"/>
        <w:numPr>
          <w:ilvl w:val="0"/>
          <w:numId w:val="2"/>
        </w:numPr>
        <w:spacing w:after="80" w:line="276"/>
      </w:pPr>
      <w:r>
        <w:rPr>
          <w:rFonts w:ascii="Arial" w:cs="Arial" w:eastAsia="Arial" w:hAnsi="Arial"/>
          <w:color w:val="1E293B"/>
          <w:sz w:val="21"/>
          <w:szCs w:val="21"/>
        </w:rPr>
        <w:t xml:space="preserve">Produce a one-page pricing document ready to share with prospects</w:t>
      </w:r>
    </w:p>
    <w:p>
      <w:pPr>
        <w:pStyle w:val="ListParagraph"/>
        <w:numPr>
          <w:ilvl w:val="0"/>
          <w:numId w:val="2"/>
        </w:numPr>
        <w:spacing w:after="80" w:line="276"/>
      </w:pPr>
      <w:r>
        <w:rPr>
          <w:rFonts w:ascii="Arial" w:cs="Arial" w:eastAsia="Arial" w:hAnsi="Arial"/>
          <w:color w:val="1E293B"/>
          <w:sz w:val="21"/>
          <w:szCs w:val="21"/>
        </w:rPr>
        <w:t xml:space="preserve">Run “what if” scenarios: “If I charge ₦X,000 and close Y clients per month, my monthly revenue is Z”</w:t>
      </w:r>
    </w:p>
    <w:p>
      <w:pPr>
        <w:spacing w:after="60"/>
      </w:pPr>
    </w:p>
    <w:p>
      <w:pPr>
        <w:spacing w:after="120" w:before="200"/>
      </w:pPr>
      <w:r>
        <w:rPr>
          <w:rFonts w:ascii="Arial" w:cs="Arial" w:eastAsia="Arial" w:hAnsi="Arial"/>
          <w:b/>
          <w:bCs/>
          <w:color w:val="0D1E38"/>
          <w:sz w:val="22"/>
          <w:szCs w:val="22"/>
        </w:rPr>
        <w:t xml:space="preserve">Tool 5: The Feedback Engine</w:t>
      </w:r>
    </w:p>
    <w:p>
      <w:pPr>
        <w:spacing w:after="140" w:line="276"/>
      </w:pPr>
      <w:r>
        <w:rPr>
          <w:rFonts w:ascii="Arial" w:cs="Arial" w:eastAsia="Arial" w:hAnsi="Arial"/>
          <w:b/>
          <w:bCs/>
          <w:color w:val="1E293B"/>
          <w:sz w:val="21"/>
          <w:szCs w:val="21"/>
        </w:rPr>
        <w:t xml:space="preserve">Demand Signal: </w:t>
      </w:r>
      <w:r>
        <w:rPr>
          <w:rFonts w:ascii="Arial" w:cs="Arial" w:eastAsia="Arial" w:hAnsi="Arial"/>
          <w:color w:val="1E293B"/>
          <w:sz w:val="21"/>
          <w:szCs w:val="21"/>
        </w:rPr>
        <w:t xml:space="preserve">96 tasks</w:t>
      </w:r>
    </w:p>
    <w:p>
      <w:pPr>
        <w:spacing w:after="140" w:line="276"/>
      </w:pPr>
      <w:r>
        <w:rPr>
          <w:rFonts w:ascii="Arial" w:cs="Arial" w:eastAsia="Arial" w:hAnsi="Arial"/>
          <w:b/>
          <w:bCs/>
          <w:color w:val="1E293B"/>
          <w:sz w:val="21"/>
          <w:szCs w:val="21"/>
        </w:rPr>
        <w:t xml:space="preserve">Primary Types: </w:t>
      </w:r>
      <w:r>
        <w:rPr>
          <w:rFonts w:ascii="Arial" w:cs="Arial" w:eastAsia="Arial" w:hAnsi="Arial"/>
          <w:color w:val="1E293B"/>
          <w:sz w:val="21"/>
          <w:szCs w:val="21"/>
        </w:rPr>
        <w:t xml:space="preserve">build_service, build_software, further_research</w:t>
      </w:r>
    </w:p>
    <w:p>
      <w:pPr>
        <w:spacing w:after="140" w:line="276"/>
      </w:pPr>
      <w:r>
        <w:rPr>
          <w:rFonts w:ascii="Arial" w:cs="Arial" w:eastAsia="Arial" w:hAnsi="Arial"/>
          <w:b w:val="false"/>
          <w:bCs w:val="false"/>
          <w:i w:val="false"/>
          <w:iCs w:val="false"/>
          <w:color w:val="1E293B"/>
          <w:sz w:val="21"/>
          <w:szCs w:val="21"/>
        </w:rPr>
        <w:t xml:space="preserve">Across the dataset, founders are repeatedly asked to collect customer feedback, written testimonials, survey responses, and case studies. Most have never done this systematically. The Feedback Engine:</w:t>
      </w:r>
    </w:p>
    <w:p>
      <w:pPr>
        <w:pStyle w:val="ListParagraph"/>
        <w:numPr>
          <w:ilvl w:val="0"/>
          <w:numId w:val="2"/>
        </w:numPr>
        <w:spacing w:after="80" w:line="276"/>
      </w:pPr>
      <w:r>
        <w:rPr>
          <w:rFonts w:ascii="Arial" w:cs="Arial" w:eastAsia="Arial" w:hAnsi="Arial"/>
          <w:color w:val="1E293B"/>
          <w:sz w:val="21"/>
          <w:szCs w:val="21"/>
        </w:rPr>
        <w:t xml:space="preserve">Generates a 3–5 question feedback script tailored to the founder’s service and delivery stage</w:t>
      </w:r>
    </w:p>
    <w:p>
      <w:pPr>
        <w:pStyle w:val="ListParagraph"/>
        <w:numPr>
          <w:ilvl w:val="0"/>
          <w:numId w:val="2"/>
        </w:numPr>
        <w:spacing w:after="80" w:line="276"/>
      </w:pPr>
      <w:r>
        <w:rPr>
          <w:rFonts w:ascii="Arial" w:cs="Arial" w:eastAsia="Arial" w:hAnsi="Arial"/>
          <w:color w:val="1E293B"/>
          <w:sz w:val="21"/>
          <w:szCs w:val="21"/>
        </w:rPr>
        <w:t xml:space="preserve">Produces a WhatsApp-friendly version (since WhatsApp is the dominant channel for these founders)</w:t>
      </w:r>
    </w:p>
    <w:p>
      <w:pPr>
        <w:pStyle w:val="ListParagraph"/>
        <w:numPr>
          <w:ilvl w:val="0"/>
          <w:numId w:val="2"/>
        </w:numPr>
        <w:spacing w:after="80" w:line="276"/>
      </w:pPr>
      <w:r>
        <w:rPr>
          <w:rFonts w:ascii="Arial" w:cs="Arial" w:eastAsia="Arial" w:hAnsi="Arial"/>
          <w:color w:val="1E293B"/>
          <w:sz w:val="21"/>
          <w:szCs w:val="21"/>
        </w:rPr>
        <w:t xml:space="preserve">Converts raw feedback into a formatted testimonial the founder can use in outreach</w:t>
      </w:r>
    </w:p>
    <w:p>
      <w:pPr>
        <w:pStyle w:val="ListParagraph"/>
        <w:numPr>
          <w:ilvl w:val="0"/>
          <w:numId w:val="2"/>
        </w:numPr>
        <w:spacing w:after="80" w:line="276"/>
      </w:pPr>
      <w:r>
        <w:rPr>
          <w:rFonts w:ascii="Arial" w:cs="Arial" w:eastAsia="Arial" w:hAnsi="Arial"/>
          <w:color w:val="1E293B"/>
          <w:sz w:val="21"/>
          <w:szCs w:val="21"/>
        </w:rPr>
        <w:t xml:space="preserve">Creates a simple case study template from a completed project (problem → approach → result)</w:t>
      </w:r>
    </w:p>
    <w:p>
      <w:pPr>
        <w:pStyle w:val="ListParagraph"/>
        <w:numPr>
          <w:ilvl w:val="0"/>
          <w:numId w:val="2"/>
        </w:numPr>
        <w:spacing w:after="80" w:line="276"/>
      </w:pPr>
      <w:r>
        <w:rPr>
          <w:rFonts w:ascii="Arial" w:cs="Arial" w:eastAsia="Arial" w:hAnsi="Arial"/>
          <w:color w:val="1E293B"/>
          <w:sz w:val="21"/>
          <w:szCs w:val="21"/>
        </w:rPr>
        <w:t xml:space="preserve">Feeds structured feedback data into the Roadmap Check-in agent for context-aware nudges</w:t>
      </w:r>
    </w:p>
    <w:p>
      <w:pPr>
        <w:spacing w:after="60"/>
      </w:pPr>
    </w:p>
    <w:p>
      <w:pPr>
        <w:spacing w:after="120" w:before="200"/>
      </w:pPr>
      <w:r>
        <w:rPr>
          <w:rFonts w:ascii="Arial" w:cs="Arial" w:eastAsia="Arial" w:hAnsi="Arial"/>
          <w:b/>
          <w:bCs/>
          <w:color w:val="0D1E38"/>
          <w:sz w:val="22"/>
          <w:szCs w:val="22"/>
        </w:rPr>
        <w:t xml:space="preserve">Tool 6: The Process Builder</w:t>
      </w:r>
    </w:p>
    <w:p>
      <w:pPr>
        <w:spacing w:after="140" w:line="276"/>
      </w:pPr>
      <w:r>
        <w:rPr>
          <w:rFonts w:ascii="Arial" w:cs="Arial" w:eastAsia="Arial" w:hAnsi="Arial"/>
          <w:b/>
          <w:bCs/>
          <w:color w:val="1E293B"/>
          <w:sz w:val="21"/>
          <w:szCs w:val="21"/>
        </w:rPr>
        <w:t xml:space="preserve">Demand Signal: </w:t>
      </w:r>
      <w:r>
        <w:rPr>
          <w:rFonts w:ascii="Arial" w:cs="Arial" w:eastAsia="Arial" w:hAnsi="Arial"/>
          <w:color w:val="1E293B"/>
          <w:sz w:val="21"/>
          <w:szCs w:val="21"/>
        </w:rPr>
        <w:t xml:space="preserve">50 tasks</w:t>
      </w:r>
    </w:p>
    <w:p>
      <w:pPr>
        <w:spacing w:after="140" w:line="276"/>
      </w:pPr>
      <w:r>
        <w:rPr>
          <w:rFonts w:ascii="Arial" w:cs="Arial" w:eastAsia="Arial" w:hAnsi="Arial"/>
          <w:b/>
          <w:bCs/>
          <w:color w:val="1E293B"/>
          <w:sz w:val="21"/>
          <w:szCs w:val="21"/>
        </w:rPr>
        <w:t xml:space="preserve">Primary Types: </w:t>
      </w:r>
      <w:r>
        <w:rPr>
          <w:rFonts w:ascii="Arial" w:cs="Arial" w:eastAsia="Arial" w:hAnsi="Arial"/>
          <w:color w:val="1E293B"/>
          <w:sz w:val="21"/>
          <w:szCs w:val="21"/>
        </w:rPr>
        <w:t xml:space="preserve">process_change, hire_or_outsource, build_service</w:t>
      </w:r>
    </w:p>
    <w:p>
      <w:pPr>
        <w:spacing w:after="140" w:line="276"/>
      </w:pPr>
      <w:r>
        <w:rPr>
          <w:rFonts w:ascii="Arial" w:cs="Arial" w:eastAsia="Arial" w:hAnsi="Arial"/>
          <w:b w:val="false"/>
          <w:bCs w:val="false"/>
          <w:i w:val="false"/>
          <w:iCs w:val="false"/>
          <w:color w:val="1E293B"/>
          <w:sz w:val="21"/>
          <w:szCs w:val="21"/>
        </w:rPr>
        <w:t xml:space="preserve">The process_change recommendation type generates tasks like “document your delivery process as a repeatable checklist,” “create written SOPs for your two junior staff,” “formalize expectations as written employment conditions.” The Process Builder:</w:t>
      </w:r>
    </w:p>
    <w:p>
      <w:pPr>
        <w:pStyle w:val="ListParagraph"/>
        <w:numPr>
          <w:ilvl w:val="0"/>
          <w:numId w:val="2"/>
        </w:numPr>
        <w:spacing w:after="80" w:line="276"/>
      </w:pPr>
      <w:r>
        <w:rPr>
          <w:rFonts w:ascii="Arial" w:cs="Arial" w:eastAsia="Arial" w:hAnsi="Arial"/>
          <w:color w:val="1E293B"/>
          <w:sz w:val="21"/>
          <w:szCs w:val="21"/>
        </w:rPr>
        <w:t xml:space="preserve">Takes the founder’s verbal description of how they currently do something and converts it into a step-by-step SOP</w:t>
      </w:r>
    </w:p>
    <w:p>
      <w:pPr>
        <w:pStyle w:val="ListParagraph"/>
        <w:numPr>
          <w:ilvl w:val="0"/>
          <w:numId w:val="2"/>
        </w:numPr>
        <w:spacing w:after="80" w:line="276"/>
      </w:pPr>
      <w:r>
        <w:rPr>
          <w:rFonts w:ascii="Arial" w:cs="Arial" w:eastAsia="Arial" w:hAnsi="Arial"/>
          <w:color w:val="1E293B"/>
          <w:sz w:val="21"/>
          <w:szCs w:val="21"/>
        </w:rPr>
        <w:t xml:space="preserve">Generates checklists with clear success criteria for each step</w:t>
      </w:r>
    </w:p>
    <w:p>
      <w:pPr>
        <w:pStyle w:val="ListParagraph"/>
        <w:numPr>
          <w:ilvl w:val="0"/>
          <w:numId w:val="2"/>
        </w:numPr>
        <w:spacing w:after="80" w:line="276"/>
      </w:pPr>
      <w:r>
        <w:rPr>
          <w:rFonts w:ascii="Arial" w:cs="Arial" w:eastAsia="Arial" w:hAnsi="Arial"/>
          <w:color w:val="1E293B"/>
          <w:sz w:val="21"/>
          <w:szCs w:val="21"/>
        </w:rPr>
        <w:t xml:space="preserve">Produces delegation-ready documents (“here is exactly how to do this task, step by step”)</w:t>
      </w:r>
    </w:p>
    <w:p>
      <w:pPr>
        <w:pStyle w:val="ListParagraph"/>
        <w:numPr>
          <w:ilvl w:val="0"/>
          <w:numId w:val="2"/>
        </w:numPr>
        <w:spacing w:after="80" w:line="276"/>
      </w:pPr>
      <w:r>
        <w:rPr>
          <w:rFonts w:ascii="Arial" w:cs="Arial" w:eastAsia="Arial" w:hAnsi="Arial"/>
          <w:color w:val="1E293B"/>
          <w:sz w:val="21"/>
          <w:szCs w:val="21"/>
        </w:rPr>
        <w:t xml:space="preserve">Creates accountability frameworks with named owners, deadlines, and escalation paths</w:t>
      </w:r>
    </w:p>
    <w:p>
      <w:pPr>
        <w:pStyle w:val="ListParagraph"/>
        <w:numPr>
          <w:ilvl w:val="0"/>
          <w:numId w:val="2"/>
        </w:numPr>
        <w:spacing w:after="80" w:line="276"/>
      </w:pPr>
      <w:r>
        <w:rPr>
          <w:rFonts w:ascii="Arial" w:cs="Arial" w:eastAsia="Arial" w:hAnsi="Arial"/>
          <w:color w:val="1E293B"/>
          <w:sz w:val="21"/>
          <w:szCs w:val="21"/>
        </w:rPr>
        <w:t xml:space="preserve">Outputs as downloadable Google Docs or printable PDFs (for founders whose staff are not always online)</w:t>
      </w:r>
    </w:p>
    <w:p>
      <w:pPr>
        <w:spacing w:after="60"/>
      </w:pPr>
    </w:p>
    <w:p>
      <w:pPr>
        <w:pStyle w:val="Heading2"/>
        <w:spacing w:after="160" w:before="280"/>
      </w:pPr>
      <w:r>
        <w:rPr>
          <w:rFonts w:ascii="Arial" w:cs="Arial" w:eastAsia="Arial" w:hAnsi="Arial"/>
          <w:b/>
          <w:bCs/>
          <w:color w:val="2563EB"/>
          <w:sz w:val="26"/>
          <w:szCs w:val="26"/>
        </w:rPr>
        <w:t xml:space="preserve">3.3 Tier 3: High-Value, Lower-Frequency (Build Third)</w:t>
      </w:r>
    </w:p>
    <w:p>
      <w:pPr>
        <w:spacing w:after="60"/>
      </w:pPr>
    </w:p>
    <w:p>
      <w:pPr>
        <w:spacing w:after="120" w:before="200"/>
      </w:pPr>
      <w:r>
        <w:rPr>
          <w:rFonts w:ascii="Arial" w:cs="Arial" w:eastAsia="Arial" w:hAnsi="Arial"/>
          <w:b/>
          <w:bCs/>
          <w:color w:val="0D1E38"/>
          <w:sz w:val="22"/>
          <w:szCs w:val="22"/>
        </w:rPr>
        <w:t xml:space="preserve">Tool 7: The Hiring Toolkit</w:t>
      </w:r>
    </w:p>
    <w:p>
      <w:pPr>
        <w:spacing w:after="140" w:line="276"/>
      </w:pPr>
      <w:r>
        <w:rPr>
          <w:rFonts w:ascii="Arial" w:cs="Arial" w:eastAsia="Arial" w:hAnsi="Arial"/>
          <w:b/>
          <w:bCs/>
          <w:color w:val="1E293B"/>
          <w:sz w:val="21"/>
          <w:szCs w:val="21"/>
        </w:rPr>
        <w:t xml:space="preserve">Demand Signal: </w:t>
      </w:r>
      <w:r>
        <w:rPr>
          <w:rFonts w:ascii="Arial" w:cs="Arial" w:eastAsia="Arial" w:hAnsi="Arial"/>
          <w:color w:val="1E293B"/>
          <w:sz w:val="21"/>
          <w:szCs w:val="21"/>
        </w:rPr>
        <w:t xml:space="preserve">48 tasks</w:t>
      </w:r>
    </w:p>
    <w:p>
      <w:pPr>
        <w:spacing w:after="140" w:line="276"/>
      </w:pPr>
      <w:r>
        <w:rPr>
          <w:rFonts w:ascii="Arial" w:cs="Arial" w:eastAsia="Arial" w:hAnsi="Arial"/>
          <w:b/>
          <w:bCs/>
          <w:color w:val="1E293B"/>
          <w:sz w:val="21"/>
          <w:szCs w:val="21"/>
        </w:rPr>
        <w:t xml:space="preserve">Primary Types: </w:t>
      </w:r>
      <w:r>
        <w:rPr>
          <w:rFonts w:ascii="Arial" w:cs="Arial" w:eastAsia="Arial" w:hAnsi="Arial"/>
          <w:color w:val="1E293B"/>
          <w:sz w:val="21"/>
          <w:szCs w:val="21"/>
        </w:rPr>
        <w:t xml:space="preserve">hire_or_outsource, process_change</w:t>
      </w:r>
    </w:p>
    <w:p>
      <w:pPr>
        <w:spacing w:after="140" w:line="276"/>
      </w:pPr>
      <w:r>
        <w:rPr>
          <w:rFonts w:ascii="Arial" w:cs="Arial" w:eastAsia="Arial" w:hAnsi="Arial"/>
          <w:b w:val="false"/>
          <w:bCs w:val="false"/>
          <w:i w:val="false"/>
          <w:iCs w:val="false"/>
          <w:color w:val="1E293B"/>
          <w:sz w:val="21"/>
          <w:szCs w:val="21"/>
        </w:rPr>
        <w:t xml:space="preserve">When the recommendation is hire_or_outsource or when a process_change roadmap reaches the delegation phase, founders need to hire. Most are doing this for the first time. The Hiring Toolkit:</w:t>
      </w:r>
    </w:p>
    <w:p>
      <w:pPr>
        <w:pStyle w:val="ListParagraph"/>
        <w:numPr>
          <w:ilvl w:val="0"/>
          <w:numId w:val="2"/>
        </w:numPr>
        <w:spacing w:after="80" w:line="276"/>
      </w:pPr>
      <w:r>
        <w:rPr>
          <w:rFonts w:ascii="Arial" w:cs="Arial" w:eastAsia="Arial" w:hAnsi="Arial"/>
          <w:color w:val="1E293B"/>
          <w:sz w:val="21"/>
          <w:szCs w:val="21"/>
        </w:rPr>
        <w:t xml:space="preserve">Generates a job description from the founder’s plain-language description of what they need</w:t>
      </w:r>
    </w:p>
    <w:p>
      <w:pPr>
        <w:pStyle w:val="ListParagraph"/>
        <w:numPr>
          <w:ilvl w:val="0"/>
          <w:numId w:val="2"/>
        </w:numPr>
        <w:spacing w:after="80" w:line="276"/>
      </w:pPr>
      <w:r>
        <w:rPr>
          <w:rFonts w:ascii="Arial" w:cs="Arial" w:eastAsia="Arial" w:hAnsi="Arial"/>
          <w:color w:val="1E293B"/>
          <w:sz w:val="21"/>
          <w:szCs w:val="21"/>
        </w:rPr>
        <w:t xml:space="preserve">Creates an interview question set tailored to the role and the founder’s context</w:t>
      </w:r>
    </w:p>
    <w:p>
      <w:pPr>
        <w:pStyle w:val="ListParagraph"/>
        <w:numPr>
          <w:ilvl w:val="0"/>
          <w:numId w:val="2"/>
        </w:numPr>
        <w:spacing w:after="80" w:line="276"/>
      </w:pPr>
      <w:r>
        <w:rPr>
          <w:rFonts w:ascii="Arial" w:cs="Arial" w:eastAsia="Arial" w:hAnsi="Arial"/>
          <w:color w:val="1E293B"/>
          <w:sz w:val="21"/>
          <w:szCs w:val="21"/>
        </w:rPr>
        <w:t xml:space="preserve">Produces a structured evaluation scorecard for comparing candidates</w:t>
      </w:r>
    </w:p>
    <w:p>
      <w:pPr>
        <w:pStyle w:val="ListParagraph"/>
        <w:numPr>
          <w:ilvl w:val="0"/>
          <w:numId w:val="2"/>
        </w:numPr>
        <w:spacing w:after="80" w:line="276"/>
      </w:pPr>
      <w:r>
        <w:rPr>
          <w:rFonts w:ascii="Arial" w:cs="Arial" w:eastAsia="Arial" w:hAnsi="Arial"/>
          <w:color w:val="1E293B"/>
          <w:sz w:val="21"/>
          <w:szCs w:val="21"/>
        </w:rPr>
        <w:t xml:space="preserve">Drafts an offer/engagement letter (with appropriate disclaimers about local employment law)</w:t>
      </w:r>
    </w:p>
    <w:p>
      <w:pPr>
        <w:pStyle w:val="ListParagraph"/>
        <w:numPr>
          <w:ilvl w:val="0"/>
          <w:numId w:val="2"/>
        </w:numPr>
        <w:spacing w:after="80" w:line="276"/>
      </w:pPr>
      <w:r>
        <w:rPr>
          <w:rFonts w:ascii="Arial" w:cs="Arial" w:eastAsia="Arial" w:hAnsi="Arial"/>
          <w:color w:val="1E293B"/>
          <w:sz w:val="21"/>
          <w:szCs w:val="21"/>
        </w:rPr>
        <w:t xml:space="preserve">Creates a 30-day onboarding checklist specific to the role</w:t>
      </w:r>
    </w:p>
    <w:p>
      <w:pPr>
        <w:spacing w:after="60"/>
      </w:pPr>
    </w:p>
    <w:p>
      <w:pPr>
        <w:spacing w:after="120" w:before="200"/>
      </w:pPr>
      <w:r>
        <w:rPr>
          <w:rFonts w:ascii="Arial" w:cs="Arial" w:eastAsia="Arial" w:hAnsi="Arial"/>
          <w:b/>
          <w:bCs/>
          <w:color w:val="0D1E38"/>
          <w:sz w:val="22"/>
          <w:szCs w:val="22"/>
        </w:rPr>
        <w:t xml:space="preserve">Tool 8: The Market Scout</w:t>
      </w:r>
    </w:p>
    <w:p>
      <w:pPr>
        <w:spacing w:after="140" w:line="276"/>
      </w:pPr>
      <w:r>
        <w:rPr>
          <w:rFonts w:ascii="Arial" w:cs="Arial" w:eastAsia="Arial" w:hAnsi="Arial"/>
          <w:b/>
          <w:bCs/>
          <w:color w:val="1E293B"/>
          <w:sz w:val="21"/>
          <w:szCs w:val="21"/>
        </w:rPr>
        <w:t xml:space="preserve">Demand Signal: </w:t>
      </w:r>
      <w:r>
        <w:rPr>
          <w:rFonts w:ascii="Arial" w:cs="Arial" w:eastAsia="Arial" w:hAnsi="Arial"/>
          <w:color w:val="1E293B"/>
          <w:sz w:val="21"/>
          <w:szCs w:val="21"/>
        </w:rPr>
        <w:t xml:space="preserve">38 tasks (direct) + overlap with further_research type</w:t>
      </w:r>
    </w:p>
    <w:p>
      <w:pPr>
        <w:spacing w:after="140" w:line="276"/>
      </w:pPr>
      <w:r>
        <w:rPr>
          <w:rFonts w:ascii="Arial" w:cs="Arial" w:eastAsia="Arial" w:hAnsi="Arial"/>
          <w:b/>
          <w:bCs/>
          <w:color w:val="1E293B"/>
          <w:sz w:val="21"/>
          <w:szCs w:val="21"/>
        </w:rPr>
        <w:t xml:space="preserve">Primary Types: </w:t>
      </w:r>
      <w:r>
        <w:rPr>
          <w:rFonts w:ascii="Arial" w:cs="Arial" w:eastAsia="Arial" w:hAnsi="Arial"/>
          <w:color w:val="1E293B"/>
          <w:sz w:val="21"/>
          <w:szCs w:val="21"/>
        </w:rPr>
        <w:t xml:space="preserve">further_research, build_service, build_software</w:t>
      </w:r>
    </w:p>
    <w:p>
      <w:pPr>
        <w:spacing w:after="140" w:line="276"/>
      </w:pPr>
      <w:r>
        <w:rPr>
          <w:rFonts w:ascii="Arial" w:cs="Arial" w:eastAsia="Arial" w:hAnsi="Arial"/>
          <w:b w:val="false"/>
          <w:bCs w:val="false"/>
          <w:i w:val="false"/>
          <w:iCs w:val="false"/>
          <w:color w:val="1E293B"/>
          <w:sz w:val="21"/>
          <w:szCs w:val="21"/>
        </w:rPr>
        <w:t xml:space="preserve">The further_research recommendation type is explicitly about stopping and investigating before committing resources. But even build_service and sales_motion roadmaps include research tasks: “identify your highest-converting prospect profile,” “analyze your first two clients to identify a pattern.” The Market Scout:</w:t>
      </w:r>
    </w:p>
    <w:p>
      <w:pPr>
        <w:pStyle w:val="ListParagraph"/>
        <w:numPr>
          <w:ilvl w:val="0"/>
          <w:numId w:val="2"/>
        </w:numPr>
        <w:spacing w:after="80" w:line="276"/>
      </w:pPr>
      <w:r>
        <w:rPr>
          <w:rFonts w:ascii="Arial" w:cs="Arial" w:eastAsia="Arial" w:hAnsi="Arial"/>
          <w:color w:val="1E293B"/>
          <w:sz w:val="21"/>
          <w:szCs w:val="21"/>
        </w:rPr>
        <w:t xml:space="preserve">Runs structured competitive analysis using the Tavily/Exa research stack already in the NeuraLaunch architecture</w:t>
      </w:r>
    </w:p>
    <w:p>
      <w:pPr>
        <w:pStyle w:val="ListParagraph"/>
        <w:numPr>
          <w:ilvl w:val="0"/>
          <w:numId w:val="2"/>
        </w:numPr>
        <w:spacing w:after="80" w:line="276"/>
      </w:pPr>
      <w:r>
        <w:rPr>
          <w:rFonts w:ascii="Arial" w:cs="Arial" w:eastAsia="Arial" w:hAnsi="Arial"/>
          <w:color w:val="1E293B"/>
          <w:sz w:val="21"/>
          <w:szCs w:val="21"/>
        </w:rPr>
        <w:t xml:space="preserve">Generates a prospect profile template based on the founder’s existing customer data</w:t>
      </w:r>
    </w:p>
    <w:p>
      <w:pPr>
        <w:pStyle w:val="ListParagraph"/>
        <w:numPr>
          <w:ilvl w:val="0"/>
          <w:numId w:val="2"/>
        </w:numPr>
        <w:spacing w:after="80" w:line="276"/>
      </w:pPr>
      <w:r>
        <w:rPr>
          <w:rFonts w:ascii="Arial" w:cs="Arial" w:eastAsia="Arial" w:hAnsi="Arial"/>
          <w:color w:val="1E293B"/>
          <w:sz w:val="21"/>
          <w:szCs w:val="21"/>
        </w:rPr>
        <w:t xml:space="preserve">Produces a “market signal report” that synthesises web research into actionable insights</w:t>
      </w:r>
    </w:p>
    <w:p>
      <w:pPr>
        <w:pStyle w:val="ListParagraph"/>
        <w:numPr>
          <w:ilvl w:val="0"/>
          <w:numId w:val="2"/>
        </w:numPr>
        <w:spacing w:after="80" w:line="276"/>
      </w:pPr>
      <w:r>
        <w:rPr>
          <w:rFonts w:ascii="Arial" w:cs="Arial" w:eastAsia="Arial" w:hAnsi="Arial"/>
          <w:color w:val="1E293B"/>
          <w:sz w:val="21"/>
          <w:szCs w:val="21"/>
        </w:rPr>
        <w:t xml:space="preserve">Helps founders in the further_research path structure their investigation as a time-boxed sprint with clear decision criteria</w:t>
      </w:r>
    </w:p>
    <w:p>
      <w:pPr>
        <w:spacing w:after="60"/>
      </w:pPr>
    </w:p>
    <w:p>
      <w:pPr>
        <w:pStyle w:val="Heading1"/>
        <w:spacing w:after="200" w:before="360"/>
      </w:pPr>
      <w:r>
        <w:rPr>
          <w:rFonts w:ascii="Arial" w:cs="Arial" w:eastAsia="Arial" w:hAnsi="Arial"/>
          <w:b/>
          <w:bCs/>
          <w:color w:val="070F1C"/>
          <w:sz w:val="32"/>
          <w:szCs w:val="32"/>
        </w:rPr>
        <w:t xml:space="preserve">4. How the Tools Map to Recommendation Types</w:t>
      </w:r>
    </w:p>
    <w:p>
      <w:pPr>
        <w:spacing w:after="140" w:line="276"/>
      </w:pPr>
      <w:r>
        <w:rPr>
          <w:rFonts w:ascii="Arial" w:cs="Arial" w:eastAsia="Arial" w:hAnsi="Arial"/>
          <w:b w:val="false"/>
          <w:bCs w:val="false"/>
          <w:i w:val="false"/>
          <w:iCs w:val="false"/>
          <w:color w:val="1E293B"/>
          <w:sz w:val="21"/>
          <w:szCs w:val="21"/>
        </w:rPr>
        <w:t xml:space="preserve">Every tool is available for every recommendation type, but some tools are primary for certain types. The following matrix shows which tools surface first (and are most prominently featured) for each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880"/>
        <w:gridCol w:w="880"/>
        <w:gridCol w:w="1000"/>
      </w:tblGrid>
      <w:tr>
        <w:tc>
          <w:tcPr>
            <w:tcW w:type="dxa" w:w="22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Rec. Type</w:t>
            </w:r>
          </w:p>
        </w:tc>
        <w:tc>
          <w:tcPr>
            <w:tcW w:type="dxa" w:w="11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Conv. Coach</w:t>
            </w:r>
          </w:p>
        </w:tc>
        <w:tc>
          <w:tcPr>
            <w:tcW w:type="dxa" w:w="11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Outreach</w:t>
            </w:r>
          </w:p>
        </w:tc>
        <w:tc>
          <w:tcPr>
            <w:tcW w:type="dxa" w:w="11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Revenue</w:t>
            </w:r>
          </w:p>
        </w:tc>
        <w:tc>
          <w:tcPr>
            <w:tcW w:type="dxa" w:w="11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Pricing</w:t>
            </w:r>
          </w:p>
        </w:tc>
        <w:tc>
          <w:tcPr>
            <w:tcW w:type="dxa" w:w="88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Feedback</w:t>
            </w:r>
          </w:p>
        </w:tc>
        <w:tc>
          <w:tcPr>
            <w:tcW w:type="dxa" w:w="88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Process</w:t>
            </w:r>
          </w:p>
        </w:tc>
        <w:tc>
          <w:tcPr>
            <w:tcW w:type="dxa" w:w="10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Hire / Scout</w:t>
            </w:r>
          </w:p>
        </w:tc>
      </w:tr>
      <w:tr>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build_software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00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 / ●</w:t>
            </w:r>
          </w:p>
        </w:tc>
      </w:tr>
      <w:tr>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build_service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 / ○</w:t>
            </w:r>
          </w:p>
        </w:tc>
      </w:tr>
      <w:tr>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sales_motion</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00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 / ○</w:t>
            </w:r>
          </w:p>
        </w:tc>
      </w:tr>
      <w:tr>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process_change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 / ○</w:t>
            </w:r>
          </w:p>
        </w:tc>
      </w:tr>
      <w:tr>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hire_or_outsource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00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 / ○</w:t>
            </w:r>
          </w:p>
        </w:tc>
      </w:tr>
      <w:tr>
        <w:tc>
          <w:tcPr>
            <w:tcW w:type="dxa" w:w="22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further_research</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1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8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1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 / ●</w:t>
            </w:r>
          </w:p>
        </w:tc>
      </w:tr>
    </w:tbl>
    <w:p>
      <w:pPr>
        <w:spacing w:after="60"/>
      </w:pPr>
    </w:p>
    <w:p>
      <w:pPr>
        <w:spacing w:after="140" w:line="276"/>
      </w:pPr>
      <w:r>
        <w:rPr>
          <w:rFonts w:ascii="Arial" w:cs="Arial" w:eastAsia="Arial" w:hAnsi="Arial"/>
          <w:i/>
          <w:iCs/>
          <w:color w:val="1E293B"/>
          <w:sz w:val="18"/>
          <w:szCs w:val="18"/>
        </w:rPr>
        <w:t xml:space="preserve">● = Primary tool (prominently surfaced)    ○ = Available but secondary</w:t>
      </w:r>
    </w:p>
    <w:p>
      <w:pPr>
        <w:spacing w:after="60"/>
      </w:pPr>
    </w:p>
    <w:p>
      <w:pPr>
        <w:pStyle w:val="Heading1"/>
        <w:spacing w:after="200" w:before="360"/>
      </w:pPr>
      <w:r>
        <w:rPr>
          <w:rFonts w:ascii="Arial" w:cs="Arial" w:eastAsia="Arial" w:hAnsi="Arial"/>
          <w:b/>
          <w:bCs/>
          <w:color w:val="070F1C"/>
          <w:sz w:val="32"/>
          <w:szCs w:val="32"/>
        </w:rPr>
        <w:t xml:space="preserve">5. Architecture Considerations</w:t>
      </w:r>
    </w:p>
    <w:p>
      <w:pPr>
        <w:pStyle w:val="Heading2"/>
        <w:spacing w:after="160" w:before="280"/>
      </w:pPr>
      <w:r>
        <w:rPr>
          <w:rFonts w:ascii="Arial" w:cs="Arial" w:eastAsia="Arial" w:hAnsi="Arial"/>
          <w:b/>
          <w:bCs/>
          <w:color w:val="2563EB"/>
          <w:sz w:val="26"/>
          <w:szCs w:val="26"/>
        </w:rPr>
        <w:t xml:space="preserve">5.1 Agent Design Pattern</w:t>
      </w:r>
    </w:p>
    <w:p>
      <w:pPr>
        <w:spacing w:after="140" w:line="276"/>
      </w:pPr>
      <w:r>
        <w:rPr>
          <w:rFonts w:ascii="Arial" w:cs="Arial" w:eastAsia="Arial" w:hAnsi="Arial"/>
          <w:b w:val="false"/>
          <w:bCs w:val="false"/>
          <w:i w:val="false"/>
          <w:iCs w:val="false"/>
          <w:color w:val="1E293B"/>
          <w:sz w:val="21"/>
          <w:szCs w:val="21"/>
        </w:rPr>
        <w:t xml:space="preserve">Each execution tool is an AI agent conversation, not a form. The founder describes their situation in natural language; the agent asks 2–3 clarifying questions; the agent generates a ready-to-use output. This pattern ensures:</w:t>
      </w:r>
    </w:p>
    <w:p>
      <w:pPr>
        <w:pStyle w:val="ListParagraph"/>
        <w:numPr>
          <w:ilvl w:val="0"/>
          <w:numId w:val="2"/>
        </w:numPr>
        <w:spacing w:after="80" w:line="276"/>
      </w:pPr>
      <w:r>
        <w:rPr>
          <w:rFonts w:ascii="Arial" w:cs="Arial" w:eastAsia="Arial" w:hAnsi="Arial"/>
          <w:color w:val="1E293B"/>
          <w:sz w:val="21"/>
          <w:szCs w:val="21"/>
        </w:rPr>
        <w:t xml:space="preserve">Non-technical founders are never intimidated by form fields or configuration options</w:t>
      </w:r>
    </w:p>
    <w:p>
      <w:pPr>
        <w:pStyle w:val="ListParagraph"/>
        <w:numPr>
          <w:ilvl w:val="0"/>
          <w:numId w:val="2"/>
        </w:numPr>
        <w:spacing w:after="80" w:line="276"/>
      </w:pPr>
      <w:r>
        <w:rPr>
          <w:rFonts w:ascii="Arial" w:cs="Arial" w:eastAsia="Arial" w:hAnsi="Arial"/>
          <w:color w:val="1E293B"/>
          <w:sz w:val="21"/>
          <w:szCs w:val="21"/>
        </w:rPr>
        <w:t xml:space="preserve">The agent can adapt its output to the founder’s actual context rather than producing generic templates</w:t>
      </w:r>
    </w:p>
    <w:p>
      <w:pPr>
        <w:pStyle w:val="ListParagraph"/>
        <w:numPr>
          <w:ilvl w:val="0"/>
          <w:numId w:val="2"/>
        </w:numPr>
        <w:spacing w:after="80" w:line="276"/>
      </w:pPr>
      <w:r>
        <w:rPr>
          <w:rFonts w:ascii="Arial" w:cs="Arial" w:eastAsia="Arial" w:hAnsi="Arial"/>
          <w:color w:val="1E293B"/>
          <w:sz w:val="21"/>
          <w:szCs w:val="21"/>
        </w:rPr>
        <w:t xml:space="preserve">The conversation itself has coaching value — the questions the agent asks help the founder think through their situation</w:t>
      </w:r>
    </w:p>
    <w:p>
      <w:pPr>
        <w:spacing w:after="60"/>
      </w:pPr>
    </w:p>
    <w:p>
      <w:pPr>
        <w:pStyle w:val="Heading2"/>
        <w:spacing w:after="160" w:before="280"/>
      </w:pPr>
      <w:r>
        <w:rPr>
          <w:rFonts w:ascii="Arial" w:cs="Arial" w:eastAsia="Arial" w:hAnsi="Arial"/>
          <w:b/>
          <w:bCs/>
          <w:color w:val="2563EB"/>
          <w:sz w:val="26"/>
          <w:szCs w:val="26"/>
        </w:rPr>
        <w:t xml:space="preserve">5.2 Context Injection</w:t>
      </w:r>
    </w:p>
    <w:p>
      <w:pPr>
        <w:spacing w:after="140" w:line="276"/>
      </w:pPr>
      <w:r>
        <w:rPr>
          <w:rFonts w:ascii="Arial" w:cs="Arial" w:eastAsia="Arial" w:hAnsi="Arial"/>
          <w:b w:val="false"/>
          <w:bCs w:val="false"/>
          <w:i w:val="false"/>
          <w:iCs w:val="false"/>
          <w:color w:val="1E293B"/>
          <w:sz w:val="21"/>
          <w:szCs w:val="21"/>
        </w:rPr>
        <w:t xml:space="preserve">Every tool agent receives the full session context at invocation: the recommendation summary, the roadmap phases, the specific task the founder is working on, and any data from the Revenue Tracker. This means the Outreach Composer for a build_service founder selling procurement audits in East Africa generates fundamentally different messages than for a sales_motion founder converting free users in Ghana. The context is not optional — it is the entire value proposition.</w:t>
      </w:r>
    </w:p>
    <w:p>
      <w:pPr>
        <w:pStyle w:val="Heading2"/>
        <w:spacing w:after="160" w:before="280"/>
      </w:pPr>
      <w:r>
        <w:rPr>
          <w:rFonts w:ascii="Arial" w:cs="Arial" w:eastAsia="Arial" w:hAnsi="Arial"/>
          <w:b/>
          <w:bCs/>
          <w:color w:val="2563EB"/>
          <w:sz w:val="26"/>
          <w:szCs w:val="26"/>
        </w:rPr>
        <w:t xml:space="preserve">5.3 Model Routing</w:t>
      </w:r>
    </w:p>
    <w:p>
      <w:pPr>
        <w:spacing w:after="140" w:line="276"/>
      </w:pPr>
      <w:r>
        <w:rPr>
          <w:rFonts w:ascii="Arial" w:cs="Arial" w:eastAsia="Arial" w:hAnsi="Arial"/>
          <w:b w:val="false"/>
          <w:bCs w:val="false"/>
          <w:i w:val="false"/>
          <w:iCs w:val="false"/>
          <w:color w:val="1E293B"/>
          <w:sz w:val="21"/>
          <w:szCs w:val="21"/>
        </w:rPr>
        <w:t xml:space="preserve">Following the existing NeuraLaunch model strategy:</w:t>
      </w:r>
    </w:p>
    <w:p>
      <w:pPr>
        <w:pStyle w:val="ListParagraph"/>
        <w:numPr>
          <w:ilvl w:val="0"/>
          <w:numId w:val="2"/>
        </w:numPr>
        <w:spacing w:after="80" w:line="276"/>
      </w:pPr>
      <w:r>
        <w:rPr>
          <w:rFonts w:ascii="Arial" w:cs="Arial" w:eastAsia="Arial" w:hAnsi="Arial"/>
          <w:color w:val="1E293B"/>
          <w:sz w:val="21"/>
          <w:szCs w:val="21"/>
        </w:rPr>
        <w:t xml:space="preserve">claude-sonnet-4-20250514 for tool agent conversations (fast, responsive, sufficient for message drafting and script generation)</w:t>
      </w:r>
    </w:p>
    <w:p>
      <w:pPr>
        <w:pStyle w:val="ListParagraph"/>
        <w:numPr>
          <w:ilvl w:val="0"/>
          <w:numId w:val="2"/>
        </w:numPr>
        <w:spacing w:after="80" w:line="276"/>
      </w:pPr>
      <w:r>
        <w:rPr>
          <w:rFonts w:ascii="Arial" w:cs="Arial" w:eastAsia="Arial" w:hAnsi="Arial"/>
          <w:color w:val="1E293B"/>
          <w:sz w:val="21"/>
          <w:szCs w:val="21"/>
        </w:rPr>
        <w:t xml:space="preserve">claude-opus-4-6 for synthesis-grade outputs (the Pricing Architect’s tiered pricing analysis, the Market Scout’s competitive intelligence report, the Process Builder’s complex SOP generation)</w:t>
      </w:r>
    </w:p>
    <w:p>
      <w:pPr>
        <w:pStyle w:val="ListParagraph"/>
        <w:numPr>
          <w:ilvl w:val="0"/>
          <w:numId w:val="2"/>
        </w:numPr>
        <w:spacing w:after="80" w:line="276"/>
      </w:pPr>
      <w:r>
        <w:rPr>
          <w:rFonts w:ascii="Arial" w:cs="Arial" w:eastAsia="Arial" w:hAnsi="Arial"/>
          <w:color w:val="1E293B"/>
          <w:sz w:val="21"/>
          <w:szCs w:val="21"/>
        </w:rPr>
        <w:t xml:space="preserve">Fallback chain remains: Haiku → Gemini Flash for lightweight tasks</w:t>
      </w:r>
    </w:p>
    <w:p>
      <w:pPr>
        <w:spacing w:after="60"/>
      </w:pPr>
    </w:p>
    <w:p>
      <w:pPr>
        <w:pStyle w:val="Heading2"/>
        <w:spacing w:after="160" w:before="280"/>
      </w:pPr>
      <w:r>
        <w:rPr>
          <w:rFonts w:ascii="Arial" w:cs="Arial" w:eastAsia="Arial" w:hAnsi="Arial"/>
          <w:b/>
          <w:bCs/>
          <w:color w:val="2563EB"/>
          <w:sz w:val="26"/>
          <w:szCs w:val="26"/>
        </w:rPr>
        <w:t xml:space="preserve">5.4 Integration with Existing Phase 3 Systems</w:t>
      </w:r>
    </w:p>
    <w:p>
      <w:pPr>
        <w:spacing w:after="140" w:line="276"/>
      </w:pPr>
      <w:r>
        <w:rPr>
          <w:rFonts w:ascii="Arial" w:cs="Arial" w:eastAsia="Arial" w:hAnsi="Arial"/>
          <w:b w:val="false"/>
          <w:bCs w:val="false"/>
          <w:i w:val="false"/>
          <w:iCs w:val="false"/>
          <w:color w:val="1E293B"/>
          <w:sz w:val="21"/>
          <w:szCs w:val="21"/>
        </w:rPr>
        <w:t xml:space="preserve">The execution tools are designed to work with, not replace, the Phase 3 systems already validated:</w:t>
      </w:r>
    </w:p>
    <w:p>
      <w:pPr>
        <w:pStyle w:val="ListParagraph"/>
        <w:numPr>
          <w:ilvl w:val="0"/>
          <w:numId w:val="2"/>
        </w:numPr>
        <w:spacing w:after="80" w:line="276"/>
      </w:pPr>
      <w:r>
        <w:rPr>
          <w:rFonts w:ascii="Arial" w:cs="Arial" w:eastAsia="Arial" w:hAnsi="Arial"/>
          <w:color w:val="1E293B"/>
          <w:sz w:val="21"/>
          <w:szCs w:val="21"/>
        </w:rPr>
        <w:t xml:space="preserve">Roadmap Check-in System: The Revenue Tracker feeds real data into the check-in agent, making nudges specific and evidence-based</w:t>
      </w:r>
    </w:p>
    <w:p>
      <w:pPr>
        <w:pStyle w:val="ListParagraph"/>
        <w:numPr>
          <w:ilvl w:val="0"/>
          <w:numId w:val="2"/>
        </w:numPr>
        <w:spacing w:after="80" w:line="276"/>
      </w:pPr>
      <w:r>
        <w:rPr>
          <w:rFonts w:ascii="Arial" w:cs="Arial" w:eastAsia="Arial" w:hAnsi="Arial"/>
          <w:color w:val="1E293B"/>
          <w:sz w:val="21"/>
          <w:szCs w:val="21"/>
        </w:rPr>
        <w:t xml:space="preserve">Pushback System: When a founder uses the Conversation Coach before a difficult sales conversation and then reports the outcome, the pushback system has real evidence to work with</w:t>
      </w:r>
    </w:p>
    <w:p>
      <w:pPr>
        <w:pStyle w:val="ListParagraph"/>
        <w:numPr>
          <w:ilvl w:val="0"/>
          <w:numId w:val="2"/>
        </w:numPr>
        <w:spacing w:after="80" w:line="276"/>
      </w:pPr>
      <w:r>
        <w:rPr>
          <w:rFonts w:ascii="Arial" w:cs="Arial" w:eastAsia="Arial" w:hAnsi="Arial"/>
          <w:color w:val="1E293B"/>
          <w:sz w:val="21"/>
          <w:szCs w:val="21"/>
        </w:rPr>
        <w:t xml:space="preserve">Outcome Capture: Each tool interaction generates structured data that feeds into the outcome capture system for longitudinal analysis</w:t>
      </w:r>
    </w:p>
    <w:p>
      <w:pPr>
        <w:spacing w:after="60"/>
      </w:pPr>
    </w:p>
    <w:p>
      <w:pPr>
        <w:pStyle w:val="Heading1"/>
        <w:spacing w:after="200" w:before="360"/>
      </w:pPr>
      <w:r>
        <w:rPr>
          <w:rFonts w:ascii="Arial" w:cs="Arial" w:eastAsia="Arial" w:hAnsi="Arial"/>
          <w:b/>
          <w:bCs/>
          <w:color w:val="070F1C"/>
          <w:sz w:val="32"/>
          <w:szCs w:val="32"/>
        </w:rPr>
        <w:t xml:space="preserve">6. Recommended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760"/>
      </w:tblGrid>
      <w:tr>
        <w:tc>
          <w:tcPr>
            <w:tcW w:type="dxa" w:w="10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Phase</w:t>
            </w:r>
          </w:p>
        </w:tc>
        <w:tc>
          <w:tcPr>
            <w:tcW w:type="dxa" w:w="28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Tools</w:t>
            </w:r>
          </w:p>
        </w:tc>
        <w:tc>
          <w:tcPr>
            <w:tcW w:type="dxa" w:w="28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Rationale</w:t>
            </w:r>
          </w:p>
        </w:tc>
        <w:tc>
          <w:tcPr>
            <w:tcW w:type="dxa" w:w="276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Dependency</w:t>
            </w:r>
          </w:p>
        </w:tc>
      </w:tr>
      <w:tr>
        <w:tc>
          <w:tcPr>
            <w:tcW w:type="dxa" w:w="1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Phase A</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Conversation Coach + Outreach Composer</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Address the two highest-friction execution gaps: conversation avoidance and outreach paralysis</w:t>
            </w:r>
          </w:p>
        </w:tc>
        <w:tc>
          <w:tcPr>
            <w:tcW w:type="dxa" w:w="27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context only (already available)</w:t>
            </w:r>
          </w:p>
        </w:tc>
      </w:tr>
      <w:tr>
        <w:tc>
          <w:tcPr>
            <w:tcW w:type="dxa" w:w="1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Phase B</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Revenue Tracker + Pricing Architect</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Create the data layer that makes the check-in system intelligent, and address pricing paralysis</w:t>
            </w:r>
          </w:p>
        </w:tc>
        <w:tc>
          <w:tcPr>
            <w:tcW w:type="dxa" w:w="27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Phase A validated; check-in system integration</w:t>
            </w:r>
          </w:p>
        </w:tc>
      </w:tr>
      <w:tr>
        <w:tc>
          <w:tcPr>
            <w:tcW w:type="dxa" w:w="1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Phase C</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Feedback Engine + Process Builder</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Complete the service delivery loop: collect proof, systematise delivery</w:t>
            </w:r>
          </w:p>
        </w:tc>
        <w:tc>
          <w:tcPr>
            <w:tcW w:type="dxa" w:w="276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Revenue Tracker providing activity data</w:t>
            </w:r>
          </w:p>
        </w:tc>
      </w:tr>
      <w:tr>
        <w:tc>
          <w:tcPr>
            <w:tcW w:type="dxa" w:w="10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Phase D</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Hiring Toolkit + Market Scout</w:t>
            </w:r>
          </w:p>
        </w:tc>
        <w:tc>
          <w:tcPr>
            <w:tcW w:type="dxa" w:w="28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Enable scaling (hiring) and strategic pivots (research)</w:t>
            </w:r>
          </w:p>
        </w:tc>
        <w:tc>
          <w:tcPr>
            <w:tcW w:type="dxa" w:w="276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Core tool suite stable; Tavily/Exa integration for Scout</w:t>
            </w:r>
          </w:p>
        </w:tc>
      </w:tr>
    </w:tbl>
    <w:p>
      <w:pPr>
        <w:spacing w:after="60"/>
      </w:pPr>
    </w:p>
    <w:p>
      <w:pPr>
        <w:pStyle w:val="Heading1"/>
        <w:spacing w:after="200" w:before="360"/>
      </w:pPr>
      <w:r>
        <w:rPr>
          <w:rFonts w:ascii="Arial" w:cs="Arial" w:eastAsia="Arial" w:hAnsi="Arial"/>
          <w:b/>
          <w:bCs/>
          <w:color w:val="070F1C"/>
          <w:sz w:val="32"/>
          <w:szCs w:val="32"/>
        </w:rPr>
        <w:t xml:space="preserve">7. What This Replaces</w:t>
      </w:r>
    </w:p>
    <w:p>
      <w:pPr>
        <w:spacing w:after="140" w:line="276"/>
      </w:pPr>
      <w:r>
        <w:rPr>
          <w:rFonts w:ascii="Arial" w:cs="Arial" w:eastAsia="Arial" w:hAnsi="Arial"/>
          <w:b w:val="false"/>
          <w:bCs w:val="false"/>
          <w:i w:val="false"/>
          <w:iCs w:val="false"/>
          <w:color w:val="1E293B"/>
          <w:sz w:val="21"/>
          <w:szCs w:val="21"/>
        </w:rPr>
        <w:t xml:space="preserve">The original NeuraLaunch vision had Phases 3 through 5 as progressively deeper execution support, implicitly weighted toward technical founders building software. This tool suite replaces that linear phase model with a parallel tool model that serves the actual user base:</w:t>
      </w:r>
    </w:p>
    <w:p>
      <w:pPr>
        <w:pStyle w:val="ListParagraph"/>
        <w:numPr>
          <w:ilvl w:val="0"/>
          <w:numId w:val="2"/>
        </w:numPr>
        <w:spacing w:after="80" w:line="276"/>
      </w:pPr>
      <w:r>
        <w:rPr>
          <w:rFonts w:ascii="Arial" w:cs="Arial" w:eastAsia="Arial" w:hAnsi="Arial"/>
          <w:color w:val="1E293B"/>
          <w:sz w:val="21"/>
          <w:szCs w:val="21"/>
        </w:rPr>
        <w:t xml:space="preserve">Phase 3 (Validation) is already built and validated. The execution tools extend it, not replace it.</w:t>
      </w:r>
    </w:p>
    <w:p>
      <w:pPr>
        <w:pStyle w:val="ListParagraph"/>
        <w:numPr>
          <w:ilvl w:val="0"/>
          <w:numId w:val="2"/>
        </w:numPr>
        <w:spacing w:after="80" w:line="276"/>
      </w:pPr>
      <w:r>
        <w:rPr>
          <w:rFonts w:ascii="Arial" w:cs="Arial" w:eastAsia="Arial" w:hAnsi="Arial"/>
          <w:color w:val="1E293B"/>
          <w:sz w:val="21"/>
          <w:szCs w:val="21"/>
        </w:rPr>
        <w:t xml:space="preserve">Phase 4 (originally “build assistance”) is absorbed into the tool suite. The Conversation Coach, Outreach Composer, and Pricing Architect collectively deliver more execution value to 93% of founders than a code-generation or deployment tool would.</w:t>
      </w:r>
    </w:p>
    <w:p>
      <w:pPr>
        <w:pStyle w:val="ListParagraph"/>
        <w:numPr>
          <w:ilvl w:val="0"/>
          <w:numId w:val="2"/>
        </w:numPr>
        <w:spacing w:after="80" w:line="276"/>
      </w:pPr>
      <w:r>
        <w:rPr>
          <w:rFonts w:ascii="Arial" w:cs="Arial" w:eastAsia="Arial" w:hAnsi="Arial"/>
          <w:color w:val="1E293B"/>
          <w:sz w:val="21"/>
          <w:szCs w:val="21"/>
        </w:rPr>
        <w:t xml:space="preserve">Phase 5 (originally “scale assistance”) is absorbed into the Revenue Tracker, Process Builder, and Hiring Toolkit — the tools that help a founder go from first revenue to repeatable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6"/>
              <w:bottom w:val="single" w:color="C9A84C" w:sz="1"/>
              <w:right w:val="single" w:color="C9A84C" w:sz="1"/>
            </w:tcBorders>
            <w:shd w:fill="FDF8ED" w:val="clear"/>
            <w:tcMar>
              <w:top w:type="dxa" w:w="120"/>
              <w:left w:type="dxa" w:w="200"/>
              <w:bottom w:type="dxa" w:w="120"/>
              <w:right w:type="dxa" w:w="200"/>
            </w:tcMar>
          </w:tcPr>
          <w:p>
            <w:pPr>
              <w:spacing w:after="60"/>
            </w:pPr>
            <w:r>
              <w:rPr>
                <w:rFonts w:ascii="Arial" w:cs="Arial" w:eastAsia="Arial" w:hAnsi="Arial"/>
                <w:b/>
                <w:bCs/>
                <w:color w:val="C9A84C"/>
                <w:sz w:val="21"/>
                <w:szCs w:val="21"/>
              </w:rPr>
              <w:t xml:space="preserve">THE STRATEGIC REFRAME</w:t>
            </w:r>
          </w:p>
          <w:p>
            <w:pPr>
              <w:spacing w:after="0"/>
            </w:pPr>
            <w:r>
              <w:rPr>
                <w:rFonts w:ascii="Arial" w:cs="Arial" w:eastAsia="Arial" w:hAnsi="Arial"/>
                <w:color w:val="1E293B"/>
                <w:sz w:val="20"/>
                <w:szCs w:val="20"/>
              </w:rPr>
              <w:t xml:space="preserve">NeuraLaunch is not a platform for building software. It is a platform for building businesses. The execution tools reflect this: they help founders have hard conversations, write compelling messages, price their services, collect proof of value, systematise their operations, and hire their first team. These are the actual activities that turn a roadmap into revenue — for the bookkeeper in Lagos, the procurement consultant in Nairobi, the tutoring broker in Freetown, and the school owner in Abuja alike.</w:t>
            </w:r>
          </w:p>
        </w:tc>
      </w:tr>
    </w:tbl>
    <w:p>
      <w:pPr>
        <w:spacing w:after="60"/>
      </w:pPr>
    </w:p>
    <w:p>
      <w:pPr>
        <w:pStyle w:val="Heading1"/>
        <w:spacing w:after="200" w:before="360"/>
      </w:pPr>
      <w:r>
        <w:rPr>
          <w:rFonts w:ascii="Arial" w:cs="Arial" w:eastAsia="Arial" w:hAnsi="Arial"/>
          <w:b/>
          <w:bCs/>
          <w:color w:val="070F1C"/>
          <w:sz w:val="32"/>
          <w:szCs w:val="32"/>
        </w:rPr>
        <w:t xml:space="preserve">8. Success Metrics</w:t>
      </w:r>
    </w:p>
    <w:p>
      <w:pPr>
        <w:spacing w:after="140" w:line="276"/>
      </w:pPr>
      <w:r>
        <w:rPr>
          <w:rFonts w:ascii="Arial" w:cs="Arial" w:eastAsia="Arial" w:hAnsi="Arial"/>
          <w:b w:val="false"/>
          <w:bCs w:val="false"/>
          <w:i w:val="false"/>
          <w:iCs w:val="false"/>
          <w:color w:val="1E293B"/>
          <w:sz w:val="21"/>
          <w:szCs w:val="21"/>
        </w:rPr>
        <w:t xml:space="preserve">Each tool should be measured against the execution outcomes it is designed to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Tool</w:t>
            </w:r>
          </w:p>
        </w:tc>
        <w:tc>
          <w:tcPr>
            <w:tcW w:type="dxa" w:w="348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Leading Indicator</w:t>
            </w:r>
          </w:p>
        </w:tc>
        <w:tc>
          <w:tcPr>
            <w:tcW w:type="dxa" w:w="348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vAlign w:val="center"/>
          </w:tcPr>
          <w:p>
            <w:r>
              <w:rPr>
                <w:rFonts w:ascii="Arial" w:cs="Arial" w:eastAsia="Arial" w:hAnsi="Arial"/>
                <w:b/>
                <w:bCs/>
                <w:color w:val="F7F8FA"/>
                <w:sz w:val="20"/>
                <w:szCs w:val="20"/>
              </w:rPr>
              <w:t xml:space="preserve">Lagging Indicator</w:t>
            </w:r>
          </w:p>
        </w:tc>
      </w:tr>
      <w:tr>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Conversation Coach</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Scripts generated per session</w:t>
            </w:r>
          </w:p>
        </w:tc>
        <w:tc>
          <w:tcPr>
            <w:tcW w:type="dxa" w:w="348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Tasks marked complete after script use</w:t>
            </w:r>
          </w:p>
        </w:tc>
      </w:tr>
      <w:tr>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Outreach Composer</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Messages generated and copied</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Outreach response rate (self-reported)</w:t>
            </w:r>
          </w:p>
        </w:tc>
      </w:tr>
      <w:tr>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Revenue Tracker</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Weekly data entries per founder</w:t>
            </w:r>
          </w:p>
        </w:tc>
        <w:tc>
          <w:tcPr>
            <w:tcW w:type="dxa" w:w="348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Revenue progression across roadmap phases</w:t>
            </w:r>
          </w:p>
        </w:tc>
      </w:tr>
      <w:tr>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Pricing Architect</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Pricing docs generated</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Conversion rate post-pricing conversation</w:t>
            </w:r>
          </w:p>
        </w:tc>
      </w:tr>
      <w:tr>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Feedback Engine</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Feedback scripts generated</w:t>
            </w:r>
          </w:p>
        </w:tc>
        <w:tc>
          <w:tcPr>
            <w:tcW w:type="dxa" w:w="348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Testimonials collected and used in outreach</w:t>
            </w:r>
          </w:p>
        </w:tc>
      </w:tr>
      <w:tr>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Process Builder</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SOPs generated</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Delegation tasks completed successfully</w:t>
            </w:r>
          </w:p>
        </w:tc>
      </w:tr>
      <w:tr>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Hiring Toolkit</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Job descriptions generated</w:t>
            </w:r>
          </w:p>
        </w:tc>
        <w:tc>
          <w:tcPr>
            <w:tcW w:type="dxa" w:w="3480"/>
            <w:tcBorders>
              <w:top w:val="single" w:color="C0C8D8" w:sz="1"/>
              <w:left w:val="single" w:color="C0C8D8" w:sz="1"/>
              <w:bottom w:val="single" w:color="C0C8D8" w:sz="1"/>
              <w:right w:val="single" w:color="C0C8D8" w:sz="1"/>
            </w:tcBorders>
            <w:shd w:fill="F0F4F8" w:val="clear"/>
            <w:tcMar>
              <w:top w:type="dxa" w:w="80"/>
              <w:left w:type="dxa" w:w="120"/>
              <w:bottom w:type="dxa" w:w="80"/>
              <w:right w:type="dxa" w:w="120"/>
            </w:tcMar>
          </w:tcPr>
          <w:p>
            <w:r>
              <w:rPr>
                <w:rFonts w:ascii="Arial" w:cs="Arial" w:eastAsia="Arial" w:hAnsi="Arial"/>
                <w:b w:val="false"/>
                <w:bCs w:val="false"/>
                <w:color w:val="1E293B"/>
                <w:sz w:val="20"/>
                <w:szCs w:val="20"/>
              </w:rPr>
              <w:t xml:space="preserve">Successful hires within roadmap timeline</w:t>
            </w:r>
          </w:p>
        </w:tc>
      </w:tr>
      <w:tr>
        <w:tc>
          <w:tcPr>
            <w:tcW w:type="dxa" w:w="240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bCs/>
                <w:color w:val="1E293B"/>
                <w:sz w:val="20"/>
                <w:szCs w:val="20"/>
              </w:rPr>
              <w:t xml:space="preserve">Market Scout</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Research reports generated</w:t>
            </w:r>
          </w:p>
        </w:tc>
        <w:tc>
          <w:tcPr>
            <w:tcW w:type="dxa" w:w="3480"/>
            <w:tcBorders>
              <w:top w:val="single" w:color="C0C8D8" w:sz="1"/>
              <w:left w:val="single" w:color="C0C8D8" w:sz="1"/>
              <w:bottom w:val="single" w:color="C0C8D8" w:sz="1"/>
              <w:right w:val="single" w:color="C0C8D8"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Decision made within time-boxed sprint</w:t>
            </w:r>
          </w:p>
        </w:tc>
      </w:tr>
    </w:tbl>
    <w:p>
      <w:pPr>
        <w:spacing w:after="60"/>
      </w:pPr>
    </w:p>
    <w:p>
      <w:pPr>
        <w:pStyle w:val="Heading1"/>
        <w:spacing w:after="200" w:before="360"/>
      </w:pPr>
      <w:r>
        <w:rPr>
          <w:rFonts w:ascii="Arial" w:cs="Arial" w:eastAsia="Arial" w:hAnsi="Arial"/>
          <w:b/>
          <w:bCs/>
          <w:color w:val="070F1C"/>
          <w:sz w:val="32"/>
          <w:szCs w:val="32"/>
        </w:rPr>
        <w:t xml:space="preserve">9. Conclusion</w:t>
      </w:r>
    </w:p>
    <w:p>
      <w:pPr>
        <w:spacing w:after="140" w:line="276"/>
      </w:pPr>
      <w:r>
        <w:rPr>
          <w:rFonts w:ascii="Arial" w:cs="Arial" w:eastAsia="Arial" w:hAnsi="Arial"/>
          <w:b w:val="false"/>
          <w:bCs w:val="false"/>
          <w:i w:val="false"/>
          <w:iCs w:val="false"/>
          <w:color w:val="1E293B"/>
          <w:sz w:val="21"/>
          <w:szCs w:val="21"/>
        </w:rPr>
        <w:t xml:space="preserve">The production data tells a clear story. NeuraLaunch’s founders are overwhelmingly non-technical. They are building services, executing sales motions, changing processes, hiring people, and doing research. The execution tools should meet them exactly where the data says they are: stuck before a conversation, paralysed by a blank outreach message, unsure how to price their work, unable to track their progress, and needing help systematising what they already know how to do.</w:t>
      </w:r>
    </w:p>
    <w:p>
      <w:pPr>
        <w:spacing w:after="140" w:line="276"/>
      </w:pPr>
      <w:r>
        <w:rPr>
          <w:rFonts w:ascii="Arial" w:cs="Arial" w:eastAsia="Arial" w:hAnsi="Arial"/>
          <w:b w:val="false"/>
          <w:bCs w:val="false"/>
          <w:i w:val="false"/>
          <w:iCs w:val="false"/>
          <w:color w:val="1E293B"/>
          <w:sz w:val="21"/>
          <w:szCs w:val="21"/>
        </w:rPr>
        <w:t xml:space="preserve">The 8-tool suite recommended here is not speculative. Every tool is a direct response to patterns observed across 529 real roadmap tasks generated for real founders. The tiered build sequence prioritises the tools with the highest demand signal and the greatest expected impact on founder execution rates.</w:t>
      </w:r>
    </w:p>
    <w:p>
      <w:pPr>
        <w:spacing w:after="140" w:line="276"/>
      </w:pPr>
      <w:r>
        <w:rPr>
          <w:rFonts w:ascii="Arial" w:cs="Arial" w:eastAsia="Arial" w:hAnsi="Arial"/>
          <w:i/>
          <w:iCs/>
          <w:color w:val="1E293B"/>
          <w:sz w:val="21"/>
          <w:szCs w:val="21"/>
        </w:rPr>
        <w:t xml:space="preserve">The execution tool suite is how NeuraLaunch becomes what it was always meant to be: </w:t>
      </w:r>
      <w:r>
        <w:rPr>
          <w:rFonts w:ascii="Arial" w:cs="Arial" w:eastAsia="Arial" w:hAnsi="Arial"/>
          <w:b/>
          <w:bCs/>
          <w:i/>
          <w:iCs/>
          <w:color w:val="1E293B"/>
          <w:sz w:val="21"/>
          <w:szCs w:val="21"/>
        </w:rPr>
        <w:t xml:space="preserve">not a platform that tells you what to do, but a platform that helps you actually do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0C8D8"/>
        <w:sz w:val="16"/>
        <w:szCs w:val="16"/>
      </w:rPr>
      <w:t xml:space="preserve">Tabempa Engineering Limited — Confidential — Page </w:t>
    </w:r>
    <w:r>
      <w:rPr>
        <w:rFonts w:ascii="Arial" w:cs="Arial" w:eastAsia="Arial" w:hAnsi="Arial"/>
        <w:color w:val="C0C8D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0C8D8"/>
        <w:sz w:val="16"/>
        <w:szCs w:val="16"/>
      </w:rPr>
      <w:t xml:space="preserve">NeuraLaunch Execution Tool Suite — Strategic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0F1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2026-04-09T17:12:33.346Z</dcterms:created>
  <dcterms:modified xsi:type="dcterms:W3CDTF">2026-04-09T17:12:33.346Z</dcterms:modified>
</cp:coreProperties>
</file>

<file path=docProps/custom.xml><?xml version="1.0" encoding="utf-8"?>
<Properties xmlns="http://schemas.openxmlformats.org/officeDocument/2006/custom-properties" xmlns:vt="http://schemas.openxmlformats.org/officeDocument/2006/docPropsVTypes"/>
</file>