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Eternal (Formerly Zomato) Revenue Scenario Builder</w:t>
      </w:r>
    </w:p>
    <w:p>
      <w:r>
        <w:rPr>
          <w:b/>
        </w:rPr>
        <w:t>Driver-Based Revenue Forecasting &amp; Scenario Analysis</w:t>
        <w:br/>
      </w:r>
    </w:p>
    <w:p>
      <w:pPr>
        <w:pStyle w:val="Heading2"/>
      </w:pPr>
      <w:r>
        <w:t>Executive Summary</w:t>
      </w:r>
    </w:p>
    <w:p>
      <w:r>
        <w:t>This project presents a driver-based revenue forecasting model for Eternal Limited (formerly Zomato Ltd.). The objective is to estimate future revenue by identifying key operating drivers and evaluating how changes in assumptions affect projected financial performance. The model incorporates Base, Bull, and Bear scenarios and reflects techniques commonly used in FP&amp;A, Corporate Finance, and Equity Research.</w:t>
      </w:r>
    </w:p>
    <w:p>
      <w:pPr>
        <w:pStyle w:val="Heading2"/>
      </w:pPr>
      <w:r>
        <w:t>Company Overview</w:t>
      </w:r>
    </w:p>
    <w:p>
      <w:r>
        <w:t>Eternal Limited operates consumer internet businesses including Food Delivery, Blinkit (Quick Commerce), Hyperpure, and Going Out &amp; District.</w:t>
      </w:r>
    </w:p>
    <w:p>
      <w:pPr>
        <w:pStyle w:val="Heading2"/>
      </w:pPr>
      <w:r>
        <w:t>Historical Financial Performance</w:t>
      </w:r>
    </w:p>
    <w:tbl>
      <w:tblPr>
        <w:tblStyle w:val="TableGrid"/>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FY25A</w:t>
            </w:r>
          </w:p>
        </w:tc>
        <w:tc>
          <w:tcPr>
            <w:tcW w:type="dxa" w:w="2880"/>
          </w:tcPr>
          <w:p>
            <w:r>
              <w:t>FY26A</w:t>
            </w:r>
          </w:p>
        </w:tc>
      </w:tr>
      <w:tr>
        <w:tc>
          <w:tcPr>
            <w:tcW w:type="dxa" w:w="2880"/>
          </w:tcPr>
          <w:p>
            <w:r>
              <w:t>Revenue from Operations</w:t>
            </w:r>
          </w:p>
        </w:tc>
        <w:tc>
          <w:tcPr>
            <w:tcW w:type="dxa" w:w="2880"/>
          </w:tcPr>
          <w:p>
            <w:r>
              <w:t>₹20,243 Cr</w:t>
            </w:r>
          </w:p>
        </w:tc>
        <w:tc>
          <w:tcPr>
            <w:tcW w:type="dxa" w:w="2880"/>
          </w:tcPr>
          <w:p>
            <w:r>
              <w:t>₹54,364 Cr</w:t>
            </w:r>
          </w:p>
        </w:tc>
      </w:tr>
      <w:tr>
        <w:tc>
          <w:tcPr>
            <w:tcW w:type="dxa" w:w="2880"/>
          </w:tcPr>
          <w:p>
            <w:r>
              <w:t>EBITDA</w:t>
            </w:r>
          </w:p>
        </w:tc>
        <w:tc>
          <w:tcPr>
            <w:tcW w:type="dxa" w:w="2880"/>
          </w:tcPr>
          <w:p>
            <w:r>
              <w:t>₹648 Cr</w:t>
            </w:r>
          </w:p>
        </w:tc>
        <w:tc>
          <w:tcPr>
            <w:tcW w:type="dxa" w:w="2880"/>
          </w:tcPr>
          <w:p>
            <w:r>
              <w:t>₹1,208 Cr</w:t>
            </w:r>
          </w:p>
        </w:tc>
      </w:tr>
      <w:tr>
        <w:tc>
          <w:tcPr>
            <w:tcW w:type="dxa" w:w="2880"/>
          </w:tcPr>
          <w:p>
            <w:r>
              <w:t>EBIT</w:t>
            </w:r>
          </w:p>
        </w:tc>
        <w:tc>
          <w:tcPr>
            <w:tcW w:type="dxa" w:w="2880"/>
          </w:tcPr>
          <w:p>
            <w:r>
              <w:t>-₹215 Cr</w:t>
            </w:r>
          </w:p>
        </w:tc>
        <w:tc>
          <w:tcPr>
            <w:tcW w:type="dxa" w:w="2880"/>
          </w:tcPr>
          <w:p>
            <w:r>
              <w:t>-₹389 Cr</w:t>
            </w:r>
          </w:p>
        </w:tc>
      </w:tr>
      <w:tr>
        <w:tc>
          <w:tcPr>
            <w:tcW w:type="dxa" w:w="2880"/>
          </w:tcPr>
          <w:p>
            <w:r>
              <w:t>Depreciation &amp; Amortization</w:t>
            </w:r>
          </w:p>
        </w:tc>
        <w:tc>
          <w:tcPr>
            <w:tcW w:type="dxa" w:w="2880"/>
          </w:tcPr>
          <w:p>
            <w:r>
              <w:t>₹863 Cr</w:t>
            </w:r>
          </w:p>
        </w:tc>
        <w:tc>
          <w:tcPr>
            <w:tcW w:type="dxa" w:w="2880"/>
          </w:tcPr>
          <w:p>
            <w:r>
              <w:t>₹1,597 Cr</w:t>
            </w:r>
          </w:p>
        </w:tc>
      </w:tr>
      <w:tr>
        <w:tc>
          <w:tcPr>
            <w:tcW w:type="dxa" w:w="2880"/>
          </w:tcPr>
          <w:p>
            <w:r>
              <w:t>Estimated Capex</w:t>
            </w:r>
          </w:p>
        </w:tc>
        <w:tc>
          <w:tcPr>
            <w:tcW w:type="dxa" w:w="2880"/>
          </w:tcPr>
          <w:p>
            <w:r>
              <w:t>₹931 Cr</w:t>
            </w:r>
          </w:p>
        </w:tc>
        <w:tc>
          <w:tcPr>
            <w:tcW w:type="dxa" w:w="2880"/>
          </w:tcPr>
          <w:p>
            <w:r>
              <w:t>₹1,746 Cr</w:t>
            </w:r>
          </w:p>
        </w:tc>
      </w:tr>
      <w:tr>
        <w:tc>
          <w:tcPr>
            <w:tcW w:type="dxa" w:w="2880"/>
          </w:tcPr>
          <w:p>
            <w:r>
              <w:t>Net Cash</w:t>
            </w:r>
          </w:p>
        </w:tc>
        <w:tc>
          <w:tcPr>
            <w:tcW w:type="dxa" w:w="2880"/>
          </w:tcPr>
          <w:p>
            <w:r>
              <w:t>₹7,221 Cr</w:t>
            </w:r>
          </w:p>
        </w:tc>
        <w:tc>
          <w:tcPr>
            <w:tcW w:type="dxa" w:w="2880"/>
          </w:tcPr>
          <w:p>
            <w:r>
              <w:t>₹1,523 Cr</w:t>
            </w:r>
          </w:p>
        </w:tc>
      </w:tr>
    </w:tbl>
    <w:p>
      <w:pPr>
        <w:pStyle w:val="Heading2"/>
      </w:pPr>
      <w:r>
        <w:t>Project Objective</w:t>
      </w:r>
    </w:p>
    <w:p>
      <w:r>
        <w:t>- Build a flexible revenue forecasting framework.</w:t>
        <w:br/>
        <w:t>- Identify operational revenue drivers.</w:t>
        <w:br/>
        <w:t>- Compare Base, Bull, and Bear scenarios.</w:t>
        <w:br/>
        <w:t>- Support strategic planning and investment analysis.</w:t>
      </w:r>
    </w:p>
    <w:p>
      <w:pPr>
        <w:pStyle w:val="Heading2"/>
      </w:pPr>
      <w:r>
        <w:t>Revenue Drivers</w:t>
      </w:r>
    </w:p>
    <w:p>
      <w:r>
        <w:t>• Monthly Transacting Users</w:t>
        <w:br/>
        <w:t>• Orders per User</w:t>
        <w:br/>
        <w:t>• Average Order Value (AOV)</w:t>
        <w:br/>
        <w:t>• Platform Take Rate</w:t>
        <w:br/>
        <w:t>• Blinkit Growth</w:t>
        <w:br/>
        <w:t>• Overall Revenue Growth Rate</w:t>
      </w:r>
    </w:p>
    <w:p>
      <w:pPr>
        <w:pStyle w:val="Heading2"/>
      </w:pPr>
      <w:r>
        <w:t>Scenario Framework</w:t>
      </w:r>
    </w:p>
    <w:p>
      <w:r>
        <w:t>Base Case: Growth in line with management guidance.</w:t>
        <w:br/>
        <w:br/>
        <w:t>Bull Case: Higher customer growth, higher AOV, stronger Blinkit expansion, improved monetization.</w:t>
        <w:br/>
        <w:br/>
        <w:t>Bear Case: Slower demand, lower customer acquisition, pricing pressure and weaker growth.</w:t>
      </w:r>
    </w:p>
    <w:p>
      <w:pPr>
        <w:pStyle w:val="Heading2"/>
      </w:pPr>
      <w:r>
        <w:t>Dashboard Features</w:t>
      </w:r>
    </w:p>
    <w:p>
      <w:r>
        <w:t>Interactive assumption panel, KPI dashboard, revenue forecast, scenario selection, charts and sensitivity analysis.</w:t>
      </w:r>
    </w:p>
    <w:p>
      <w:pPr>
        <w:pStyle w:val="Heading2"/>
      </w:pPr>
      <w:r>
        <w:t>Key Financial Insights</w:t>
      </w:r>
    </w:p>
    <w:p>
      <w:r>
        <w:t>Revenue increased from ₹20,243 Cr to ₹54,364 Cr, largely driven by Blinkit's expansion and changes in revenue recognition. EBITDA improved from ₹648 Cr to ₹1,208 Cr, while capital expenditure increased to support infrastructure growth.</w:t>
      </w:r>
    </w:p>
    <w:p>
      <w:pPr>
        <w:pStyle w:val="Heading2"/>
      </w:pPr>
      <w:r>
        <w:t>Skills Demonstrated</w:t>
      </w:r>
    </w:p>
    <w:p>
      <w:r>
        <w:t>Financial Modelling, Revenue Forecasting, FP&amp;A, Scenario Analysis, Sensitivity Analysis, Dashboard Design, Microsoft Excel.</w:t>
      </w:r>
    </w:p>
    <w:p>
      <w:pPr>
        <w:pStyle w:val="Heading2"/>
      </w:pPr>
      <w:r>
        <w:t>Conclusion</w:t>
      </w:r>
    </w:p>
    <w:p>
      <w:r>
        <w:t>The Revenue Scenario Builder demonstrates how operational assumptions influence future revenue. It provides a practical framework for budgeting, forecasting, strategic planning, and equity research using driver-based financial modelling.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