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Intelligent CUV</w:t>
            </w:r>
          </w:p>
          <w:p>
            <w:pPr>
              <w:pStyle w:val="Heading1"/>
            </w:pPr>
            <w:r>
              <w:t xml:space="preserve">MG Windsor EV</w:t>
            </w:r>
          </w:p>
          <w:p>
            <w:r>
              <w:t xml:space="preserve">Starts at ₹14.00 Lakh* · Up to 449 km range (ARAI)</w:t>
            </w:r>
          </w:p>
          <w:p>
            <w:hyperlink w:history="1" r:id="rId1n2htotdm626nhzgx0myf">
              <w:r>
                <w:rPr>
                  <w:b/>
                  <w:bCs/>
                </w:rPr>
                <w:t xml:space="preserve">Book Now</w:t>
              </w:r>
            </w:hyperlink>
            <w:hyperlink w:history="1" r:id="rIdkd2qlbno44ponuhb2ffyv">
              <w:r>
                <w:rPr>
                  <w:i/>
                  <w:iCs/>
                </w:rPr>
                <w:t xml:space="preserve">Book a 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t8copzss_kopuns79pggh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Comfort, reimagined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(highlights)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449 km</w:t>
            </w:r>
          </w:p>
          <w:p>
            <w:r>
              <w:t xml:space="preserve">ARAI-certified range on a single charge.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Aero-Lounge</w:t>
            </w:r>
          </w:p>
          <w:p>
            <w:r>
              <w:t xml:space="preserve">Best-in-class cabin space with a panoramic glass roof.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Fast Charge</w:t>
            </w:r>
          </w:p>
          <w:p>
            <w:r>
              <w:t xml:space="preserve">0–80% in under 60 minutes with DC fast charging.</w:t>
            </w:r>
          </w:p>
        </w:tc>
      </w:tr>
      <w:tr>
        <w:tc>
          <w:tcPr>
            <w:tcW w:type="dxa" w:w="9360"/>
          </w:tcPr>
          <w:p>
            <w:pPr>
              <w:pStyle w:val="Heading3"/>
            </w:pPr>
            <w:r>
              <w:t xml:space="preserve">5-Star Safety</w:t>
            </w:r>
          </w:p>
          <w:p>
            <w:r>
              <w:t xml:space="preserve">Advanced structure with Level-2 ADAS assistance.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Variant Selector</w:t>
            </w:r>
          </w:p>
        </w:tc>
      </w:tr>
      <w:tr>
        <w:tc>
          <w:tcPr>
            <w:tcW w:type="dxa" w:w="2340"/>
          </w:tcPr>
          <w:p>
            <w:r>
              <w:t xml:space="preserve">Choose your colour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Clay Beige</w:t>
            </w:r>
          </w:p>
        </w:tc>
        <w:tc>
          <w:tcPr>
            <w:tcW w:type="dxa" w:w="2340"/>
          </w:tcPr>
          <w:p>
            <w:r>
              <w:t xml:space="preserve">#cbb79a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₹14.00 Lakh*</w:t>
            </w:r>
          </w:p>
        </w:tc>
      </w:tr>
      <w:tr>
        <w:tc>
          <w:tcPr>
            <w:tcW w:type="dxa" w:w="2340"/>
          </w:tcPr>
          <w:p>
            <w:r>
              <w:t xml:space="preserve">Turquoise Green</w:t>
            </w:r>
          </w:p>
        </w:tc>
        <w:tc>
          <w:tcPr>
            <w:tcW w:type="dxa" w:w="2340"/>
          </w:tcPr>
          <w:p>
            <w:r>
              <w:t xml:space="preserve">#1ba7ad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₹14.20 Lakh*</w:t>
            </w:r>
          </w:p>
        </w:tc>
      </w:tr>
      <w:tr>
        <w:tc>
          <w:tcPr>
            <w:tcW w:type="dxa" w:w="2340"/>
          </w:tcPr>
          <w:p>
            <w:r>
              <w:t xml:space="preserve">Starburst Black</w:t>
            </w:r>
          </w:p>
        </w:tc>
        <w:tc>
          <w:tcPr>
            <w:tcW w:type="dxa" w:w="2340"/>
          </w:tcPr>
          <w:p>
            <w:r>
              <w:t xml:space="preserve">#1c1c1c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₹14.30 Lakh*</w:t>
            </w:r>
          </w:p>
        </w:tc>
      </w:tr>
      <w:tr>
        <w:tc>
          <w:tcPr>
            <w:tcW w:type="dxa" w:w="2340"/>
          </w:tcPr>
          <w:p>
            <w:r>
              <w:t xml:space="preserve">Aurora Silver</w:t>
            </w:r>
          </w:p>
        </w:tc>
        <w:tc>
          <w:tcPr>
            <w:tcW w:type="dxa" w:w="2340"/>
          </w:tcPr>
          <w:p>
            <w:r>
              <w:t xml:space="preserve">#c9ced3</w:t>
            </w:r>
          </w:p>
        </w:tc>
        <w:tc>
          <w:tcPr>
            <w:tcW w:type="dxa" w:w="2340"/>
          </w:tcPr>
          <w:p>
            <w:r>
              <w:drawing>
                <wp:inline distT="0" distB="0" distL="0" distR="0">
                  <wp:extent cx="2857500" cy="1771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40"/>
          </w:tcPr>
          <w:p>
            <w:r>
              <w:t xml:space="preserve">₹14.10 Lakh*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Gallery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Carousel (gallery)</w:t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3571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9360"/>
          </w:tcPr>
          <w:p>
            <w:r>
              <w:drawing>
                <wp:inline distT="0" distB="0" distL="0" distR="0">
                  <wp:extent cx="4762500" cy="20859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0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Designed around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Aero-Lounge seats</w:t>
            </w:r>
          </w:p>
          <w:p>
            <w:r>
              <w:t xml:space="preserve">Zero-gravity rear seats recline up to 135° with a class-leading 2700 mm wheelbase for limousine-like comfort.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Columns (feature, reverse)</w:t>
            </w:r>
          </w:p>
        </w:tc>
      </w:tr>
      <w:tr>
        <w:tc>
          <w:tcPr>
            <w:tcW w:type="dxa" w:w="4680"/>
          </w:tcPr>
          <w:p>
            <w:pPr>
              <w:pStyle w:val="Heading3"/>
            </w:pPr>
            <w:r>
              <w:t xml:space="preserve">15.6" infinity screen</w:t>
            </w:r>
          </w:p>
          <w:p>
            <w:r>
              <w:t xml:space="preserve">A wall-to-wall infotainment display with connected i-SMART features, OTA updates and voice control.</w:t>
            </w:r>
          </w:p>
        </w:tc>
        <w:tc>
          <w:tcPr>
            <w:tcW w:type="dxa" w:w="4680"/>
          </w:tcPr>
          <w:p>
            <w:r>
              <w:drawing>
                <wp:inline distT="0" distB="0" distL="0" distR="0">
                  <wp:extent cx="3619500" cy="2714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(specifications, single)</w:t>
            </w:r>
          </w:p>
        </w:tc>
      </w:tr>
      <w:tr>
        <w:tc>
          <w:tcPr>
            <w:tcW w:type="dxa" w:w="4680"/>
          </w:tcPr>
          <w:p>
            <w:r>
              <w:t xml:space="preserve">Battery &amp; Range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Battery: </w:t>
            </w:r>
            <w:r>
              <w:t xml:space="preserve">38 kWh LFP / 52.9 kWh (Pro)</w:t>
            </w:r>
          </w:p>
          <w:p>
            <w:r>
              <w:rPr>
                <w:b/>
                <w:bCs/>
              </w:rPr>
              <w:t xml:space="preserve">Range (ARAI): </w:t>
            </w:r>
            <w:r>
              <w:t xml:space="preserve">331 km / 449 km (Pro)</w:t>
            </w:r>
          </w:p>
          <w:p>
            <w:r>
              <w:rPr>
                <w:b/>
                <w:bCs/>
              </w:rPr>
              <w:t xml:space="preserve">Charging (DC): </w:t>
            </w:r>
            <w:r>
              <w:t xml:space="preserve">0–80% in ~55 min</w:t>
            </w:r>
          </w:p>
        </w:tc>
      </w:tr>
      <w:tr>
        <w:tc>
          <w:tcPr>
            <w:tcW w:type="dxa" w:w="4680"/>
          </w:tcPr>
          <w:p>
            <w:r>
              <w:t xml:space="preserve">Powertrain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Motor: </w:t>
            </w:r>
            <w:r>
              <w:t xml:space="preserve">Permanent magnet synchronous</w:t>
            </w:r>
          </w:p>
          <w:p>
            <w:r>
              <w:rPr>
                <w:b/>
                <w:bCs/>
              </w:rPr>
              <w:t xml:space="preserve">Max power: </w:t>
            </w:r>
            <w:r>
              <w:t xml:space="preserve">100 kW (136 PS)</w:t>
            </w:r>
          </w:p>
          <w:p>
            <w:r>
              <w:rPr>
                <w:b/>
                <w:bCs/>
              </w:rPr>
              <w:t xml:space="preserve">Max torque: </w:t>
            </w:r>
            <w:r>
              <w:t xml:space="preserve">200 Nm</w:t>
            </w:r>
          </w:p>
        </w:tc>
      </w:tr>
      <w:tr>
        <w:tc>
          <w:tcPr>
            <w:tcW w:type="dxa" w:w="4680"/>
          </w:tcPr>
          <w:p>
            <w:r>
              <w:t xml:space="preserve">Dimensions</w:t>
            </w:r>
          </w:p>
        </w:tc>
        <w:tc>
          <w:tcPr>
            <w:tcW w:type="dxa" w:w="4680"/>
          </w:tcPr>
          <w:p>
            <w:r>
              <w:rPr>
                <w:b/>
                <w:bCs/>
              </w:rPr>
              <w:t xml:space="preserve">Length: </w:t>
            </w:r>
            <w:r>
              <w:t xml:space="preserve">4295 mm</w:t>
            </w:r>
          </w:p>
          <w:p>
            <w:r>
              <w:rPr>
                <w:b/>
                <w:bCs/>
              </w:rPr>
              <w:t xml:space="preserve">Wheelbase: </w:t>
            </w:r>
            <w:r>
              <w:t xml:space="preserve">2700 mm</w:t>
            </w:r>
          </w:p>
          <w:p>
            <w:r>
              <w:rPr>
                <w:b/>
                <w:bCs/>
              </w:rPr>
              <w:t xml:space="preserve">Boot space: </w:t>
            </w:r>
            <w:r>
              <w:t xml:space="preserve">604 L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Emi Calculator</w:t>
            </w:r>
          </w:p>
        </w:tc>
      </w:tr>
      <w:tr>
        <w:tc>
          <w:tcPr>
            <w:tcW w:type="dxa" w:w="4680"/>
          </w:tcPr>
          <w:p>
            <w:r>
              <w:t xml:space="preserve">heading</w:t>
            </w:r>
          </w:p>
        </w:tc>
        <w:tc>
          <w:tcPr>
            <w:tcW w:type="dxa" w:w="4680"/>
          </w:tcPr>
          <w:p>
            <w:r>
              <w:t xml:space="preserve">Estimate your EMI</w:t>
            </w:r>
          </w:p>
        </w:tc>
      </w:tr>
      <w:tr>
        <w:tc>
          <w:tcPr>
            <w:tcW w:type="dxa" w:w="4680"/>
          </w:tcPr>
          <w:p>
            <w:r>
              <w:t xml:space="preserve">currency</w:t>
            </w:r>
          </w:p>
        </w:tc>
        <w:tc>
          <w:tcPr>
            <w:tcW w:type="dxa" w:w="4680"/>
          </w:tcPr>
          <w:p>
            <w:r>
              <w:t xml:space="preserve">₹</w:t>
            </w:r>
          </w:p>
        </w:tc>
      </w:tr>
      <w:tr>
        <w:tc>
          <w:tcPr>
            <w:tcW w:type="dxa" w:w="4680"/>
          </w:tcPr>
          <w:p>
            <w:r>
              <w:t xml:space="preserve">price</w:t>
            </w:r>
          </w:p>
        </w:tc>
        <w:tc>
          <w:tcPr>
            <w:tcW w:type="dxa" w:w="4680"/>
          </w:tcPr>
          <w:p>
            <w:r>
              <w:t xml:space="preserve">1400000</w:t>
            </w:r>
          </w:p>
        </w:tc>
      </w:tr>
      <w:tr>
        <w:tc>
          <w:tcPr>
            <w:tcW w:type="dxa" w:w="4680"/>
          </w:tcPr>
          <w:p>
            <w:r>
              <w:t xml:space="preserve">downpayment</w:t>
            </w:r>
          </w:p>
        </w:tc>
        <w:tc>
          <w:tcPr>
            <w:tcW w:type="dxa" w:w="4680"/>
          </w:tcPr>
          <w:p>
            <w:r>
              <w:t xml:space="preserve">200000</w:t>
            </w:r>
          </w:p>
        </w:tc>
      </w:tr>
      <w:tr>
        <w:tc>
          <w:tcPr>
            <w:tcW w:type="dxa" w:w="4680"/>
          </w:tcPr>
          <w:p>
            <w:r>
              <w:t xml:space="preserve">interestrate</w:t>
            </w:r>
          </w:p>
        </w:tc>
        <w:tc>
          <w:tcPr>
            <w:tcW w:type="dxa" w:w="4680"/>
          </w:tcPr>
          <w:p>
            <w:r>
              <w:t xml:space="preserve">9.5</w:t>
            </w:r>
          </w:p>
        </w:tc>
      </w:tr>
      <w:tr>
        <w:tc>
          <w:tcPr>
            <w:tcW w:type="dxa" w:w="4680"/>
          </w:tcPr>
          <w:p>
            <w:r>
              <w:t xml:space="preserve">tenuremonths</w:t>
            </w:r>
          </w:p>
        </w:tc>
        <w:tc>
          <w:tcPr>
            <w:tcW w:type="dxa" w:w="4680"/>
          </w:tcPr>
          <w:p>
            <w:r>
              <w:t xml:space="preserve">60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light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Banner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1581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2"/>
            </w:pPr>
            <w:r>
              <w:t xml:space="preserve">Ready to drive the future?</w:t>
            </w:r>
          </w:p>
          <w:p>
            <w:r>
              <w:t xml:space="preserve">Book your MG Windsor EV today or experience it first-hand with a test drive.</w:t>
            </w:r>
          </w:p>
          <w:p>
            <w:hyperlink w:history="1" r:id="rIdf67eeqvl3s845erlbuzgv">
              <w:r>
                <w:rPr>
                  <w:b/>
                  <w:bCs/>
                </w:rPr>
                <w:t xml:space="preserve">Book Now</w:t>
              </w:r>
            </w:hyperlink>
            <w:hyperlink w:history="1" r:id="rIdp_ybo3hfkblgjxg4tahd1">
              <w:r>
                <w:rPr>
                  <w:i/>
                  <w:iCs/>
                </w:rPr>
                <w:t xml:space="preserve">Test Drive</w:t>
              </w:r>
            </w:hyperlink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Explore other MG cars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Cards (model-range)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Comet EV</w:t>
            </w:r>
          </w:p>
          <w:p>
            <w:r>
              <w:t xml:space="preserve">Smart city EV · ₹7.00 Lakh*</w:t>
            </w:r>
          </w:p>
          <w:p>
            <w:hyperlink w:history="1" r:id="rIdjhalhqvljoqqkysvxfq6s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ZS EV</w:t>
            </w:r>
          </w:p>
          <w:p>
            <w:r>
              <w:t xml:space="preserve">Electric SUV · ₹18.98 Lakh*</w:t>
            </w:r>
          </w:p>
          <w:p>
            <w:hyperlink w:history="1" r:id="rIdmoceqwypzpcrlfps3061z">
              <w:r>
                <w:rPr>
                  <w:b/>
                  <w:bCs/>
                </w:rPr>
                <w:t xml:space="preserve">Explore</w:t>
              </w:r>
            </w:hyperlink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3619500" cy="2247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pStyle w:val="Heading3"/>
            </w:pPr>
            <w:r>
              <w:t xml:space="preserve">MG Hector</w:t>
            </w:r>
          </w:p>
          <w:p>
            <w:r>
              <w:t xml:space="preserve">Internet SUV · ₹13.99 Lakh*</w:t>
            </w:r>
          </w:p>
          <w:p>
            <w:hyperlink w:history="1" r:id="rIdm49b9afnqhcplhf3m5m-k">
              <w:r>
                <w:rPr>
                  <w:b/>
                  <w:bCs/>
                </w:rPr>
                <w:t xml:space="preserve">Explore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Sticky Cta</w:t>
            </w:r>
          </w:p>
        </w:tc>
      </w:tr>
      <w:tr>
        <w:tc>
          <w:tcPr>
            <w:tcW w:type="dxa" w:w="4680"/>
          </w:tcPr>
          <w:p>
            <w:hyperlink w:history="1" r:id="rIdel0n2nsdtkz3dst_a2evw">
              <w:r>
                <w:t xml:space="preserve">Book Now</w:t>
              </w:r>
            </w:hyperlink>
          </w:p>
          <w:p>
            <w:hyperlink w:history="1" r:id="rIdl944msuvqd1dttv17fmya">
              <w:r>
                <w:t xml:space="preserve">Test Drive</w:t>
              </w:r>
            </w:hyperlink>
          </w:p>
        </w:tc>
        <w:tc>
          <w:tcPr>
            <w:tcW w:type="dxa" w:w="4680"/>
          </w:tcPr>
          <w:p>
            <w:r>
              <w:t xml:space="preserve">350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MG Windsor EV — Intelligent Electric CUV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MG Windsor EV — India's first intelligent CUV with up to 449 km range, aero-lounge comfort and fast charging. Explore variants, specs and EMI.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n2htotdm626nhzgx0myf" Type="http://schemas.openxmlformats.org/officeDocument/2006/relationships/hyperlink" Target="/ebooking?model=windsor_ev" TargetMode="External"/><Relationship Id="rIdkd2qlbno44ponuhb2ffyv" Type="http://schemas.openxmlformats.org/officeDocument/2006/relationships/hyperlink" Target="/test-drive" TargetMode="External"/><Relationship Id="rIdt8copzss_kopuns79pggh" Type="http://schemas.openxmlformats.org/officeDocument/2006/relationships/hyperlink" Target="/" TargetMode="External"/><Relationship Id="rIdf67eeqvl3s845erlbuzgv" Type="http://schemas.openxmlformats.org/officeDocument/2006/relationships/hyperlink" Target="/ebooking?model=windsor_ev" TargetMode="External"/><Relationship Id="rIdp_ybo3hfkblgjxg4tahd1" Type="http://schemas.openxmlformats.org/officeDocument/2006/relationships/hyperlink" Target="/test-drive" TargetMode="External"/><Relationship Id="rIdjhalhqvljoqqkysvxfq6s" Type="http://schemas.openxmlformats.org/officeDocument/2006/relationships/hyperlink" Target="/comet-ev" TargetMode="External"/><Relationship Id="rIdmoceqwypzpcrlfps3061z" Type="http://schemas.openxmlformats.org/officeDocument/2006/relationships/hyperlink" Target="/zs-ev" TargetMode="External"/><Relationship Id="rIdm49b9afnqhcplhf3m5m-k" Type="http://schemas.openxmlformats.org/officeDocument/2006/relationships/hyperlink" Target="/hector" TargetMode="External"/><Relationship Id="rIdel0n2nsdtkz3dst_a2evw" Type="http://schemas.openxmlformats.org/officeDocument/2006/relationships/hyperlink" Target="/ebooking?model=windsor_ev" TargetMode="External"/><Relationship Id="rIdl944msuvqd1dttv17fmya" Type="http://schemas.openxmlformats.org/officeDocument/2006/relationships/hyperlink" Target="/test-drive" TargetMode="External"/><Relationship Id="rId7" Type="http://schemas.openxmlformats.org/officeDocument/2006/relationships/image" Target="media/d2d67038a3b7f5640eca19e1446fa2710a626720.jpg"/><Relationship Id="rId8" Type="http://schemas.openxmlformats.org/officeDocument/2006/relationships/image" Target="media/56dd78bf3035cc77c7bb282a186b1056af50cd43.png"/><Relationship Id="rId9" Type="http://schemas.openxmlformats.org/officeDocument/2006/relationships/image" Target="media/a2d8a442a306101406588185d9c0b6e6ee677067.jpg"/><Relationship Id="rId10" Type="http://schemas.openxmlformats.org/officeDocument/2006/relationships/image" Target="media/887e3c8485fa18bf401bb5d0729799562f803014.jpg"/><Relationship Id="rId11" Type="http://schemas.openxmlformats.org/officeDocument/2006/relationships/image" Target="media/d79ad6a62f1a91d343fda65c64fec11d0d6ab887.jpg"/><Relationship Id="rId12" Type="http://schemas.openxmlformats.org/officeDocument/2006/relationships/image" Target="media/a355e3e9613145c1add84e8891f84d977e3b30a3.jpg"/><Relationship Id="rId13" Type="http://schemas.openxmlformats.org/officeDocument/2006/relationships/image" Target="media/63b0874baa515a42d15e2ec10c08fd58f085e0ab.jpg"/><Relationship Id="rId14" Type="http://schemas.openxmlformats.org/officeDocument/2006/relationships/image" Target="media/b802928cb509353ce12f3e18e093aadcdc495eae.jpg"/><Relationship Id="rId15" Type="http://schemas.openxmlformats.org/officeDocument/2006/relationships/image" Target="media/3046bcc60d9637414083529608baaa38ff803bcd.jpg"/><Relationship Id="rId16" Type="http://schemas.openxmlformats.org/officeDocument/2006/relationships/image" Target="media/dcc7dd475047b1c0e1c304ad45e03a3ca3d3ec25.png"/><Relationship Id="rId17" Type="http://schemas.openxmlformats.org/officeDocument/2006/relationships/image" Target="media/994d2fc9f349c4b5af83a1790b8f79f6820b9207.png"/><Relationship Id="rId18" Type="http://schemas.openxmlformats.org/officeDocument/2006/relationships/image" Target="media/feb0063c15fb817d54da8f9860c9e96ad04a96fb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2026-09-09T08:59:15.682Z</dcterms:created>
  <dcterms:modified xsi:type="dcterms:W3CDTF">2026-09-09T08:59:15.682Z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