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logic design comprises of three sub logic units: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Converting the input taken from the keyboard (ASCII value) to the hexadecimal value to provide it to the memory unit.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  <w:tab/>
        <w:t xml:space="preserve">Memory unit for the address generation. It contains addresses for 16 valid inputs + 1 address for the invalid input.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  <w:tab/>
        <w:t xml:space="preserve">Enabler circuit logic for the left to right column wise implementation of the LED matrix.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