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D22730"/>
          <w:sz w:val="44"/>
          <w:szCs w:val="44"/>
        </w:rPr>
        <w:t xml:space="preserve">TEFConnect Chatbot</w:t>
      </w:r>
    </w:p>
    <w:p>
      <w:pPr>
        <w:spacing w:after="260"/>
      </w:pPr>
      <w:r>
        <w:rPr>
          <w:color w:val="595959"/>
          <w:sz w:val="24"/>
          <w:szCs w:val="24"/>
        </w:rPr>
        <w:t xml:space="preserve">Knowledge Base — Introduction to the Tony Elumelu Foundation &amp; TEFConnect</w:t>
      </w:r>
    </w:p>
    <w:p>
      <w:pPr>
        <w:spacing w:after="200"/>
      </w:pPr>
      <w:r>
        <w:rPr>
          <w:i/>
          <w:iCs/>
          <w:color w:val="595959"/>
          <w:sz w:val="20"/>
          <w:szCs w:val="20"/>
        </w:rPr>
        <w:t xml:space="preserve">Purpose: This document gives a chatbot the core background knowledge it needs to answer general questions about the Tony Elumelu Foundation (TEF) and its digital platform, TEFConnect — who TEF is, what TEFConnect does, who uses it, and how it works.</w:t>
      </w:r>
    </w:p>
    <w:p>
      <w:pPr>
        <w:pStyle w:val="Heading1"/>
        <w:pBdr>
          <w:bottom w:val="single" w:color="D22730" w:sz="8" w:space="4"/>
        </w:pBdr>
        <w:spacing w:after="160" w:before="360"/>
      </w:pPr>
      <w:r>
        <w:rPr>
          <w:b/>
          <w:bCs/>
          <w:color w:val="D22730"/>
          <w:sz w:val="30"/>
          <w:szCs w:val="30"/>
        </w:rPr>
        <w:t xml:space="preserve">1. About the Tony Elumelu Foundation (TEF)</w:t>
      </w:r>
    </w:p>
    <w:p>
      <w:pPr>
        <w:spacing w:after="160" w:line="300"/>
      </w:pPr>
      <w:r>
        <w:rPr>
          <w:color w:val="1F1F1F"/>
          <w:sz w:val="22"/>
          <w:szCs w:val="22"/>
        </w:rPr>
        <w:t xml:space="preserve">The Tony Elumelu Foundation (TEF) is Africa's leading philanthropy dedicated to empowering young African entrepreneurs. TEF's work is rooted in Africapitalism — the belief that Africa's private sector, and entrepreneurs in particular, are the catalyst for the continent's long-term social and economic development.</w:t>
      </w:r>
    </w:p>
    <w:p>
      <w:pPr>
        <w:spacing w:after="160" w:line="300"/>
      </w:pPr>
      <w:r>
        <w:rPr>
          <w:color w:val="1F1F1F"/>
          <w:sz w:val="22"/>
          <w:szCs w:val="22"/>
        </w:rPr>
        <w:t xml:space="preserve">TEF is committed to fostering entrepreneurship across Africa, catalysing economic growth, and driving sustainable business development, one entrepreneur at a time.</w:t>
      </w:r>
    </w:p>
    <w:p>
      <w:pPr>
        <w:pStyle w:val="Heading2"/>
        <w:spacing w:after="120" w:before="260"/>
      </w:pPr>
      <w:r>
        <w:rPr>
          <w:b/>
          <w:bCs/>
          <w:color w:val="1F1F1F"/>
          <w:sz w:val="24"/>
          <w:szCs w:val="24"/>
        </w:rPr>
        <w:t xml:space="preserve">Track Record</w:t>
      </w:r>
    </w:p>
    <w:p>
      <w:pPr>
        <w:pStyle w:val="ListParagraph"/>
        <w:numPr>
          <w:ilvl w:val="0"/>
          <w:numId w:val="2"/>
        </w:numPr>
        <w:spacing w:after="80" w:line="280"/>
      </w:pPr>
      <w:r>
        <w:rPr>
          <w:color w:val="1F1F1F"/>
          <w:sz w:val="22"/>
          <w:szCs w:val="22"/>
        </w:rPr>
        <w:t xml:space="preserve">Since the TEF Entrepreneurship Programme launched in 2015, TEF has trained over 2.5 million young Africans.</w:t>
      </w:r>
    </w:p>
    <w:p>
      <w:pPr>
        <w:pStyle w:val="ListParagraph"/>
        <w:numPr>
          <w:ilvl w:val="0"/>
          <w:numId w:val="2"/>
        </w:numPr>
        <w:spacing w:after="80" w:line="280"/>
      </w:pPr>
      <w:r>
        <w:rPr>
          <w:color w:val="1F1F1F"/>
          <w:sz w:val="22"/>
          <w:szCs w:val="22"/>
        </w:rPr>
        <w:t xml:space="preserve">TEF has disbursed seed capital to over 24,000 entrepreneurs.</w:t>
      </w:r>
    </w:p>
    <w:p>
      <w:pPr>
        <w:pStyle w:val="ListParagraph"/>
        <w:numPr>
          <w:ilvl w:val="0"/>
          <w:numId w:val="2"/>
        </w:numPr>
        <w:spacing w:after="80" w:line="280"/>
      </w:pPr>
      <w:r>
        <w:rPr>
          <w:color w:val="1F1F1F"/>
          <w:sz w:val="22"/>
          <w:szCs w:val="22"/>
        </w:rPr>
        <w:t xml:space="preserve">TEF has reached entrepreneurs across all 54 African countries.</w:t>
      </w:r>
    </w:p>
    <w:p>
      <w:pPr>
        <w:spacing w:after="160" w:line="300"/>
      </w:pPr>
      <w:r>
        <w:rPr>
          <w:color w:val="1F1F1F"/>
          <w:sz w:val="22"/>
          <w:szCs w:val="22"/>
        </w:rPr>
        <w:t xml:space="preserve">These programmes give young entrepreneurs access to training, mentorship, and funding — the three pillars that TEF believes unlock entrepreneurial success at scale.</w:t>
      </w:r>
    </w:p>
    <w:p>
      <w:pPr>
        <w:pStyle w:val="Heading1"/>
        <w:pBdr>
          <w:bottom w:val="single" w:color="D22730" w:sz="8" w:space="4"/>
        </w:pBdr>
        <w:spacing w:after="160" w:before="360"/>
      </w:pPr>
      <w:r>
        <w:rPr>
          <w:b/>
          <w:bCs/>
          <w:color w:val="D22730"/>
          <w:sz w:val="30"/>
          <w:szCs w:val="30"/>
        </w:rPr>
        <w:t xml:space="preserve">2. About TEFConnect</w:t>
      </w:r>
    </w:p>
    <w:p>
      <w:pPr>
        <w:spacing w:after="160" w:line="300"/>
      </w:pPr>
      <w:r>
        <w:rPr>
          <w:color w:val="1F1F1F"/>
          <w:sz w:val="22"/>
          <w:szCs w:val="22"/>
        </w:rPr>
        <w:t xml:space="preserve">TEFConnect is the Tony Elumelu Foundation's digital platform and the primary channel through which TEF delivers its mission to African entrepreneurs. It is designed to be a one-stop ecosystem where entrepreneurs can access training, funding opportunities, and mentors, while also connecting with a wider community of peers, alumni, and investors across the continent.</w:t>
      </w:r>
    </w:p>
    <w:p>
      <w:pPr>
        <w:spacing w:after="160" w:line="300"/>
      </w:pPr>
      <w:r>
        <w:rPr>
          <w:color w:val="1F1F1F"/>
          <w:sz w:val="22"/>
          <w:szCs w:val="22"/>
        </w:rPr>
        <w:t xml:space="preserve">The platform is publicly accessible at www.tefconnect.com.</w:t>
      </w:r>
    </w:p>
    <w:p>
      <w:pPr>
        <w:pStyle w:val="Heading2"/>
        <w:spacing w:after="120" w:before="260"/>
      </w:pPr>
      <w:r>
        <w:rPr>
          <w:b/>
          <w:bCs/>
          <w:color w:val="1F1F1F"/>
          <w:sz w:val="24"/>
          <w:szCs w:val="24"/>
        </w:rPr>
        <w:t xml:space="preserve">How the Platform Has Evolved</w:t>
      </w:r>
    </w:p>
    <w:p>
      <w:pPr>
        <w:pStyle w:val="ListParagraph"/>
        <w:numPr>
          <w:ilvl w:val="0"/>
          <w:numId w:val="2"/>
        </w:numPr>
        <w:spacing w:after="80" w:line="280"/>
      </w:pPr>
      <w:r>
        <w:rPr>
          <w:b/>
          <w:bCs/>
          <w:color w:val="1F1F1F"/>
          <w:sz w:val="22"/>
          <w:szCs w:val="22"/>
        </w:rPr>
        <w:t xml:space="preserve">Version 3.0: </w:t>
      </w:r>
      <w:r>
        <w:rPr>
          <w:color w:val="1F1F1F"/>
          <w:sz w:val="22"/>
          <w:szCs w:val="22"/>
        </w:rPr>
        <w:t xml:space="preserve">Version 3.0 successfully supported over 368,000 concurrent users, built on ReactJS, NodeJS, and MySQL.</w:t>
      </w:r>
    </w:p>
    <w:p>
      <w:pPr>
        <w:pStyle w:val="ListParagraph"/>
        <w:numPr>
          <w:ilvl w:val="0"/>
          <w:numId w:val="2"/>
        </w:numPr>
        <w:spacing w:after="80" w:line="280"/>
      </w:pPr>
      <w:r>
        <w:rPr>
          <w:b/>
          <w:bCs/>
          <w:color w:val="1F1F1F"/>
          <w:sz w:val="22"/>
          <w:szCs w:val="22"/>
        </w:rPr>
        <w:t xml:space="preserve">Version 3.1: </w:t>
      </w:r>
      <w:r>
        <w:rPr>
          <w:color w:val="1F1F1F"/>
          <w:sz w:val="22"/>
          <w:szCs w:val="22"/>
        </w:rPr>
        <w:t xml:space="preserve">Version 3.1 is the next iteration, introducing new modules, enhanced workflows, and advanced data analytics to improve scalability, security, and performance, while adding AI-driven capabilities.</w:t>
      </w:r>
    </w:p>
    <w:p>
      <w:pPr>
        <w:spacing w:after="160" w:line="300"/>
      </w:pPr>
      <w:r>
        <w:rPr>
          <w:color w:val="1F1F1F"/>
          <w:sz w:val="22"/>
          <w:szCs w:val="22"/>
        </w:rPr>
        <w:t xml:space="preserve">As part of this evolution, TEF is integrating Artificial Intelligence to optimize core processes such as candidate verification, personalized training delivery, fraud detection, and seed capital disbursement — positioning TEFConnect as a next-generation platform for inclusive, intelligent entrepreneurship support across Africa.</w:t>
      </w:r>
    </w:p>
    <w:p>
      <w:pPr>
        <w:pStyle w:val="Heading1"/>
        <w:pBdr>
          <w:bottom w:val="single" w:color="D22730" w:sz="8" w:space="4"/>
        </w:pBdr>
        <w:spacing w:after="160" w:before="360"/>
      </w:pPr>
      <w:r>
        <w:rPr>
          <w:b/>
          <w:bCs/>
          <w:color w:val="D22730"/>
          <w:sz w:val="30"/>
          <w:szCs w:val="30"/>
        </w:rPr>
        <w:t xml:space="preserve">3. What You Can Do on TEFConnect (Core Modules)</w:t>
      </w:r>
    </w:p>
    <w:p>
      <w:pPr>
        <w:pStyle w:val="ListParagraph"/>
        <w:numPr>
          <w:ilvl w:val="0"/>
          <w:numId w:val="2"/>
        </w:numPr>
        <w:spacing w:after="80" w:line="280"/>
      </w:pPr>
      <w:r>
        <w:rPr>
          <w:b/>
          <w:bCs/>
          <w:color w:val="1F1F1F"/>
          <w:sz w:val="22"/>
          <w:szCs w:val="22"/>
        </w:rPr>
        <w:t xml:space="preserve">Pitching: </w:t>
      </w:r>
      <w:r>
        <w:rPr>
          <w:color w:val="1F1F1F"/>
          <w:sz w:val="22"/>
          <w:szCs w:val="22"/>
        </w:rPr>
        <w:t xml:space="preserve">Entrepreneurs can pitch their businesses, upload identification and pitch videos, and submit seed capital documents for review by TEF Judges. This includes the flagship TEF Pitching programme and the BeGreen Pitching programme.</w:t>
      </w:r>
    </w:p>
    <w:p>
      <w:pPr>
        <w:pStyle w:val="ListParagraph"/>
        <w:numPr>
          <w:ilvl w:val="0"/>
          <w:numId w:val="2"/>
        </w:numPr>
        <w:spacing w:after="80" w:line="280"/>
      </w:pPr>
      <w:r>
        <w:rPr>
          <w:b/>
          <w:bCs/>
          <w:color w:val="1F1F1F"/>
          <w:sz w:val="22"/>
          <w:szCs w:val="22"/>
        </w:rPr>
        <w:t xml:space="preserve">Verification: </w:t>
      </w:r>
      <w:r>
        <w:rPr>
          <w:color w:val="1F1F1F"/>
          <w:sz w:val="22"/>
          <w:szCs w:val="22"/>
        </w:rPr>
        <w:t xml:space="preserve">A physical verification process where trained enumerators confirm entrepreneurs' personal and business details before funding decisions are finalized.</w:t>
      </w:r>
    </w:p>
    <w:p>
      <w:pPr>
        <w:pStyle w:val="ListParagraph"/>
        <w:numPr>
          <w:ilvl w:val="0"/>
          <w:numId w:val="2"/>
        </w:numPr>
        <w:spacing w:after="80" w:line="280"/>
      </w:pPr>
      <w:r>
        <w:rPr>
          <w:b/>
          <w:bCs/>
          <w:color w:val="1F1F1F"/>
          <w:sz w:val="22"/>
          <w:szCs w:val="22"/>
        </w:rPr>
        <w:t xml:space="preserve">Training &amp; Learning (LMS): </w:t>
      </w:r>
      <w:r>
        <w:rPr>
          <w:color w:val="1F1F1F"/>
          <w:sz w:val="22"/>
          <w:szCs w:val="22"/>
        </w:rPr>
        <w:t xml:space="preserve">A dedicated Learning Management System (LMS) offering program-specific training — including Business Management Training and AI Business Training — with course progress tracking, assessments, and certificates.</w:t>
      </w:r>
    </w:p>
    <w:p>
      <w:pPr>
        <w:pStyle w:val="ListParagraph"/>
        <w:numPr>
          <w:ilvl w:val="0"/>
          <w:numId w:val="2"/>
        </w:numPr>
        <w:spacing w:after="80" w:line="280"/>
      </w:pPr>
      <w:r>
        <w:rPr>
          <w:b/>
          <w:bCs/>
          <w:color w:val="1F1F1F"/>
          <w:sz w:val="22"/>
          <w:szCs w:val="22"/>
        </w:rPr>
        <w:t xml:space="preserve">Alumni Community &amp; Networking: </w:t>
      </w:r>
      <w:r>
        <w:rPr>
          <w:color w:val="1F1F1F"/>
          <w:sz w:val="22"/>
          <w:szCs w:val="22"/>
        </w:rPr>
        <w:t xml:space="preserve">A professional network where entrepreneurs, mentors, investors, and alumni can build profiles, connect, join community groups, share posts, and access curated resources and opportunities.</w:t>
      </w:r>
    </w:p>
    <w:p>
      <w:pPr>
        <w:pStyle w:val="ListParagraph"/>
        <w:numPr>
          <w:ilvl w:val="0"/>
          <w:numId w:val="2"/>
        </w:numPr>
        <w:spacing w:after="80" w:line="280"/>
      </w:pPr>
      <w:r>
        <w:rPr>
          <w:b/>
          <w:bCs/>
          <w:color w:val="1F1F1F"/>
          <w:sz w:val="22"/>
          <w:szCs w:val="22"/>
        </w:rPr>
        <w:t xml:space="preserve">Mentorship: </w:t>
      </w:r>
      <w:r>
        <w:rPr>
          <w:color w:val="1F1F1F"/>
          <w:sz w:val="22"/>
          <w:szCs w:val="22"/>
        </w:rPr>
        <w:t xml:space="preserve">A structured programme connecting entrepreneurs (mentees) with experienced business mentors, supporting goal-setting, milestone tracking, and ongoing feedback.</w:t>
      </w:r>
    </w:p>
    <w:p>
      <w:pPr>
        <w:pStyle w:val="ListParagraph"/>
        <w:numPr>
          <w:ilvl w:val="0"/>
          <w:numId w:val="2"/>
        </w:numPr>
        <w:spacing w:after="80" w:line="280"/>
      </w:pPr>
      <w:r>
        <w:rPr>
          <w:b/>
          <w:bCs/>
          <w:color w:val="1F1F1F"/>
          <w:sz w:val="22"/>
          <w:szCs w:val="22"/>
        </w:rPr>
        <w:t xml:space="preserve">Finance &amp; Seed Capital: </w:t>
      </w:r>
      <w:r>
        <w:rPr>
          <w:color w:val="1F1F1F"/>
          <w:sz w:val="22"/>
          <w:szCs w:val="22"/>
        </w:rPr>
        <w:t xml:space="preserve">Tools for managing seed capital disbursement, budgets, and financial reporting for TEF's funding partners and programmes.</w:t>
      </w:r>
    </w:p>
    <w:p>
      <w:pPr>
        <w:pStyle w:val="ListParagraph"/>
        <w:numPr>
          <w:ilvl w:val="0"/>
          <w:numId w:val="2"/>
        </w:numPr>
        <w:spacing w:after="80" w:line="280"/>
      </w:pPr>
      <w:r>
        <w:rPr>
          <w:b/>
          <w:bCs/>
          <w:color w:val="1F1F1F"/>
          <w:sz w:val="22"/>
          <w:szCs w:val="22"/>
        </w:rPr>
        <w:t xml:space="preserve">Monitoring &amp; Evaluation (M&amp;E): </w:t>
      </w:r>
      <w:r>
        <w:rPr>
          <w:color w:val="1F1F1F"/>
          <w:sz w:val="22"/>
          <w:szCs w:val="22"/>
        </w:rPr>
        <w:t xml:space="preserve">Tools that track entrepreneur progress and program outcomes through surveys, assessments, and impact dashboards, both before and after funds are disbursed.</w:t>
      </w:r>
    </w:p>
    <w:p>
      <w:pPr>
        <w:spacing w:after="160" w:line="300"/>
      </w:pPr>
      <w:r>
        <w:rPr>
          <w:color w:val="1F1F1F"/>
          <w:sz w:val="22"/>
          <w:szCs w:val="22"/>
        </w:rPr>
        <w:t xml:space="preserve">The platform also includes an Admin Portal, which allows TEF staff to manage the different programmes, with department-based admin roles and access controls.</w:t>
      </w:r>
    </w:p>
    <w:p>
      <w:pPr>
        <w:pStyle w:val="Heading1"/>
        <w:pBdr>
          <w:bottom w:val="single" w:color="D22730" w:sz="8" w:space="4"/>
        </w:pBdr>
        <w:spacing w:after="160" w:before="360"/>
      </w:pPr>
      <w:r>
        <w:rPr>
          <w:b/>
          <w:bCs/>
          <w:color w:val="D22730"/>
          <w:sz w:val="30"/>
          <w:szCs w:val="30"/>
        </w:rPr>
        <w:t xml:space="preserve">4. Who Uses TEFConnect</w:t>
      </w:r>
    </w:p>
    <w:p>
      <w:pPr>
        <w:spacing w:after="160" w:line="300"/>
      </w:pPr>
      <w:r>
        <w:rPr>
          <w:color w:val="1F1F1F"/>
          <w:sz w:val="22"/>
          <w:szCs w:val="22"/>
        </w:rPr>
        <w:t xml:space="preserve">TEFConnect serves a wide range of users, each with a distinct role in the entrepreneurship ecosystem:</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400"/>
        <w:gridCol w:w="7100"/>
      </w:tblGrid>
      <w:tr>
        <w:tc>
          <w:tcPr>
            <w:tcW w:type="dxa" w:w="2400"/>
            <w:shd w:fill="D22730" w:val="clear"/>
            <w:tcMar>
              <w:top w:type="dxa" w:w="100"/>
              <w:left w:type="dxa" w:w="120"/>
              <w:bottom w:type="dxa" w:w="100"/>
              <w:right w:type="dxa" w:w="120"/>
            </w:tcMar>
          </w:tcPr>
          <w:p>
            <w:r>
              <w:rPr>
                <w:b/>
                <w:bCs/>
                <w:color w:val="FFFFFF"/>
                <w:sz w:val="20"/>
                <w:szCs w:val="20"/>
              </w:rPr>
              <w:t xml:space="preserve">User Type</w:t>
            </w:r>
          </w:p>
        </w:tc>
        <w:tc>
          <w:tcPr>
            <w:tcW w:type="dxa" w:w="7100"/>
            <w:shd w:fill="D22730" w:val="clear"/>
            <w:tcMar>
              <w:top w:type="dxa" w:w="100"/>
              <w:left w:type="dxa" w:w="120"/>
              <w:bottom w:type="dxa" w:w="100"/>
              <w:right w:type="dxa" w:w="120"/>
            </w:tcMar>
          </w:tcPr>
          <w:p>
            <w:r>
              <w:rPr>
                <w:b/>
                <w:bCs/>
                <w:color w:val="FFFFFF"/>
                <w:sz w:val="20"/>
                <w:szCs w:val="20"/>
              </w:rPr>
              <w:t xml:space="preserve">What They Do on TEFConnect</w:t>
            </w:r>
          </w:p>
        </w:tc>
      </w:tr>
      <w:tr>
        <w:tc>
          <w:tcPr>
            <w:tcW w:type="dxa" w:w="2400"/>
            <w:shd w:fill="FFFFFF" w:val="clear"/>
            <w:tcMar>
              <w:top w:type="dxa" w:w="100"/>
              <w:left w:type="dxa" w:w="120"/>
              <w:bottom w:type="dxa" w:w="100"/>
              <w:right w:type="dxa" w:w="120"/>
            </w:tcMar>
          </w:tcPr>
          <w:p>
            <w:r>
              <w:rPr>
                <w:b w:val="false"/>
                <w:bCs w:val="false"/>
                <w:color w:val="1F1F1F"/>
                <w:sz w:val="20"/>
                <w:szCs w:val="20"/>
              </w:rPr>
              <w:t xml:space="preserve">Entrepreneurs</w:t>
            </w:r>
          </w:p>
        </w:tc>
        <w:tc>
          <w:tcPr>
            <w:tcW w:type="dxa" w:w="7100"/>
            <w:shd w:fill="FFFFFF" w:val="clear"/>
            <w:tcMar>
              <w:top w:type="dxa" w:w="100"/>
              <w:left w:type="dxa" w:w="120"/>
              <w:bottom w:type="dxa" w:w="100"/>
              <w:right w:type="dxa" w:w="120"/>
            </w:tcMar>
          </w:tcPr>
          <w:p>
            <w:r>
              <w:rPr>
                <w:b w:val="false"/>
                <w:bCs w:val="false"/>
                <w:color w:val="1F1F1F"/>
                <w:sz w:val="20"/>
                <w:szCs w:val="20"/>
              </w:rPr>
              <w:t xml:space="preserve">Access mentorship, training, and funding; submit business plans and pitch videos; track their progress and share success stories.</w:t>
            </w:r>
          </w:p>
        </w:tc>
      </w:tr>
      <w:tr>
        <w:tc>
          <w:tcPr>
            <w:tcW w:type="dxa" w:w="2400"/>
            <w:shd w:fill="FFFFFF" w:val="clear"/>
            <w:tcMar>
              <w:top w:type="dxa" w:w="100"/>
              <w:left w:type="dxa" w:w="120"/>
              <w:bottom w:type="dxa" w:w="100"/>
              <w:right w:type="dxa" w:w="120"/>
            </w:tcMar>
          </w:tcPr>
          <w:p>
            <w:r>
              <w:rPr>
                <w:b w:val="false"/>
                <w:bCs w:val="false"/>
                <w:color w:val="1F1F1F"/>
                <w:sz w:val="20"/>
                <w:szCs w:val="20"/>
              </w:rPr>
              <w:t xml:space="preserve">Mentors</w:t>
            </w:r>
          </w:p>
        </w:tc>
        <w:tc>
          <w:tcPr>
            <w:tcW w:type="dxa" w:w="7100"/>
            <w:shd w:fill="FFFFFF" w:val="clear"/>
            <w:tcMar>
              <w:top w:type="dxa" w:w="100"/>
              <w:left w:type="dxa" w:w="120"/>
              <w:bottom w:type="dxa" w:w="100"/>
              <w:right w:type="dxa" w:w="120"/>
            </w:tcMar>
          </w:tcPr>
          <w:p>
            <w:r>
              <w:rPr>
                <w:b w:val="false"/>
                <w:bCs w:val="false"/>
                <w:color w:val="1F1F1F"/>
                <w:sz w:val="20"/>
                <w:szCs w:val="20"/>
              </w:rPr>
              <w:t xml:space="preserve">Guide entrepreneurs through structured mentorship, join community discussions, and track mentee progress.</w:t>
            </w:r>
          </w:p>
        </w:tc>
      </w:tr>
      <w:tr>
        <w:tc>
          <w:tcPr>
            <w:tcW w:type="dxa" w:w="2400"/>
            <w:shd w:fill="FFFFFF" w:val="clear"/>
            <w:tcMar>
              <w:top w:type="dxa" w:w="100"/>
              <w:left w:type="dxa" w:w="120"/>
              <w:bottom w:type="dxa" w:w="100"/>
              <w:right w:type="dxa" w:w="120"/>
            </w:tcMar>
          </w:tcPr>
          <w:p>
            <w:r>
              <w:rPr>
                <w:b w:val="false"/>
                <w:bCs w:val="false"/>
                <w:color w:val="1F1F1F"/>
                <w:sz w:val="20"/>
                <w:szCs w:val="20"/>
              </w:rPr>
              <w:t xml:space="preserve">Investors</w:t>
            </w:r>
          </w:p>
        </w:tc>
        <w:tc>
          <w:tcPr>
            <w:tcW w:type="dxa" w:w="7100"/>
            <w:shd w:fill="FFFFFF" w:val="clear"/>
            <w:tcMar>
              <w:top w:type="dxa" w:w="100"/>
              <w:left w:type="dxa" w:w="120"/>
              <w:bottom w:type="dxa" w:w="100"/>
              <w:right w:type="dxa" w:w="120"/>
            </w:tcMar>
          </w:tcPr>
          <w:p>
            <w:r>
              <w:rPr>
                <w:b w:val="false"/>
                <w:bCs w:val="false"/>
                <w:color w:val="1F1F1F"/>
                <w:sz w:val="20"/>
                <w:szCs w:val="20"/>
              </w:rPr>
              <w:t xml:space="preserve">Discover promising entrepreneurs, review business plans and pitches, and use platform analytics to spot high-potential ventures.</w:t>
            </w:r>
          </w:p>
        </w:tc>
      </w:tr>
      <w:tr>
        <w:tc>
          <w:tcPr>
            <w:tcW w:type="dxa" w:w="2400"/>
            <w:shd w:fill="FFFFFF" w:val="clear"/>
            <w:tcMar>
              <w:top w:type="dxa" w:w="100"/>
              <w:left w:type="dxa" w:w="120"/>
              <w:bottom w:type="dxa" w:w="100"/>
              <w:right w:type="dxa" w:w="120"/>
            </w:tcMar>
          </w:tcPr>
          <w:p>
            <w:r>
              <w:rPr>
                <w:b w:val="false"/>
                <w:bCs w:val="false"/>
                <w:color w:val="1F1F1F"/>
                <w:sz w:val="20"/>
                <w:szCs w:val="20"/>
              </w:rPr>
              <w:t xml:space="preserve">Alumni</w:t>
            </w:r>
          </w:p>
        </w:tc>
        <w:tc>
          <w:tcPr>
            <w:tcW w:type="dxa" w:w="7100"/>
            <w:shd w:fill="FFFFFF" w:val="clear"/>
            <w:tcMar>
              <w:top w:type="dxa" w:w="100"/>
              <w:left w:type="dxa" w:w="120"/>
              <w:bottom w:type="dxa" w:w="100"/>
              <w:right w:type="dxa" w:w="120"/>
            </w:tcMar>
          </w:tcPr>
          <w:p>
            <w:r>
              <w:rPr>
                <w:b w:val="false"/>
                <w:bCs w:val="false"/>
                <w:color w:val="1F1F1F"/>
                <w:sz w:val="20"/>
                <w:szCs w:val="20"/>
              </w:rPr>
              <w:t xml:space="preserve">Previously funded entrepreneurs who access exclusive resources, share success stories, and mentor newer entrepreneurs.</w:t>
            </w:r>
          </w:p>
        </w:tc>
      </w:tr>
      <w:tr>
        <w:tc>
          <w:tcPr>
            <w:tcW w:type="dxa" w:w="2400"/>
            <w:shd w:fill="FFFFFF" w:val="clear"/>
            <w:tcMar>
              <w:top w:type="dxa" w:w="100"/>
              <w:left w:type="dxa" w:w="120"/>
              <w:bottom w:type="dxa" w:w="100"/>
              <w:right w:type="dxa" w:w="120"/>
            </w:tcMar>
          </w:tcPr>
          <w:p>
            <w:r>
              <w:rPr>
                <w:b w:val="false"/>
                <w:bCs w:val="false"/>
                <w:color w:val="1F1F1F"/>
                <w:sz w:val="20"/>
                <w:szCs w:val="20"/>
              </w:rPr>
              <w:t xml:space="preserve">Platform Administrators</w:t>
            </w:r>
          </w:p>
        </w:tc>
        <w:tc>
          <w:tcPr>
            <w:tcW w:type="dxa" w:w="7100"/>
            <w:shd w:fill="FFFFFF" w:val="clear"/>
            <w:tcMar>
              <w:top w:type="dxa" w:w="100"/>
              <w:left w:type="dxa" w:w="120"/>
              <w:bottom w:type="dxa" w:w="100"/>
              <w:right w:type="dxa" w:w="120"/>
            </w:tcMar>
          </w:tcPr>
          <w:p>
            <w:r>
              <w:rPr>
                <w:b w:val="false"/>
                <w:bCs w:val="false"/>
                <w:color w:val="1F1F1F"/>
                <w:sz w:val="20"/>
                <w:szCs w:val="20"/>
              </w:rPr>
              <w:t xml:space="preserve">Manage user accounts, content, and overall platform governance and reporting.</w:t>
            </w:r>
          </w:p>
        </w:tc>
      </w:tr>
      <w:tr>
        <w:tc>
          <w:tcPr>
            <w:tcW w:type="dxa" w:w="2400"/>
            <w:shd w:fill="FFFFFF" w:val="clear"/>
            <w:tcMar>
              <w:top w:type="dxa" w:w="100"/>
              <w:left w:type="dxa" w:w="120"/>
              <w:bottom w:type="dxa" w:w="100"/>
              <w:right w:type="dxa" w:w="120"/>
            </w:tcMar>
          </w:tcPr>
          <w:p>
            <w:r>
              <w:rPr>
                <w:b w:val="false"/>
                <w:bCs w:val="false"/>
                <w:color w:val="1F1F1F"/>
                <w:sz w:val="20"/>
                <w:szCs w:val="20"/>
              </w:rPr>
              <w:t xml:space="preserve">Finance Team</w:t>
            </w:r>
          </w:p>
        </w:tc>
        <w:tc>
          <w:tcPr>
            <w:tcW w:type="dxa" w:w="7100"/>
            <w:shd w:fill="FFFFFF" w:val="clear"/>
            <w:tcMar>
              <w:top w:type="dxa" w:w="100"/>
              <w:left w:type="dxa" w:w="120"/>
              <w:bottom w:type="dxa" w:w="100"/>
              <w:right w:type="dxa" w:w="120"/>
            </w:tcMar>
          </w:tcPr>
          <w:p>
            <w:r>
              <w:rPr>
                <w:b w:val="false"/>
                <w:bCs w:val="false"/>
                <w:color w:val="1F1F1F"/>
                <w:sz w:val="20"/>
                <w:szCs w:val="20"/>
              </w:rPr>
              <w:t xml:space="preserve">Manage seed capital disbursements, budgets, and financial reporting.</w:t>
            </w:r>
          </w:p>
        </w:tc>
      </w:tr>
      <w:tr>
        <w:tc>
          <w:tcPr>
            <w:tcW w:type="dxa" w:w="2400"/>
            <w:shd w:fill="FFFFFF" w:val="clear"/>
            <w:tcMar>
              <w:top w:type="dxa" w:w="100"/>
              <w:left w:type="dxa" w:w="120"/>
              <w:bottom w:type="dxa" w:w="100"/>
              <w:right w:type="dxa" w:w="120"/>
            </w:tcMar>
          </w:tcPr>
          <w:p>
            <w:r>
              <w:rPr>
                <w:b w:val="false"/>
                <w:bCs w:val="false"/>
                <w:color w:val="1F1F1F"/>
                <w:sz w:val="20"/>
                <w:szCs w:val="20"/>
              </w:rPr>
              <w:t xml:space="preserve">Audit Team</w:t>
            </w:r>
          </w:p>
        </w:tc>
        <w:tc>
          <w:tcPr>
            <w:tcW w:type="dxa" w:w="7100"/>
            <w:shd w:fill="FFFFFF" w:val="clear"/>
            <w:tcMar>
              <w:top w:type="dxa" w:w="100"/>
              <w:left w:type="dxa" w:w="120"/>
              <w:bottom w:type="dxa" w:w="100"/>
              <w:right w:type="dxa" w:w="120"/>
            </w:tcMar>
          </w:tcPr>
          <w:p>
            <w:r>
              <w:rPr>
                <w:b w:val="false"/>
                <w:bCs w:val="false"/>
                <w:color w:val="1F1F1F"/>
                <w:sz w:val="20"/>
                <w:szCs w:val="20"/>
              </w:rPr>
              <w:t xml:space="preserve">Track system activity and maintain accountability logs across the platform.</w:t>
            </w:r>
          </w:p>
        </w:tc>
      </w:tr>
      <w:tr>
        <w:tc>
          <w:tcPr>
            <w:tcW w:type="dxa" w:w="2400"/>
            <w:shd w:fill="FFFFFF" w:val="clear"/>
            <w:tcMar>
              <w:top w:type="dxa" w:w="100"/>
              <w:left w:type="dxa" w:w="120"/>
              <w:bottom w:type="dxa" w:w="100"/>
              <w:right w:type="dxa" w:w="120"/>
            </w:tcMar>
          </w:tcPr>
          <w:p>
            <w:r>
              <w:rPr>
                <w:b w:val="false"/>
                <w:bCs w:val="false"/>
                <w:color w:val="1F1F1F"/>
                <w:sz w:val="20"/>
                <w:szCs w:val="20"/>
              </w:rPr>
              <w:t xml:space="preserve">Monitoring &amp; Evaluation (M&amp;E) Team</w:t>
            </w:r>
          </w:p>
        </w:tc>
        <w:tc>
          <w:tcPr>
            <w:tcW w:type="dxa" w:w="7100"/>
            <w:shd w:fill="FFFFFF" w:val="clear"/>
            <w:tcMar>
              <w:top w:type="dxa" w:w="100"/>
              <w:left w:type="dxa" w:w="120"/>
              <w:bottom w:type="dxa" w:w="100"/>
              <w:right w:type="dxa" w:w="120"/>
            </w:tcMar>
          </w:tcPr>
          <w:p>
            <w:r>
              <w:rPr>
                <w:b w:val="false"/>
                <w:bCs w:val="false"/>
                <w:color w:val="1F1F1F"/>
                <w:sz w:val="20"/>
                <w:szCs w:val="20"/>
              </w:rPr>
              <w:t xml:space="preserve">Track program outcomes, manage assessments, and generate performance insights.</w:t>
            </w:r>
          </w:p>
        </w:tc>
      </w:tr>
      <w:tr>
        <w:tc>
          <w:tcPr>
            <w:tcW w:type="dxa" w:w="2400"/>
            <w:shd w:fill="FFFFFF" w:val="clear"/>
            <w:tcMar>
              <w:top w:type="dxa" w:w="100"/>
              <w:left w:type="dxa" w:w="120"/>
              <w:bottom w:type="dxa" w:w="100"/>
              <w:right w:type="dxa" w:w="120"/>
            </w:tcMar>
          </w:tcPr>
          <w:p>
            <w:r>
              <w:rPr>
                <w:b w:val="false"/>
                <w:bCs w:val="false"/>
                <w:color w:val="1F1F1F"/>
                <w:sz w:val="20"/>
                <w:szCs w:val="20"/>
              </w:rPr>
              <w:t xml:space="preserve">Enumerators</w:t>
            </w:r>
          </w:p>
        </w:tc>
        <w:tc>
          <w:tcPr>
            <w:tcW w:type="dxa" w:w="7100"/>
            <w:shd w:fill="FFFFFF" w:val="clear"/>
            <w:tcMar>
              <w:top w:type="dxa" w:w="100"/>
              <w:left w:type="dxa" w:w="120"/>
              <w:bottom w:type="dxa" w:w="100"/>
              <w:right w:type="dxa" w:w="120"/>
            </w:tcMar>
          </w:tcPr>
          <w:p>
            <w:r>
              <w:rPr>
                <w:b w:val="false"/>
                <w:bCs w:val="false"/>
                <w:color w:val="1F1F1F"/>
                <w:sz w:val="20"/>
                <w:szCs w:val="20"/>
              </w:rPr>
              <w:t xml:space="preserve">Carry out in-person/field verification of entrepreneurs' personal and business details.</w:t>
            </w:r>
          </w:p>
        </w:tc>
      </w:tr>
      <w:tr>
        <w:tc>
          <w:tcPr>
            <w:tcW w:type="dxa" w:w="2400"/>
            <w:shd w:fill="FFFFFF" w:val="clear"/>
            <w:tcMar>
              <w:top w:type="dxa" w:w="100"/>
              <w:left w:type="dxa" w:w="120"/>
              <w:bottom w:type="dxa" w:w="100"/>
              <w:right w:type="dxa" w:w="120"/>
            </w:tcMar>
          </w:tcPr>
          <w:p>
            <w:r>
              <w:rPr>
                <w:b w:val="false"/>
                <w:bCs w:val="false"/>
                <w:color w:val="1F1F1F"/>
                <w:sz w:val="20"/>
                <w:szCs w:val="20"/>
              </w:rPr>
              <w:t xml:space="preserve">Reviewers</w:t>
            </w:r>
          </w:p>
        </w:tc>
        <w:tc>
          <w:tcPr>
            <w:tcW w:type="dxa" w:w="7100"/>
            <w:shd w:fill="FFFFFF" w:val="clear"/>
            <w:tcMar>
              <w:top w:type="dxa" w:w="100"/>
              <w:left w:type="dxa" w:w="120"/>
              <w:bottom w:type="dxa" w:w="100"/>
              <w:right w:type="dxa" w:w="120"/>
            </w:tcMar>
          </w:tcPr>
          <w:p>
            <w:r>
              <w:rPr>
                <w:b w:val="false"/>
                <w:bCs w:val="false"/>
                <w:color w:val="1F1F1F"/>
                <w:sz w:val="20"/>
                <w:szCs w:val="20"/>
              </w:rPr>
              <w:t xml:space="preserve">Assess business plans, pitch videos, and training submissions, and give feedback.</w:t>
            </w:r>
          </w:p>
        </w:tc>
      </w:tr>
    </w:tbl>
    <w:p>
      <w:pPr>
        <w:pStyle w:val="Heading1"/>
        <w:pBdr>
          <w:bottom w:val="single" w:color="D22730" w:sz="8" w:space="4"/>
        </w:pBdr>
        <w:spacing w:after="160" w:before="360"/>
      </w:pPr>
      <w:r>
        <w:rPr>
          <w:b/>
          <w:bCs/>
          <w:color w:val="D22730"/>
          <w:sz w:val="30"/>
          <w:szCs w:val="30"/>
        </w:rPr>
        <w:t xml:space="preserve">5. TEFConnect's AI-Driven Direction</w:t>
      </w:r>
    </w:p>
    <w:p>
      <w:pPr>
        <w:spacing w:after="160" w:line="300"/>
      </w:pPr>
      <w:r>
        <w:rPr>
          <w:color w:val="1F1F1F"/>
          <w:sz w:val="22"/>
          <w:szCs w:val="22"/>
        </w:rPr>
        <w:t xml:space="preserve">Alongside its core platform, TEF is building AI-powered capabilities to make TEFConnect faster, fairer, and more accessible, including:</w:t>
      </w:r>
    </w:p>
    <w:p>
      <w:pPr>
        <w:pStyle w:val="ListParagraph"/>
        <w:numPr>
          <w:ilvl w:val="0"/>
          <w:numId w:val="2"/>
        </w:numPr>
        <w:spacing w:after="80" w:line="280"/>
      </w:pPr>
      <w:r>
        <w:rPr>
          <w:b/>
          <w:bCs/>
          <w:color w:val="1F1F1F"/>
          <w:sz w:val="22"/>
          <w:szCs w:val="22"/>
        </w:rPr>
        <w:t xml:space="preserve">Applicant assistance: </w:t>
      </w:r>
      <w:r>
        <w:rPr>
          <w:color w:val="1F1F1F"/>
          <w:sz w:val="22"/>
          <w:szCs w:val="22"/>
        </w:rPr>
        <w:t xml:space="preserve">An AI chatbot to guide applicants through the entrepreneurship application process, answer FAQs, and escalate complex issues to human support.</w:t>
      </w:r>
    </w:p>
    <w:p>
      <w:pPr>
        <w:pStyle w:val="ListParagraph"/>
        <w:numPr>
          <w:ilvl w:val="0"/>
          <w:numId w:val="2"/>
        </w:numPr>
        <w:spacing w:after="80" w:line="280"/>
      </w:pPr>
      <w:r>
        <w:rPr>
          <w:b/>
          <w:bCs/>
          <w:color w:val="1F1F1F"/>
          <w:sz w:val="22"/>
          <w:szCs w:val="22"/>
        </w:rPr>
        <w:t xml:space="preserve">Automated verification: </w:t>
      </w:r>
      <w:r>
        <w:rPr>
          <w:color w:val="1F1F1F"/>
          <w:sz w:val="22"/>
          <w:szCs w:val="22"/>
        </w:rPr>
        <w:t xml:space="preserve">Faster, more accurate document and identity verification, including OCR and fraud detection for submitted documents.</w:t>
      </w:r>
    </w:p>
    <w:p>
      <w:pPr>
        <w:pStyle w:val="ListParagraph"/>
        <w:numPr>
          <w:ilvl w:val="0"/>
          <w:numId w:val="2"/>
        </w:numPr>
        <w:spacing w:after="80" w:line="280"/>
      </w:pPr>
      <w:r>
        <w:rPr>
          <w:b/>
          <w:bCs/>
          <w:color w:val="1F1F1F"/>
          <w:sz w:val="22"/>
          <w:szCs w:val="22"/>
        </w:rPr>
        <w:t xml:space="preserve">Fairer selection: </w:t>
      </w:r>
      <w:r>
        <w:rPr>
          <w:color w:val="1F1F1F"/>
          <w:sz w:val="22"/>
          <w:szCs w:val="22"/>
        </w:rPr>
        <w:t xml:space="preserve">AI-assisted evaluation of applications and business plans, with bias-reduction techniques such as anonymized reviews.</w:t>
      </w:r>
    </w:p>
    <w:p>
      <w:pPr>
        <w:pStyle w:val="ListParagraph"/>
        <w:numPr>
          <w:ilvl w:val="0"/>
          <w:numId w:val="2"/>
        </w:numPr>
        <w:spacing w:after="80" w:line="280"/>
      </w:pPr>
      <w:r>
        <w:rPr>
          <w:b/>
          <w:bCs/>
          <w:color w:val="1F1F1F"/>
          <w:sz w:val="22"/>
          <w:szCs w:val="22"/>
        </w:rPr>
        <w:t xml:space="preserve">Mentor matching: </w:t>
      </w:r>
      <w:r>
        <w:rPr>
          <w:color w:val="1F1F1F"/>
          <w:sz w:val="22"/>
          <w:szCs w:val="22"/>
        </w:rPr>
        <w:t xml:space="preserve">Smarter pairing of entrepreneurs with mentors based on sector, goals, and profile.</w:t>
      </w:r>
    </w:p>
    <w:p>
      <w:pPr>
        <w:pStyle w:val="ListParagraph"/>
        <w:numPr>
          <w:ilvl w:val="0"/>
          <w:numId w:val="2"/>
        </w:numPr>
        <w:spacing w:after="80" w:line="280"/>
      </w:pPr>
      <w:r>
        <w:rPr>
          <w:b/>
          <w:bCs/>
          <w:color w:val="1F1F1F"/>
          <w:sz w:val="22"/>
          <w:szCs w:val="22"/>
        </w:rPr>
        <w:t xml:space="preserve">Personalized learning: </w:t>
      </w:r>
      <w:r>
        <w:rPr>
          <w:color w:val="1F1F1F"/>
          <w:sz w:val="22"/>
          <w:szCs w:val="22"/>
        </w:rPr>
        <w:t xml:space="preserve">AI-curated courses and content recommendations tailored to each entrepreneur's goals and progress.</w:t>
      </w:r>
    </w:p>
    <w:p>
      <w:pPr>
        <w:pStyle w:val="ListParagraph"/>
        <w:numPr>
          <w:ilvl w:val="0"/>
          <w:numId w:val="2"/>
        </w:numPr>
        <w:spacing w:after="80" w:line="280"/>
      </w:pPr>
      <w:r>
        <w:rPr>
          <w:b/>
          <w:bCs/>
          <w:color w:val="1F1F1F"/>
          <w:sz w:val="22"/>
          <w:szCs w:val="22"/>
        </w:rPr>
        <w:t xml:space="preserve">Multilingual access: </w:t>
      </w:r>
      <w:r>
        <w:rPr>
          <w:color w:val="1F1F1F"/>
          <w:sz w:val="22"/>
          <w:szCs w:val="22"/>
        </w:rPr>
        <w:t xml:space="preserve">Multilingual support across English, French, Portuguese, and Arabic, to serve entrepreneurs across the continent.</w:t>
      </w:r>
    </w:p>
    <w:p>
      <w:pPr>
        <w:pStyle w:val="Heading1"/>
        <w:pBdr>
          <w:bottom w:val="single" w:color="D22730" w:sz="8" w:space="4"/>
        </w:pBdr>
        <w:spacing w:after="160" w:before="360"/>
      </w:pPr>
      <w:r>
        <w:rPr>
          <w:b/>
          <w:bCs/>
          <w:color w:val="D22730"/>
          <w:sz w:val="30"/>
          <w:szCs w:val="30"/>
        </w:rPr>
        <w:t xml:space="preserve">6. Quick Facts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6300"/>
      </w:tblGrid>
      <w:tr>
        <w:tc>
          <w:tcPr>
            <w:tcW w:type="dxa" w:w="3200"/>
            <w:shd w:fill="D22730" w:val="clear"/>
            <w:tcMar>
              <w:top w:type="dxa" w:w="100"/>
              <w:left w:type="dxa" w:w="120"/>
              <w:bottom w:type="dxa" w:w="100"/>
              <w:right w:type="dxa" w:w="120"/>
            </w:tcMar>
          </w:tcPr>
          <w:p>
            <w:r>
              <w:rPr>
                <w:b/>
                <w:bCs/>
                <w:color w:val="FFFFFF"/>
                <w:sz w:val="20"/>
                <w:szCs w:val="20"/>
              </w:rPr>
              <w:t xml:space="preserve">Fact</w:t>
            </w:r>
          </w:p>
        </w:tc>
        <w:tc>
          <w:tcPr>
            <w:tcW w:type="dxa" w:w="6300"/>
            <w:shd w:fill="D22730" w:val="clear"/>
            <w:tcMar>
              <w:top w:type="dxa" w:w="100"/>
              <w:left w:type="dxa" w:w="120"/>
              <w:bottom w:type="dxa" w:w="100"/>
              <w:right w:type="dxa" w:w="120"/>
            </w:tcMar>
          </w:tcPr>
          <w:p>
            <w:r>
              <w:rPr>
                <w:b/>
                <w:bCs/>
                <w:color w:val="FFFFFF"/>
                <w:sz w:val="20"/>
                <w:szCs w:val="20"/>
              </w:rPr>
              <w:t xml:space="preserve">Detail</w:t>
            </w:r>
          </w:p>
        </w:tc>
      </w:tr>
      <w:tr>
        <w:tc>
          <w:tcPr>
            <w:tcW w:type="dxa" w:w="3200"/>
            <w:shd w:fill="FFFFFF" w:val="clear"/>
            <w:tcMar>
              <w:top w:type="dxa" w:w="100"/>
              <w:left w:type="dxa" w:w="120"/>
              <w:bottom w:type="dxa" w:w="100"/>
              <w:right w:type="dxa" w:w="120"/>
            </w:tcMar>
          </w:tcPr>
          <w:p>
            <w:r>
              <w:rPr>
                <w:b w:val="false"/>
                <w:bCs w:val="false"/>
                <w:color w:val="1F1F1F"/>
                <w:sz w:val="20"/>
                <w:szCs w:val="20"/>
              </w:rPr>
              <w:t xml:space="preserve">Organization</w:t>
            </w:r>
          </w:p>
        </w:tc>
        <w:tc>
          <w:tcPr>
            <w:tcW w:type="dxa" w:w="6300"/>
            <w:shd w:fill="FFFFFF" w:val="clear"/>
            <w:tcMar>
              <w:top w:type="dxa" w:w="100"/>
              <w:left w:type="dxa" w:w="120"/>
              <w:bottom w:type="dxa" w:w="100"/>
              <w:right w:type="dxa" w:w="120"/>
            </w:tcMar>
          </w:tcPr>
          <w:p>
            <w:r>
              <w:rPr>
                <w:b w:val="false"/>
                <w:bCs w:val="false"/>
                <w:color w:val="1F1F1F"/>
                <w:sz w:val="20"/>
                <w:szCs w:val="20"/>
              </w:rPr>
              <w:t xml:space="preserve">Tony Elumelu Foundation (TEF) — Africa's leading entrepreneurship philanthropy</w:t>
            </w:r>
          </w:p>
        </w:tc>
      </w:tr>
      <w:tr>
        <w:tc>
          <w:tcPr>
            <w:tcW w:type="dxa" w:w="3200"/>
            <w:shd w:fill="FFFFFF" w:val="clear"/>
            <w:tcMar>
              <w:top w:type="dxa" w:w="100"/>
              <w:left w:type="dxa" w:w="120"/>
              <w:bottom w:type="dxa" w:w="100"/>
              <w:right w:type="dxa" w:w="120"/>
            </w:tcMar>
          </w:tcPr>
          <w:p>
            <w:r>
              <w:rPr>
                <w:b w:val="false"/>
                <w:bCs w:val="false"/>
                <w:color w:val="1F1F1F"/>
                <w:sz w:val="20"/>
                <w:szCs w:val="20"/>
              </w:rPr>
              <w:t xml:space="preserve">Guiding philosophy</w:t>
            </w:r>
          </w:p>
        </w:tc>
        <w:tc>
          <w:tcPr>
            <w:tcW w:type="dxa" w:w="6300"/>
            <w:shd w:fill="FFFFFF" w:val="clear"/>
            <w:tcMar>
              <w:top w:type="dxa" w:w="100"/>
              <w:left w:type="dxa" w:w="120"/>
              <w:bottom w:type="dxa" w:w="100"/>
              <w:right w:type="dxa" w:w="120"/>
            </w:tcMar>
          </w:tcPr>
          <w:p>
            <w:r>
              <w:rPr>
                <w:b w:val="false"/>
                <w:bCs w:val="false"/>
                <w:color w:val="1F1F1F"/>
                <w:sz w:val="20"/>
                <w:szCs w:val="20"/>
              </w:rPr>
              <w:t xml:space="preserve">Africapitalism — the private sector, especially entrepreneurs, as the catalyst for Africa's development</w:t>
            </w:r>
          </w:p>
        </w:tc>
      </w:tr>
      <w:tr>
        <w:tc>
          <w:tcPr>
            <w:tcW w:type="dxa" w:w="3200"/>
            <w:shd w:fill="FFFFFF" w:val="clear"/>
            <w:tcMar>
              <w:top w:type="dxa" w:w="100"/>
              <w:left w:type="dxa" w:w="120"/>
              <w:bottom w:type="dxa" w:w="100"/>
              <w:right w:type="dxa" w:w="120"/>
            </w:tcMar>
          </w:tcPr>
          <w:p>
            <w:r>
              <w:rPr>
                <w:b w:val="false"/>
                <w:bCs w:val="false"/>
                <w:color w:val="1F1F1F"/>
                <w:sz w:val="20"/>
                <w:szCs w:val="20"/>
              </w:rPr>
              <w:t xml:space="preserve">Flagship programme</w:t>
            </w:r>
          </w:p>
        </w:tc>
        <w:tc>
          <w:tcPr>
            <w:tcW w:type="dxa" w:w="6300"/>
            <w:shd w:fill="FFFFFF" w:val="clear"/>
            <w:tcMar>
              <w:top w:type="dxa" w:w="100"/>
              <w:left w:type="dxa" w:w="120"/>
              <w:bottom w:type="dxa" w:w="100"/>
              <w:right w:type="dxa" w:w="120"/>
            </w:tcMar>
          </w:tcPr>
          <w:p>
            <w:r>
              <w:rPr>
                <w:b w:val="false"/>
                <w:bCs w:val="false"/>
                <w:color w:val="1F1F1F"/>
                <w:sz w:val="20"/>
                <w:szCs w:val="20"/>
              </w:rPr>
              <w:t xml:space="preserve">TEF Entrepreneurship Programme, launched in 2015</w:t>
            </w:r>
          </w:p>
        </w:tc>
      </w:tr>
      <w:tr>
        <w:tc>
          <w:tcPr>
            <w:tcW w:type="dxa" w:w="3200"/>
            <w:shd w:fill="FFFFFF" w:val="clear"/>
            <w:tcMar>
              <w:top w:type="dxa" w:w="100"/>
              <w:left w:type="dxa" w:w="120"/>
              <w:bottom w:type="dxa" w:w="100"/>
              <w:right w:type="dxa" w:w="120"/>
            </w:tcMar>
          </w:tcPr>
          <w:p>
            <w:r>
              <w:rPr>
                <w:b w:val="false"/>
                <w:bCs w:val="false"/>
                <w:color w:val="1F1F1F"/>
                <w:sz w:val="20"/>
                <w:szCs w:val="20"/>
              </w:rPr>
              <w:t xml:space="preserve">Entrepreneurs trained</w:t>
            </w:r>
          </w:p>
        </w:tc>
        <w:tc>
          <w:tcPr>
            <w:tcW w:type="dxa" w:w="6300"/>
            <w:shd w:fill="FFFFFF" w:val="clear"/>
            <w:tcMar>
              <w:top w:type="dxa" w:w="100"/>
              <w:left w:type="dxa" w:w="120"/>
              <w:bottom w:type="dxa" w:w="100"/>
              <w:right w:type="dxa" w:w="120"/>
            </w:tcMar>
          </w:tcPr>
          <w:p>
            <w:r>
              <w:rPr>
                <w:b w:val="false"/>
                <w:bCs w:val="false"/>
                <w:color w:val="1F1F1F"/>
                <w:sz w:val="20"/>
                <w:szCs w:val="20"/>
              </w:rPr>
              <w:t xml:space="preserve">Over 2.5 million young Africans</w:t>
            </w:r>
          </w:p>
        </w:tc>
      </w:tr>
      <w:tr>
        <w:tc>
          <w:tcPr>
            <w:tcW w:type="dxa" w:w="3200"/>
            <w:shd w:fill="FFFFFF" w:val="clear"/>
            <w:tcMar>
              <w:top w:type="dxa" w:w="100"/>
              <w:left w:type="dxa" w:w="120"/>
              <w:bottom w:type="dxa" w:w="100"/>
              <w:right w:type="dxa" w:w="120"/>
            </w:tcMar>
          </w:tcPr>
          <w:p>
            <w:r>
              <w:rPr>
                <w:b w:val="false"/>
                <w:bCs w:val="false"/>
                <w:color w:val="1F1F1F"/>
                <w:sz w:val="20"/>
                <w:szCs w:val="20"/>
              </w:rPr>
              <w:t xml:space="preserve">Entrepreneurs funded</w:t>
            </w:r>
          </w:p>
        </w:tc>
        <w:tc>
          <w:tcPr>
            <w:tcW w:type="dxa" w:w="6300"/>
            <w:shd w:fill="FFFFFF" w:val="clear"/>
            <w:tcMar>
              <w:top w:type="dxa" w:w="100"/>
              <w:left w:type="dxa" w:w="120"/>
              <w:bottom w:type="dxa" w:w="100"/>
              <w:right w:type="dxa" w:w="120"/>
            </w:tcMar>
          </w:tcPr>
          <w:p>
            <w:r>
              <w:rPr>
                <w:b w:val="false"/>
                <w:bCs w:val="false"/>
                <w:color w:val="1F1F1F"/>
                <w:sz w:val="20"/>
                <w:szCs w:val="20"/>
              </w:rPr>
              <w:t xml:space="preserve">Over 24,000, with seed capital disbursed</w:t>
            </w:r>
          </w:p>
        </w:tc>
      </w:tr>
      <w:tr>
        <w:tc>
          <w:tcPr>
            <w:tcW w:type="dxa" w:w="3200"/>
            <w:shd w:fill="FFFFFF" w:val="clear"/>
            <w:tcMar>
              <w:top w:type="dxa" w:w="100"/>
              <w:left w:type="dxa" w:w="120"/>
              <w:bottom w:type="dxa" w:w="100"/>
              <w:right w:type="dxa" w:w="120"/>
            </w:tcMar>
          </w:tcPr>
          <w:p>
            <w:r>
              <w:rPr>
                <w:b w:val="false"/>
                <w:bCs w:val="false"/>
                <w:color w:val="1F1F1F"/>
                <w:sz w:val="20"/>
                <w:szCs w:val="20"/>
              </w:rPr>
              <w:t xml:space="preserve">Geographic reach</w:t>
            </w:r>
          </w:p>
        </w:tc>
        <w:tc>
          <w:tcPr>
            <w:tcW w:type="dxa" w:w="6300"/>
            <w:shd w:fill="FFFFFF" w:val="clear"/>
            <w:tcMar>
              <w:top w:type="dxa" w:w="100"/>
              <w:left w:type="dxa" w:w="120"/>
              <w:bottom w:type="dxa" w:w="100"/>
              <w:right w:type="dxa" w:w="120"/>
            </w:tcMar>
          </w:tcPr>
          <w:p>
            <w:r>
              <w:rPr>
                <w:b w:val="false"/>
                <w:bCs w:val="false"/>
                <w:color w:val="1F1F1F"/>
                <w:sz w:val="20"/>
                <w:szCs w:val="20"/>
              </w:rPr>
              <w:t xml:space="preserve">All 54 African countries</w:t>
            </w:r>
          </w:p>
        </w:tc>
      </w:tr>
      <w:tr>
        <w:tc>
          <w:tcPr>
            <w:tcW w:type="dxa" w:w="3200"/>
            <w:shd w:fill="FFFFFF" w:val="clear"/>
            <w:tcMar>
              <w:top w:type="dxa" w:w="100"/>
              <w:left w:type="dxa" w:w="120"/>
              <w:bottom w:type="dxa" w:w="100"/>
              <w:right w:type="dxa" w:w="120"/>
            </w:tcMar>
          </w:tcPr>
          <w:p>
            <w:r>
              <w:rPr>
                <w:b w:val="false"/>
                <w:bCs w:val="false"/>
                <w:color w:val="1F1F1F"/>
                <w:sz w:val="20"/>
                <w:szCs w:val="20"/>
              </w:rPr>
              <w:t xml:space="preserve">Digital platform</w:t>
            </w:r>
          </w:p>
        </w:tc>
        <w:tc>
          <w:tcPr>
            <w:tcW w:type="dxa" w:w="6300"/>
            <w:shd w:fill="FFFFFF" w:val="clear"/>
            <w:tcMar>
              <w:top w:type="dxa" w:w="100"/>
              <w:left w:type="dxa" w:w="120"/>
              <w:bottom w:type="dxa" w:w="100"/>
              <w:right w:type="dxa" w:w="120"/>
            </w:tcMar>
          </w:tcPr>
          <w:p>
            <w:r>
              <w:rPr>
                <w:b w:val="false"/>
                <w:bCs w:val="false"/>
                <w:color w:val="1F1F1F"/>
                <w:sz w:val="20"/>
                <w:szCs w:val="20"/>
              </w:rPr>
              <w:t xml:space="preserve">TEFConnect (www.tefconnect.com)</w:t>
            </w:r>
          </w:p>
        </w:tc>
      </w:tr>
      <w:tr>
        <w:tc>
          <w:tcPr>
            <w:tcW w:type="dxa" w:w="3200"/>
            <w:shd w:fill="FFFFFF" w:val="clear"/>
            <w:tcMar>
              <w:top w:type="dxa" w:w="100"/>
              <w:left w:type="dxa" w:w="120"/>
              <w:bottom w:type="dxa" w:w="100"/>
              <w:right w:type="dxa" w:w="120"/>
            </w:tcMar>
          </w:tcPr>
          <w:p>
            <w:r>
              <w:rPr>
                <w:b w:val="false"/>
                <w:bCs w:val="false"/>
                <w:color w:val="1F1F1F"/>
                <w:sz w:val="20"/>
                <w:szCs w:val="20"/>
              </w:rPr>
              <w:t xml:space="preserve">Platform pillars</w:t>
            </w:r>
          </w:p>
        </w:tc>
        <w:tc>
          <w:tcPr>
            <w:tcW w:type="dxa" w:w="6300"/>
            <w:shd w:fill="FFFFFF" w:val="clear"/>
            <w:tcMar>
              <w:top w:type="dxa" w:w="100"/>
              <w:left w:type="dxa" w:w="120"/>
              <w:bottom w:type="dxa" w:w="100"/>
              <w:right w:type="dxa" w:w="120"/>
            </w:tcMar>
          </w:tcPr>
          <w:p>
            <w:r>
              <w:rPr>
                <w:b w:val="false"/>
                <w:bCs w:val="false"/>
                <w:color w:val="1F1F1F"/>
                <w:sz w:val="20"/>
                <w:szCs w:val="20"/>
              </w:rPr>
              <w:t xml:space="preserve">Training, mentorship, funding, and community</w:t>
            </w:r>
          </w:p>
        </w:tc>
      </w:tr>
      <w:tr>
        <w:tc>
          <w:tcPr>
            <w:tcW w:type="dxa" w:w="3200"/>
            <w:shd w:fill="FFFFFF" w:val="clear"/>
            <w:tcMar>
              <w:top w:type="dxa" w:w="100"/>
              <w:left w:type="dxa" w:w="120"/>
              <w:bottom w:type="dxa" w:w="100"/>
              <w:right w:type="dxa" w:w="120"/>
            </w:tcMar>
          </w:tcPr>
          <w:p>
            <w:r>
              <w:rPr>
                <w:b w:val="false"/>
                <w:bCs w:val="false"/>
                <w:color w:val="1F1F1F"/>
                <w:sz w:val="20"/>
                <w:szCs w:val="20"/>
              </w:rPr>
              <w:t xml:space="preserve">Current platform version</w:t>
            </w:r>
          </w:p>
        </w:tc>
        <w:tc>
          <w:tcPr>
            <w:tcW w:type="dxa" w:w="6300"/>
            <w:shd w:fill="FFFFFF" w:val="clear"/>
            <w:tcMar>
              <w:top w:type="dxa" w:w="100"/>
              <w:left w:type="dxa" w:w="120"/>
              <w:bottom w:type="dxa" w:w="100"/>
              <w:right w:type="dxa" w:w="120"/>
            </w:tcMar>
          </w:tcPr>
          <w:p>
            <w:r>
              <w:rPr>
                <w:b w:val="false"/>
                <w:bCs w:val="false"/>
                <w:color w:val="1F1F1F"/>
                <w:sz w:val="20"/>
                <w:szCs w:val="20"/>
              </w:rPr>
              <w:t xml:space="preserve">Version 3.1 — scalable, AI-enhanced evolution of Version 3.0</w:t>
            </w:r>
          </w:p>
        </w:tc>
      </w:tr>
    </w:tbl>
    <w:p>
      <w:pPr>
        <w:spacing w:after="200"/>
      </w:pPr>
      <w:r>
        <w:rPr>
          <w:i/>
          <w:iCs/>
          <w:color w:val="595959"/>
          <w:sz w:val="20"/>
          <w:szCs w:val="20"/>
        </w:rPr>
        <w:t xml:space="preserve">Source: Adapted from the Tony Elumelu Foundation's Request for Proposals for Software Development Services (TEFConnect Version 3.1). Vendor-, procurement-, and technical-implementation-specific details have been omitted, as this document is intended purely as background knowledge for a conversational assistant.</w:t>
      </w:r>
    </w:p>
    <w:sectPr>
      <w:pgSz w:w="12240" w:h="15840"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2026-07-15T12:03:33.345Z</dcterms:created>
  <dcterms:modified xsi:type="dcterms:W3CDTF">2026-07-15T12:03:33.363Z</dcterms:modified>
</cp:coreProperties>
</file>

<file path=docProps/custom.xml><?xml version="1.0" encoding="utf-8"?>
<Properties xmlns="http://schemas.openxmlformats.org/officeDocument/2006/custom-properties" xmlns:vt="http://schemas.openxmlformats.org/officeDocument/2006/docPropsVTypes"/>
</file>