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15C00"/>
          <w:sz w:val="46"/>
        </w:rPr>
        <w:t>WEEK 1 TASK REPORT</w:t>
      </w:r>
    </w:p>
    <w:p>
      <w:pPr>
        <w:jc w:val="center"/>
      </w:pPr>
      <w:r>
        <w:rPr>
          <w:b/>
          <w:sz w:val="32"/>
        </w:rPr>
        <w:t>Data Analysis Strategy and Planning</w:t>
      </w:r>
    </w:p>
    <w:p>
      <w:pPr>
        <w:jc w:val="center"/>
      </w:pPr>
      <w:r>
        <w:rPr>
          <w:i/>
        </w:rPr>
        <w:t>Project Topic: Exploring Electric Vehicle Adoption and Charging Infrastructure in India</w:t>
      </w:r>
    </w:p>
    <w:p>
      <w:r>
        <w:t>Prepared by: Mansi [Add your full name if required]</w:t>
      </w:r>
    </w:p>
    <w:p>
      <w:r>
        <w:t>Task type: Planning and research document | Proposed tools: Python, Pandas, NumPy, Matplotlib, Seaborn</w:t>
      </w:r>
    </w:p>
    <w:p>
      <w:r>
        <w:t>Note: This report defines a proposed analysis strategy. It does not claim that the full data analysis has already been performed. Findings will be established only after the selected public datasets are downloaded, checked, and analysed.</w:t>
      </w:r>
    </w:p>
    <w:p>
      <w:pPr>
        <w:pStyle w:val="Heading1"/>
      </w:pPr>
      <w:r>
        <w:t>1. Introduction</w:t>
      </w:r>
    </w:p>
    <w:p>
      <w:r>
        <w:t>Electric vehicles (EVs) are becoming an important part of the transition towards cleaner transportation. Their adoption can be influenced by several factors, including purchase cost, charging availability, vehicle type, public awareness, government policies, and differences between states. Looking at registrations and charging infrastructure together can help explain where electric mobility is developing and where gaps may remain.</w:t>
      </w:r>
    </w:p>
    <w:p>
      <w:r>
        <w:t>This project proposes a data-driven study of EV adoption in India using publicly available information. The purpose is not to prove that one factor causes EV adoption, but to identify patterns, compare states and vehicle categories, and prepare evidence-based observations that can support further investigation.</w:t>
      </w:r>
    </w:p>
    <w:p>
      <w:pPr>
        <w:pStyle w:val="Heading1"/>
      </w:pPr>
      <w:r>
        <w:t>2. Problem Statement</w:t>
      </w:r>
    </w:p>
    <w:p>
      <w:r>
        <w:t>EV adoption and public charging infrastructure may not be growing at the same pace across all Indian states and vehicle categories. Publicly available information is spread across government dashboards and reports, and the formats, time periods, and definitions may differ. The problem is to create a systematic analysis plan for collecting comparable data, checking its quality, and examining trends in EV registrations and charging infrastructure. The study will investigate: (1) how EV registrations change over time, (2) how adoption varies across states and vehicle categories, and (3) whether states with more public charging points also show higher EV registration levels. Any relationship found will be described as an association, not proof of causation.</w:t>
      </w:r>
    </w:p>
    <w:p>
      <w:pPr>
        <w:pStyle w:val="Heading1"/>
      </w:pPr>
      <w:r>
        <w:t>3. Objectives</w:t>
      </w:r>
    </w:p>
    <w:p>
      <w:pPr>
        <w:pStyle w:val="ListBullet"/>
      </w:pPr>
      <w:r>
        <w:t>Identify reliable public data sources for EV registrations, state-level adoption, and charging infrastructure.</w:t>
      </w:r>
    </w:p>
    <w:p>
      <w:pPr>
        <w:pStyle w:val="ListBullet"/>
      </w:pPr>
      <w:r>
        <w:t>Review existing reports and research to understand known drivers and barriers to EV adoption.</w:t>
      </w:r>
    </w:p>
    <w:p>
      <w:pPr>
        <w:pStyle w:val="ListBullet"/>
      </w:pPr>
      <w:r>
        <w:t>Plan data cleaning checks for missing values, duplicate records, inconsistent state names, dates, and units.</w:t>
      </w:r>
    </w:p>
    <w:p>
      <w:pPr>
        <w:pStyle w:val="ListBullet"/>
      </w:pPr>
      <w:r>
        <w:t>Use descriptive statistics and visualizations to compare trends across years, states, and vehicle categories.</w:t>
      </w:r>
    </w:p>
    <w:p>
      <w:pPr>
        <w:pStyle w:val="ListBullet"/>
      </w:pPr>
      <w:r>
        <w:t>Explore the relationship between charging infrastructure availability and EV registrations where comparable data is available.</w:t>
      </w:r>
    </w:p>
    <w:p>
      <w:pPr>
        <w:pStyle w:val="ListBullet"/>
      </w:pPr>
      <w:r>
        <w:t>Document limitations and provide practical recommendations for further analysis.</w:t>
      </w:r>
    </w:p>
    <w:p>
      <w:pPr>
        <w:pStyle w:val="Heading1"/>
      </w:pPr>
      <w:r>
        <w:t>4. Literature Review</w:t>
      </w:r>
    </w:p>
    <w:p>
      <w:r>
        <w:t>NITI Aayog’s India Electric Mobility Index provides a structured framework for comparing states and union territories on transport electrification progress, charging infrastructure readiness, and related e-mobility indicators. This is useful for designing state-level comparisons and for understanding that adoption should be assessed through multiple dimensions rather than a single number.</w:t>
      </w:r>
    </w:p>
    <w:p>
      <w:r>
        <w:t>NITI Aayog’s report, “Unlocking a $200 Billion Opportunity: Electric Vehicles in India” (2025), discusses the EV ecosystem and the need to accelerate adoption. Its background highlights that progress depends on factors beyond vehicle availability, including policy support and infrastructure development. The report can be used to frame the motivation and context of the proposed study.</w:t>
      </w:r>
    </w:p>
    <w:p>
      <w:r>
        <w:t>Patel, Singh, Arora, and Mahapatra (2024), in “EV adoption in India: barriers and policy solutions from manufacturers’ and consumers’ perspectives,” identify charging infrastructure availability and cost concerns among important barriers. The study also discusses policy approaches such as charging-point support and battery swapping. This supports including charging infrastructure as a key variable, while recognising that public registration data alone cannot measure consumer attitudes or affordability directly.</w:t>
      </w:r>
    </w:p>
    <w:p>
      <w:r>
        <w:t>Tarei, Chand, and Gupta (2021), in “Barriers to the adoption of electric vehicles: Evidence from India,” discuss technological, infrastructure, financial, behavioural, and external barriers. Their work suggests that EV adoption is influenced by interconnected factors. The proposed project will therefore interpret registration and charger data cautiously and avoid claiming that infrastructure alone explains adoption.</w:t>
      </w:r>
    </w:p>
    <w:p>
      <w:r>
        <w:t>Research gap for this project: published reports and research provide context, but a small reproducible analysis using public datasets can help a learner practise bringing data sources together, checking comparability, and presenting trends clearly. This project is a descriptive analysis, not a replacement for detailed consumer surveys or causal research.</w:t>
      </w:r>
    </w:p>
    <w:p>
      <w:pPr>
        <w:pStyle w:val="Heading1"/>
      </w:pPr>
      <w:r>
        <w:t>5. Data Sourcing Strategy</w:t>
      </w:r>
    </w:p>
    <w:p>
      <w:r>
        <w:t>The primary source will be the Ministry of Road Transport and Highways’ VAHAN public dashboard for vehicle-registration information. NITI Aayog’s India Electric Mobility Index and e-AMRIT portal will provide supporting reports, definitions, and policy context. Charging-station data will be taken from a government publication or portal only when its date, coverage, and definition can be recorded. Each downloaded file will be saved with its source URL, access date, and notes on filters used.</w:t>
      </w:r>
    </w:p>
    <w:p>
      <w:pPr>
        <w:pStyle w:val="ListBullet"/>
      </w:pPr>
      <w:r>
        <w:t>VAHAN Public Dashboard — https://www.analytics.parivahan.gov.in/analytics/publicdashboard/vahan?lang=en</w:t>
      </w:r>
    </w:p>
    <w:p>
      <w:pPr>
        <w:pStyle w:val="ListBullet"/>
      </w:pPr>
      <w:r>
        <w:t>NITI Aayog, India Electric Mobility Index downloads — https://iemi.niti.gov.in/dashboard/downloads</w:t>
      </w:r>
    </w:p>
    <w:p>
      <w:pPr>
        <w:pStyle w:val="ListBullet"/>
      </w:pPr>
      <w:r>
        <w:t>NITI Aayog, E-Mobility Division — https://www.niti.gov.in/divisions/division/e-mobility</w:t>
      </w:r>
    </w:p>
    <w:p>
      <w:pPr>
        <w:pStyle w:val="ListBullet"/>
      </w:pPr>
      <w:r>
        <w:t>e-AMRIT electric mobility portal — https://e-amrit.niti.gov.in/about-the-portal</w:t>
      </w:r>
    </w:p>
    <w:p>
      <w:r>
        <w:t>Data availability and limitations: dashboard access may require selecting filters or downloading tabular reports. Historical coverage can vary by state and vehicle category. Charging-station counts may represent a particular reporting date and should not be directly compared with annual registrations without noting the time difference. If a downloadable file is unavailable, the report will record this limitation rather than inventing values.</w:t>
      </w:r>
    </w:p>
    <w:p>
      <w:pPr>
        <w:pStyle w:val="Heading1"/>
      </w:pPr>
      <w:r>
        <w:t>6. Proposed Methodology</w:t>
      </w:r>
    </w:p>
    <w:p>
      <w:pPr>
        <w:pStyle w:val="Heading2"/>
      </w:pPr>
      <w:r>
        <w:t>6.1 Data acquisition</w:t>
      </w:r>
    </w:p>
    <w:p>
      <w:r>
        <w:t>Identify the required indicators and download available public data. Prioritise annual EV registrations by state and vehicle category, plus charging-station counts by state and reporting date. Keep raw files unchanged and create working copies for analysis.</w:t>
      </w:r>
    </w:p>
    <w:p>
      <w:pPr>
        <w:pStyle w:val="Heading2"/>
      </w:pPr>
      <w:r>
        <w:t>6.2 Data inspection and cleaning</w:t>
      </w:r>
    </w:p>
    <w:p>
      <w:r>
        <w:t>Use Pandas to inspect row counts, column names, data types, missing values, and duplicate records. Standardise state names and category labels, convert dates and numeric fields to suitable types, and check for impossible or inconsistent values. Do not remove duplicates or fill missing values automatically without checking whether they represent genuine repeated observations or unavailable information. Record every change.</w:t>
      </w:r>
    </w:p>
    <w:p>
      <w:pPr>
        <w:pStyle w:val="Heading2"/>
      </w:pPr>
      <w:r>
        <w:t>6.3 Exploratory analysis</w:t>
      </w:r>
    </w:p>
    <w:p>
      <w:r>
        <w:t>Use descriptive statistics such as totals, averages, percentage change, and category shares. Where the data supports it, calculate year-on-year change in registrations and compare state-level EV counts with population or total vehicle registrations only if reliable matching denominators are available.</w:t>
      </w:r>
    </w:p>
    <w:p>
      <w:pPr>
        <w:pStyle w:val="Heading2"/>
      </w:pPr>
      <w:r>
        <w:t>6.4 Planned visualizations</w:t>
      </w:r>
    </w:p>
    <w:p>
      <w:pPr>
        <w:pStyle w:val="ListBullet"/>
      </w:pPr>
      <w:r>
        <w:t>Line chart: annual EV registration trend by year.</w:t>
      </w:r>
    </w:p>
    <w:p>
      <w:pPr>
        <w:pStyle w:val="ListBullet"/>
      </w:pPr>
      <w:r>
        <w:t>Horizontal bar chart: states with the highest EV registrations for a clearly stated period.</w:t>
      </w:r>
    </w:p>
    <w:p>
      <w:pPr>
        <w:pStyle w:val="ListBullet"/>
      </w:pPr>
      <w:r>
        <w:t>Scatter plot: state-level EV registrations against public charging-point counts, with date and coverage limitations stated.</w:t>
      </w:r>
    </w:p>
    <w:p>
      <w:r>
        <w:t>Python libraries: Pandas for data handling; NumPy for numerical calculations; Matplotlib and Seaborn for charts. Visuals will be selected based on the actual columns available. If a source does not provide comparable data, the corresponding comparison will be omitted or clearly labelled as incomplete.</w:t>
      </w:r>
    </w:p>
    <w:p>
      <w:pPr>
        <w:pStyle w:val="Heading1"/>
      </w:pPr>
      <w:r>
        <w:t>7. Expected Outcomes</w:t>
      </w:r>
    </w:p>
    <w:p>
      <w:pPr>
        <w:pStyle w:val="ListBullet"/>
      </w:pPr>
      <w:r>
        <w:t>A documented inventory of suitable public data sources and their limitations.</w:t>
      </w:r>
    </w:p>
    <w:p>
      <w:pPr>
        <w:pStyle w:val="ListBullet"/>
      </w:pPr>
      <w:r>
        <w:t>A cleaned and reproducible dataset or set of analysis-ready tables.</w:t>
      </w:r>
    </w:p>
    <w:p>
      <w:pPr>
        <w:pStyle w:val="ListBullet"/>
      </w:pPr>
      <w:r>
        <w:t>Visual summaries of EV registration trends and state/category differences.</w:t>
      </w:r>
    </w:p>
    <w:p>
      <w:pPr>
        <w:pStyle w:val="ListBullet"/>
      </w:pPr>
      <w:r>
        <w:t>An exploratory assessment of whether charging infrastructure and EV registrations appear to vary together.</w:t>
      </w:r>
    </w:p>
    <w:p>
      <w:pPr>
        <w:pStyle w:val="ListBullet"/>
      </w:pPr>
      <w:r>
        <w:t>A short list of evidence-based observations and questions for future research.</w:t>
      </w:r>
    </w:p>
    <w:p>
      <w:r>
        <w:t>These are expected outputs, not pre-decided results. The final conclusions will depend on the data actually collected and checked.</w:t>
      </w:r>
    </w:p>
    <w:p>
      <w:pPr>
        <w:pStyle w:val="Heading1"/>
      </w:pPr>
      <w:r>
        <w:t>8. Timeline and Resources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Planned activity</w:t>
            </w:r>
          </w:p>
        </w:tc>
        <w:tc>
          <w:tcPr>
            <w:tcW w:type="dxa" w:w="3312"/>
          </w:tcPr>
          <w:p>
            <w:r>
              <w:t>Estimated time</w:t>
            </w:r>
          </w:p>
        </w:tc>
      </w:tr>
      <w:tr>
        <w:tc>
          <w:tcPr>
            <w:tcW w:type="dxa" w:w="3312"/>
          </w:tcPr>
          <w:p>
            <w:r>
              <w:t>1</w:t>
            </w:r>
          </w:p>
        </w:tc>
        <w:tc>
          <w:tcPr>
            <w:tcW w:type="dxa" w:w="3312"/>
          </w:tcPr>
          <w:p>
            <w:r>
              <w:t>Define indicators and review sources</w:t>
            </w:r>
          </w:p>
        </w:tc>
        <w:tc>
          <w:tcPr>
            <w:tcW w:type="dxa" w:w="3312"/>
          </w:tcPr>
          <w:p>
            <w:r>
              <w:t>4 hours</w:t>
            </w:r>
          </w:p>
        </w:tc>
      </w:tr>
      <w:tr>
        <w:tc>
          <w:tcPr>
            <w:tcW w:type="dxa" w:w="3312"/>
          </w:tcPr>
          <w:p>
            <w:r>
              <w:t>2</w:t>
            </w:r>
          </w:p>
        </w:tc>
        <w:tc>
          <w:tcPr>
            <w:tcW w:type="dxa" w:w="3312"/>
          </w:tcPr>
          <w:p>
            <w:r>
              <w:t>Download data and record metadata</w:t>
            </w:r>
          </w:p>
        </w:tc>
        <w:tc>
          <w:tcPr>
            <w:tcW w:type="dxa" w:w="3312"/>
          </w:tcPr>
          <w:p>
            <w:r>
              <w:t>5 hours</w:t>
            </w:r>
          </w:p>
        </w:tc>
      </w:tr>
      <w:tr>
        <w:tc>
          <w:tcPr>
            <w:tcW w:type="dxa" w:w="3312"/>
          </w:tcPr>
          <w:p>
            <w:r>
              <w:t>3</w:t>
            </w:r>
          </w:p>
        </w:tc>
        <w:tc>
          <w:tcPr>
            <w:tcW w:type="dxa" w:w="3312"/>
          </w:tcPr>
          <w:p>
            <w:r>
              <w:t>Inspect and clean datasets</w:t>
            </w:r>
          </w:p>
        </w:tc>
        <w:tc>
          <w:tcPr>
            <w:tcW w:type="dxa" w:w="3312"/>
          </w:tcPr>
          <w:p>
            <w:r>
              <w:t>7 hours</w:t>
            </w:r>
          </w:p>
        </w:tc>
      </w:tr>
      <w:tr>
        <w:tc>
          <w:tcPr>
            <w:tcW w:type="dxa" w:w="3312"/>
          </w:tcPr>
          <w:p>
            <w:r>
              <w:t>4</w:t>
            </w:r>
          </w:p>
        </w:tc>
        <w:tc>
          <w:tcPr>
            <w:tcW w:type="dxa" w:w="3312"/>
          </w:tcPr>
          <w:p>
            <w:r>
              <w:t>Exploratory calculations and charts</w:t>
            </w:r>
          </w:p>
        </w:tc>
        <w:tc>
          <w:tcPr>
            <w:tcW w:type="dxa" w:w="3312"/>
          </w:tcPr>
          <w:p>
            <w:r>
              <w:t>8 hours</w:t>
            </w:r>
          </w:p>
        </w:tc>
      </w:tr>
      <w:tr>
        <w:tc>
          <w:tcPr>
            <w:tcW w:type="dxa" w:w="3312"/>
          </w:tcPr>
          <w:p>
            <w:r>
              <w:t>5</w:t>
            </w:r>
          </w:p>
        </w:tc>
        <w:tc>
          <w:tcPr>
            <w:tcW w:type="dxa" w:w="3312"/>
          </w:tcPr>
          <w:p>
            <w:r>
              <w:t>Interpret findings and check limitations</w:t>
            </w:r>
          </w:p>
        </w:tc>
        <w:tc>
          <w:tcPr>
            <w:tcW w:type="dxa" w:w="3312"/>
          </w:tcPr>
          <w:p>
            <w:r>
              <w:t>4 hours</w:t>
            </w:r>
          </w:p>
        </w:tc>
      </w:tr>
      <w:tr>
        <w:tc>
          <w:tcPr>
            <w:tcW w:type="dxa" w:w="3312"/>
          </w:tcPr>
          <w:p>
            <w:r>
              <w:t>6</w:t>
            </w:r>
          </w:p>
        </w:tc>
        <w:tc>
          <w:tcPr>
            <w:tcW w:type="dxa" w:w="3312"/>
          </w:tcPr>
          <w:p>
            <w:r>
              <w:t>Write, proofread, and format the report</w:t>
            </w:r>
          </w:p>
        </w:tc>
        <w:tc>
          <w:tcPr>
            <w:tcW w:type="dxa" w:w="3312"/>
          </w:tcPr>
          <w:p>
            <w:r>
              <w:t>4 hours</w:t>
            </w:r>
          </w:p>
        </w:tc>
      </w:tr>
      <w:tr>
        <w:tc>
          <w:tcPr>
            <w:tcW w:type="dxa" w:w="3312"/>
          </w:tcPr>
          <w:p>
            <w:r>
              <w:t>Total</w:t>
            </w:r>
          </w:p>
        </w:tc>
        <w:tc>
          <w:tcPr>
            <w:tcW w:type="dxa" w:w="3312"/>
          </w:tcPr>
          <w:p>
            <w:r>
              <w:t>Estimated planning and analysis effort</w:t>
            </w:r>
          </w:p>
        </w:tc>
        <w:tc>
          <w:tcPr>
            <w:tcW w:type="dxa" w:w="3312"/>
          </w:tcPr>
          <w:p>
            <w:r>
              <w:t>32 hours</w:t>
            </w:r>
          </w:p>
        </w:tc>
      </w:tr>
    </w:tbl>
    <w:p>
      <w:r>
        <w:t>Software and resources: Windows laptop, internet connection, Python 3, Jupyter Notebook/Anaconda, Pandas, NumPy, Matplotlib, Seaborn, Microsoft Word or compatible word processor, and official public data portals.</w:t>
      </w:r>
    </w:p>
    <w:p>
      <w:pPr>
        <w:pStyle w:val="Heading1"/>
      </w:pPr>
      <w:r>
        <w:t>9. Potential Challenges and Risk Mitigation</w:t>
      </w:r>
    </w:p>
    <w:p>
      <w:pPr>
        <w:pStyle w:val="ListBullet"/>
      </w:pPr>
      <w:r>
        <w:t>Missing or incomplete data: record missingness, use only defensible methods, and state when comparisons cannot be made.</w:t>
      </w:r>
    </w:p>
    <w:p>
      <w:pPr>
        <w:pStyle w:val="ListBullet"/>
      </w:pPr>
      <w:r>
        <w:t>Different definitions or reporting dates: read source metadata and avoid combining incompatible figures without explanation.</w:t>
      </w:r>
    </w:p>
    <w:p>
      <w:pPr>
        <w:pStyle w:val="ListBullet"/>
      </w:pPr>
      <w:r>
        <w:t>Duplicate records or inconsistent labels: check duplicates and standardise labels with a documented rule.</w:t>
      </w:r>
    </w:p>
    <w:p>
      <w:pPr>
        <w:pStyle w:val="ListBullet"/>
      </w:pPr>
      <w:r>
        <w:t>Correlation mistaken for causation: describe scatter plots as exploratory associations and acknowledge other influences such as income, policy, urbanisation, and vehicle availability.</w:t>
      </w:r>
    </w:p>
    <w:p>
      <w:pPr>
        <w:pStyle w:val="ListBullet"/>
      </w:pPr>
      <w:r>
        <w:t>Changing dashboards or inaccessible downloads: save access dates and source links, and use official reports as contextual sources where appropriate.</w:t>
      </w:r>
    </w:p>
    <w:p>
      <w:pPr>
        <w:pStyle w:val="ListBullet"/>
      </w:pPr>
      <w:r>
        <w:t>Overstated conclusions: distinguish observed results from assumptions and recommendations.</w:t>
      </w:r>
    </w:p>
    <w:p>
      <w:pPr>
        <w:pStyle w:val="Heading1"/>
      </w:pPr>
      <w:r>
        <w:t>10. Conclusion</w:t>
      </w:r>
    </w:p>
    <w:p>
      <w:r>
        <w:t>This strategy sets out a practical and transparent plan for analysing electric vehicle adoption and charging infrastructure in India. By combining public registration data with official mobility reports and relevant research, the project aims to explore trends and differences across states and vehicle categories. The reliability of the final observations will depend on data quality, consistent definitions, and careful interpretation. The work will be reproducible through documented sources, cleaning decisions, Python code, and clearly labelled visualizations.</w:t>
      </w:r>
    </w:p>
    <w:p>
      <w:pPr>
        <w:pStyle w:val="Heading1"/>
      </w:pPr>
      <w:r>
        <w:t>11. References</w:t>
      </w:r>
    </w:p>
    <w:p>
      <w:pPr>
        <w:pStyle w:val="ListNumber"/>
      </w:pPr>
      <w:r>
        <w:t>NITI Aayog. India Electric Mobility Index 2025. https://iemi.niti.gov.in/dashboard/downloads</w:t>
      </w:r>
    </w:p>
    <w:p>
      <w:pPr>
        <w:pStyle w:val="ListNumber"/>
      </w:pPr>
      <w:r>
        <w:t>NITI Aayog. Unlocking a $200 Billion Opportunity: Electric Vehicles in India (2025). https://www.niti.gov.in/node/1772</w:t>
      </w:r>
    </w:p>
    <w:p>
      <w:pPr>
        <w:pStyle w:val="ListNumber"/>
      </w:pPr>
      <w:r>
        <w:t>Ministry of Road Transport and Highways. VAHAN Public Dashboard. https://www.analytics.parivahan.gov.in/analytics/publicdashboard/vahan?lang=en</w:t>
      </w:r>
    </w:p>
    <w:p>
      <w:pPr>
        <w:pStyle w:val="ListNumber"/>
      </w:pPr>
      <w:r>
        <w:t>Patel, M., Singh, R., Arora, P., &amp; Mahapatra, D. (2024). EV adoption in India: barriers and policy solutions from manufacturers’ and consumers’ perspectives. Energy for Sustainable Development. https://doi.org/10.1016/j.esd.2024.101583</w:t>
      </w:r>
    </w:p>
    <w:p>
      <w:pPr>
        <w:pStyle w:val="ListNumber"/>
      </w:pPr>
      <w:r>
        <w:t>Tarei, P. K., Chand, P., &amp; Gupta, H. (2021). Barriers to the adoption of electric vehicles: Evidence from India. Journal of Cleaner Production, 291, 125847. https://doi.org/10.1016/j.jclepro.2021.125847</w:t>
      </w:r>
    </w:p>
    <w:p>
      <w:pPr>
        <w:pStyle w:val="ListNumber"/>
      </w:pPr>
      <w:r>
        <w:t>NITI Aayog. e-AMRIT: About the Portal. https://e-amrit.niti.gov.in/about-the-portal</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E15C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E15C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