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00" w:before="3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D3 — Functional Requirement Document</w:t>
      </w:r>
    </w:p>
    <w:p>
      <w:pPr>
        <w:shd w:fill="2E75B6" w:val="clear"/>
        <w:spacing w:after="60" w:before="6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Project 7: AI Subscription &amp; Auto-Debit Intelligence System</w:t>
      </w:r>
    </w:p>
    <w:p>
      <w:pPr>
        <w:shd w:fill="D6E4F0" w:val="clear"/>
        <w:spacing w:after="240" w:before="60"/>
        <w:jc w:val="center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Team 7 — Mansi &amp; Samyak  |  AI Training Program  |  April 2025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Document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Functional Requirement Document (FRD) serves as the traceability matrix between the Business Requirements Document (BRD) and the actual implementation delivered by Team 7. Each row maps a BRD functional requirement to the specific code file, function, or component that fulfils it, along with implementation status and deviation notes.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Project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Subscription &amp; Auto-Debit Intelligence System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7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7 — Mansi &amp; Samyak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7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· Pandas · spaCy · TF-IDF · Scikit-learn · ARIMA · Gradient Boosting · Microsoft Phi-2 · Streamlit · Plotly · Faker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 Size</w:t>
            </w:r>
          </w:p>
        </w:tc>
        <w:tc>
          <w:tcPr>
            <w:tcW w:type="dxa" w:w="7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137,700 synthetic transactions (generated via Faker)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Runtime</w:t>
            </w:r>
          </w:p>
        </w:tc>
        <w:tc>
          <w:tcPr>
            <w:tcW w:type="dxa" w:w="7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258.2 seconds (within &lt;10 min non-functional target)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Functional Requirement Traceability Matrix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table below maps every BRD functional requirement (FR1–FR9) to its implementation. Status codes: Done = fully implemented and verified; Partial = implemented with minor gaps; Skipped = not implemented.</w:t>
      </w:r>
    </w:p>
    <w:p>
      <w:pPr>
        <w:spacing w:after="6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4400"/>
        <w:gridCol w:w="900"/>
        <w:gridCol w:w="150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Name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Description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Deviations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Input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fr1_dataset_generator.py — Faker-based synthetic generator produces 137,700 transactions with fields: CustomerID, Date, Description, Amount, Balance, Merchant, SubscriptionFlag. CSV loaded via Streamlit file uploader in dashboard.py.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 &amp; Cleaning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fr2_data_cleaning.py — Pandas pipeline: null removal, lowercase normalization, duplicate handling, text cleaning via regex (clean() function). Output: transactions_cleaned.csv.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Subscription Detection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fr3_nlp_detector.py — TF-IDF (ngram 1–3, 8000 features) + Logistic Regression pipeline with false-positive filtering (SUB_KEYWORDS / FALSE_POS sets). Model saved to models/nlp_model.pkl. Achieved 99.81% accuracy (target &gt;90%).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Exceeds BRD target by 9.81 percentage points.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FR4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Pattern Detection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fr4_pattern_detector.py — Gap-based frequency detection (Weekly: 5–9 days, Monthly: 25–35 days, Yearly: 360–370 days). Requires min 3 occurrences. Detected 74,582 recurring rows across confirmed groups.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FR5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Prediction (ML Model)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fr5_prediction_engine.py — Next debit date: Linear Regression + median gap blend (70/30). Next amount: ARIMA(1,0,0) with EWM fallback. Generated 3,068 predictions. Saved to models/prediction_model.pkl.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ARIMA applied when ≥4 historical points available; EWM used otherwise.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FR6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Prediction Model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fr6_risk_scoring.py — Gradient Boosting Classifier (200 estimators, depth 4, LR 0.07) with StandardScaler. 8 features including balance ratio, failed debit rate, subscription count. Risk levels: High (259), Medium (595), Low (346). Target &gt;85% accuracy.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FR7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GenAI Alert Generator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fr7_genai_alerts.py — Primary: Microsoft Phi-2 local LLM loaded via Transformers. Fallback: structured rule-based alert engine. Generated 1,200 alerts in BRD format: 'Upcoming Debit: Netflix ₹499 | Risk: Low | Suggestion: ...'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Phi-2 used where GPU/CPU resources allow; deterministic fallback ensures 100% alert coverage.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FR8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Generation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fr8_insights.py — Per-customer aggregated insight: active subscription count, total monthly spend (weekly × 4 + monthly), next debit date, risk level. Displayed in dashboard as BRD example: 'You have N active subscriptions. Total monthly spend: ₹X.'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FR9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/ UI</w:t>
            </w:r>
          </w:p>
        </w:tc>
        <w:tc>
          <w:tcPr>
            <w:tcW w:type="dxa" w:w="4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streamlit_app/dashboard.py — Streamlit + Plotly interactive dashboard. Panels: Active Subscriptions table, Upcoming Debits calendar view, Risk Alerts with colour coding, Monthly Subscription Spend bar chart, Customer Insights summary.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Overall BRD Compliance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60"/>
        <w:gridCol w:w="24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Requirements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Partial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Skipped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2"/>
                <w:szCs w:val="32"/>
              </w:rPr>
              <w:t xml:space="preserve">9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9 (100%)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32"/>
                <w:szCs w:val="32"/>
              </w:rPr>
              <w:t xml:space="preserve">0 (0%)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2"/>
                <w:szCs w:val="32"/>
              </w:rPr>
              <w:t xml:space="preserve">0 (0%)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/>
        </w:pBdr>
        <w:shd w:fill="1F3864" w:val="clear"/>
        <w:spacing w:after="120" w:before="300"/>
        <w:ind w:left="200" w:righ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Key Deviations &amp; Design Decisions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FR3 — NLP Model Selection: The BRD specified spaCy or HuggingFace. The team implemented a TF-IDF + Logistic Regression pipeline as the primary classifier, with spaCy used for optional lemmatisation. This choice reduced dependency complexity while achieving 99.81% accuracy, far exceeding the 90% BRD target.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FR5 — Time Series Approach: The BRD mentioned Prophet or ARIMA. Prophet was not used due to installation complexity; instead ARIMA(1,0,0) was implemented via statsmodels, with an EWM (Exponentially Weighted Mean) fallback for short series. The Linear Regression + median gap blend for date prediction was an engineering improvement over the BRD specification.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FR7 — GenAI Component: The BRD listed OpenAI or Ollama. Microsoft Phi-2, a locally-hosted LLM, was used instead to satisfy the non-functional requirement of local execution without cloud API costs. A structured rule-based fallback ensures 100% alert coverage when Phi-2 is unavailable.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Team 7 — Mansi &amp; Samyak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 Subscription &amp; Auto-Debit Intelligence System  |  D3 – Functional Requirement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2026-04-02T17:47:12.937Z</dcterms:created>
  <dcterms:modified xsi:type="dcterms:W3CDTF">2026-04-02T17:47:12.938Z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