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80" w:before="300"/>
        <w:jc w:val="center"/>
      </w:pPr>
      <w:r>
        <w:rPr>
          <w:rFonts w:ascii="Arial" w:cs="Arial" w:eastAsia="Arial" w:hAnsi="Arial"/>
          <w:b/>
          <w:bCs/>
          <w:color w:val="FFFFFF"/>
          <w:sz w:val="36"/>
          <w:szCs w:val="36"/>
        </w:rPr>
        <w:t xml:space="preserve">D5 — Learning &amp; Challenges Report</w:t>
      </w:r>
    </w:p>
    <w:p>
      <w:pPr>
        <w:shd w:fill="2E75B6" w:val="clear"/>
        <w:spacing w:after="60" w:before="0"/>
        <w:jc w:val="center"/>
      </w:pPr>
      <w:r>
        <w:rPr>
          <w:rFonts w:ascii="Arial" w:cs="Arial" w:eastAsia="Arial" w:hAnsi="Arial"/>
          <w:color w:val="FFFFFF"/>
          <w:sz w:val="24"/>
          <w:szCs w:val="24"/>
        </w:rPr>
        <w:t xml:space="preserve">Project 7: AI Subscription &amp; Auto-Debit Intelligence System</w:t>
      </w:r>
    </w:p>
    <w:p>
      <w:pPr>
        <w:shd w:fill="D6E4F0" w:val="clear"/>
        <w:spacing w:after="240" w:before="0"/>
        <w:jc w:val="center"/>
      </w:pPr>
      <w:r>
        <w:rPr>
          <w:rFonts w:ascii="Arial" w:cs="Arial" w:eastAsia="Arial" w:hAnsi="Arial"/>
          <w:color w:val="1F3864"/>
          <w:sz w:val="20"/>
          <w:szCs w:val="20"/>
        </w:rPr>
        <w:t xml:space="preserve">Team 7 — Mansi &amp; Samyak  |  AI Training Program  |  April 2025</w:t>
      </w:r>
    </w:p>
    <w:p>
      <w:pPr>
        <w:spacing w:after="80" w:before="80"/>
      </w:pPr>
      <w:r>
        <w:t xml:space="preserve"/>
      </w:r>
    </w:p>
    <w:p>
      <w:pPr>
        <w:pBdr>
          <w:bottom w:val="single" w:color="2E75B6" w:sz="6"/>
        </w:pBdr>
        <w:shd w:fill="1F3864" w:val="clear"/>
        <w:spacing w:after="100" w:before="280"/>
      </w:pPr>
      <w:r>
        <w:rPr>
          <w:rFonts w:ascii="Arial" w:cs="Arial" w:eastAsia="Arial" w:hAnsi="Arial"/>
          <w:b/>
          <w:bCs/>
          <w:color w:val="FFFFFF"/>
          <w:sz w:val="28"/>
          <w:szCs w:val="28"/>
        </w:rPr>
        <w:t xml:space="preserve">1. What We Learned Technically</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4"/>
              <w:left w:val="single" w:color="CCCCCC" w:sz="4"/>
              <w:bottom w:val="single" w:color="CCCCCC" w:sz="4"/>
              <w:right w:val="single" w:color="CCCCCC" w:sz="4"/>
            </w:tcBorders>
            <w:shd w:fill="EAF7EA" w:val="clear"/>
            <w:tcMar>
              <w:top w:type="dxa" w:w="160"/>
              <w:left w:type="dxa" w:w="200"/>
              <w:bottom w:type="dxa" w:w="120"/>
              <w:right w:type="dxa" w:w="200"/>
            </w:tcMar>
          </w:tcPr>
          <w:p>
            <w:pPr>
              <w:spacing w:after="100" w:before="0"/>
            </w:pPr>
            <w:r>
              <w:rPr>
                <w:rFonts w:ascii="Arial" w:cs="Arial" w:eastAsia="Arial" w:hAnsi="Arial"/>
                <w:b/>
                <w:bCs/>
                <w:color w:val="1E6823"/>
                <w:sz w:val="26"/>
                <w:szCs w:val="26"/>
              </w:rPr>
              <w:t xml:space="preserve">🔍  NLP &amp; Text Classification</w:t>
            </w:r>
          </w:p>
          <w:p>
            <w:pPr>
              <w:spacing w:after="60" w:before="60"/>
            </w:pPr>
            <w:r>
              <w:rPr>
                <w:rFonts w:ascii="Arial" w:cs="Arial" w:eastAsia="Arial" w:hAnsi="Arial"/>
                <w:color w:val="222222"/>
                <w:sz w:val="21"/>
                <w:szCs w:val="21"/>
              </w:rPr>
              <w:t xml:space="preserve">We learned how to build a production-quality NLP classification pipeline entirely from scratch. Before this project, our exposure to text classification was limited to simple keyword matching. Through FR3, we implemented TF-IDF vectorisation with n-gram ranges (1–3), which taught us how character and word-level patterns contribute differently to classification — for example, the bigram 'auto debit' is a stronger signal than either word alone.</w:t>
            </w:r>
          </w:p>
          <w:p>
            <w:pPr>
              <w:spacing w:after="60" w:before="60"/>
            </w:pPr>
            <w:r>
              <w:rPr>
                <w:rFonts w:ascii="Arial" w:cs="Arial" w:eastAsia="Arial" w:hAnsi="Arial"/>
                <w:color w:val="222222"/>
                <w:sz w:val="21"/>
                <w:szCs w:val="21"/>
              </w:rPr>
              <w:t xml:space="preserve">We also learned about the class imbalance problem in a real business context: subscription transactions were approximately 55% of data, making naive accuracy misleading. Using class_weight='balanced' in Logistic Regression and stratified train/test splits (stratify=y) taught us how to correctly handle imbalanced datasets, a skill directly applicable to real-world banking data.</w:t>
            </w:r>
          </w:p>
          <w:p>
            <w:pPr>
              <w:spacing w:after="60" w:before="60"/>
            </w:pPr>
            <w:r>
              <w:rPr>
                <w:rFonts w:ascii="Arial" w:cs="Arial" w:eastAsia="Arial" w:hAnsi="Arial"/>
                <w:color w:val="222222"/>
                <w:sz w:val="21"/>
                <w:szCs w:val="21"/>
              </w:rPr>
              <w:t xml:space="preserve">The false-positive filtering layer (FALSE_POS set: salary, refund, dividend, NEFT, IMPS) was a crucial design decision we learned to engineer after observing that payroll credits were being misclassified as subscriptions. This taught us that domain knowledge must be encoded into ML systems, not left entirely to the model.</w:t>
            </w:r>
          </w:p>
        </w:tc>
      </w:tr>
    </w:tbl>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4"/>
              <w:left w:val="single" w:color="CCCCCC" w:sz="4"/>
              <w:bottom w:val="single" w:color="CCCCCC" w:sz="4"/>
              <w:right w:val="single" w:color="CCCCCC" w:sz="4"/>
            </w:tcBorders>
            <w:shd w:fill="E8F8F5" w:val="clear"/>
            <w:tcMar>
              <w:top w:type="dxa" w:w="160"/>
              <w:left w:type="dxa" w:w="200"/>
              <w:bottom w:type="dxa" w:w="120"/>
              <w:right w:type="dxa" w:w="200"/>
            </w:tcMar>
          </w:tcPr>
          <w:p>
            <w:pPr>
              <w:spacing w:after="100" w:before="0"/>
            </w:pPr>
            <w:r>
              <w:rPr>
                <w:rFonts w:ascii="Arial" w:cs="Arial" w:eastAsia="Arial" w:hAnsi="Arial"/>
                <w:b/>
                <w:bCs/>
                <w:color w:val="0E6655"/>
                <w:sz w:val="26"/>
                <w:szCs w:val="26"/>
              </w:rPr>
              <w:t xml:space="preserve">📈  Time Series Prediction — ARIMA &amp; Regression</w:t>
            </w:r>
          </w:p>
          <w:p>
            <w:pPr>
              <w:spacing w:after="60" w:before="60"/>
            </w:pPr>
            <w:r>
              <w:rPr>
                <w:rFonts w:ascii="Arial" w:cs="Arial" w:eastAsia="Arial" w:hAnsi="Arial"/>
                <w:color w:val="222222"/>
                <w:sz w:val="21"/>
                <w:szCs w:val="21"/>
              </w:rPr>
              <w:t xml:space="preserve">FR5 introduced us to ARIMA modelling through statsmodels — specifically ARIMA(1,0,0), which captures AR(1) autoregressive behaviour suitable for recurring payment amounts. We learned the difference between stationary and non-stationary series, and why subscription payment amounts (which fluctuate slightly month to month) benefit from an AR model rather than a simple mean.</w:t>
            </w:r>
          </w:p>
          <w:p>
            <w:pPr>
              <w:spacing w:after="60" w:before="60"/>
            </w:pPr>
            <w:r>
              <w:rPr>
                <w:rFonts w:ascii="Arial" w:cs="Arial" w:eastAsia="Arial" w:hAnsi="Arial"/>
                <w:color w:val="222222"/>
                <w:sz w:val="21"/>
                <w:szCs w:val="21"/>
              </w:rPr>
              <w:t xml:space="preserve">The blended prediction approach for next debit date — 70% Linear Regression on date ordinals + 30% median gap — was something we designed ourselves after finding that pure regression over-predicted for customers with irregular payment schedules. This taught us that ensemble and hybrid approaches often outperform single-model solutions.</w:t>
            </w:r>
          </w:p>
          <w:p>
            <w:pPr>
              <w:spacing w:after="60" w:before="60"/>
            </w:pPr>
            <w:r>
              <w:rPr>
                <w:rFonts w:ascii="Arial" w:cs="Arial" w:eastAsia="Arial" w:hAnsi="Arial"/>
                <w:color w:val="222222"/>
                <w:sz w:val="21"/>
                <w:szCs w:val="21"/>
              </w:rPr>
              <w:t xml:space="preserve">We also learned about graceful degradation: when ARIMA failed (series too short, non-convergence), the EWM (Exponentially Weighted Mean) fallback using numpy.exp weights kept the pipeline running. This was our first implementation of a fault-tolerant ML pipeline.</w:t>
            </w:r>
          </w:p>
        </w:tc>
      </w:tr>
    </w:tbl>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4"/>
              <w:left w:val="single" w:color="CCCCCC" w:sz="4"/>
              <w:bottom w:val="single" w:color="CCCCCC" w:sz="4"/>
              <w:right w:val="single" w:color="CCCCCC" w:sz="4"/>
            </w:tcBorders>
            <w:shd w:fill="F5EEF8" w:val="clear"/>
            <w:tcMar>
              <w:top w:type="dxa" w:w="160"/>
              <w:left w:type="dxa" w:w="200"/>
              <w:bottom w:type="dxa" w:w="120"/>
              <w:right w:type="dxa" w:w="200"/>
            </w:tcMar>
          </w:tcPr>
          <w:p>
            <w:pPr>
              <w:spacing w:after="100" w:before="0"/>
            </w:pPr>
            <w:r>
              <w:rPr>
                <w:rFonts w:ascii="Arial" w:cs="Arial" w:eastAsia="Arial" w:hAnsi="Arial"/>
                <w:b/>
                <w:bCs/>
                <w:color w:val="4A235A"/>
                <w:sz w:val="26"/>
                <w:szCs w:val="26"/>
              </w:rPr>
              <w:t xml:space="preserve">⚠️  Gradient Boosting for Risk Scoring</w:t>
            </w:r>
          </w:p>
          <w:p>
            <w:pPr>
              <w:spacing w:after="60" w:before="60"/>
            </w:pPr>
            <w:r>
              <w:rPr>
                <w:rFonts w:ascii="Arial" w:cs="Arial" w:eastAsia="Arial" w:hAnsi="Arial"/>
                <w:color w:val="222222"/>
                <w:sz w:val="21"/>
                <w:szCs w:val="21"/>
              </w:rPr>
              <w:t xml:space="preserve">FR6 was our first implementation of Gradient Boosting Classifier (GradientBoostingClassifier from sklearn) beyond coursework examples. We learned how hyperparameters like n_estimators=200, max_depth=4, learning_rate=0.07, and subsample=0.8 interact: lower learning rate with more estimators gave better generalisation; subsample introduced stochasticity that reduced overfitting.</w:t>
            </w:r>
          </w:p>
          <w:p>
            <w:pPr>
              <w:spacing w:after="60" w:before="60"/>
            </w:pPr>
            <w:r>
              <w:rPr>
                <w:rFonts w:ascii="Arial" w:cs="Arial" w:eastAsia="Arial" w:hAnsi="Arial"/>
                <w:color w:val="222222"/>
                <w:sz w:val="21"/>
                <w:szCs w:val="21"/>
              </w:rPr>
              <w:t xml:space="preserve">Feature engineering was the most important learning from FR6. The eight features we built (Balance_To_Debit_Ratio, Upcoming_Debit_Pct, Failed_Debit_Rate, etc.) were not from textbook examples — we derived them from understanding the business problem: a customer is high-risk when their upcoming subscription burden exceeds a significant fraction of their available balance.</w:t>
            </w:r>
          </w:p>
          <w:p>
            <w:pPr>
              <w:spacing w:after="60" w:before="60"/>
            </w:pPr>
            <w:r>
              <w:rPr>
                <w:rFonts w:ascii="Arial" w:cs="Arial" w:eastAsia="Arial" w:hAnsi="Arial"/>
                <w:color w:val="222222"/>
                <w:sz w:val="21"/>
                <w:szCs w:val="21"/>
              </w:rPr>
              <w:t xml:space="preserve">We also learned how to write an explainable risk reason function that uses dataset-relative thresholds (p75 percentiles) rather than hardcoded values, making the system adaptive to different customer populations.</w:t>
            </w:r>
          </w:p>
        </w:tc>
      </w:tr>
    </w:tbl>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4"/>
              <w:left w:val="single" w:color="CCCCCC" w:sz="4"/>
              <w:bottom w:val="single" w:color="CCCCCC" w:sz="4"/>
              <w:right w:val="single" w:color="CCCCCC" w:sz="4"/>
            </w:tcBorders>
            <w:shd w:fill="FEF4E7" w:val="clear"/>
            <w:tcMar>
              <w:top w:type="dxa" w:w="160"/>
              <w:left w:type="dxa" w:w="200"/>
              <w:bottom w:type="dxa" w:w="120"/>
              <w:right w:type="dxa" w:w="200"/>
            </w:tcMar>
          </w:tcPr>
          <w:p>
            <w:pPr>
              <w:spacing w:after="100" w:before="0"/>
            </w:pPr>
            <w:r>
              <w:rPr>
                <w:rFonts w:ascii="Arial" w:cs="Arial" w:eastAsia="Arial" w:hAnsi="Arial"/>
                <w:b/>
                <w:bCs/>
                <w:color w:val="7D4E00"/>
                <w:sz w:val="26"/>
                <w:szCs w:val="26"/>
              </w:rPr>
              <w:t xml:space="preserve">🤖  Local LLM Integration — Microsoft Phi-2</w:t>
            </w:r>
          </w:p>
          <w:p>
            <w:pPr>
              <w:spacing w:after="60" w:before="60"/>
            </w:pPr>
            <w:r>
              <w:rPr>
                <w:rFonts w:ascii="Arial" w:cs="Arial" w:eastAsia="Arial" w:hAnsi="Arial"/>
                <w:color w:val="222222"/>
                <w:sz w:val="21"/>
                <w:szCs w:val="21"/>
              </w:rPr>
              <w:t xml:space="preserve">Integrating Microsoft Phi-2 as a local language model was entirely new territory. We learned how to load a causal language model using Hugging Face Transformers (AutoModelForCausalLM, AutoTokenizer), manage GPU vs CPU inference paths, and set generation parameters (temperature, top_p, repetition_penalty, max_new_tokens) to control output quality.</w:t>
            </w:r>
          </w:p>
          <w:p>
            <w:pPr>
              <w:spacing w:after="60" w:before="60"/>
            </w:pPr>
            <w:r>
              <w:rPr>
                <w:rFonts w:ascii="Arial" w:cs="Arial" w:eastAsia="Arial" w:hAnsi="Arial"/>
                <w:color w:val="222222"/>
                <w:sz w:val="21"/>
                <w:szCs w:val="21"/>
              </w:rPr>
              <w:t xml:space="preserve">Prompt engineering for structured output was a key technical skill. We learned that Phi-2 requires clear, structured prompts with example outputs to produce the BRD-specified alert format. Unstructured prompts produced verbose, unpredictable outputs.</w:t>
            </w:r>
          </w:p>
          <w:p>
            <w:pPr>
              <w:spacing w:after="60" w:before="60"/>
            </w:pPr>
            <w:r>
              <w:rPr>
                <w:rFonts w:ascii="Arial" w:cs="Arial" w:eastAsia="Arial" w:hAnsi="Arial"/>
                <w:color w:val="222222"/>
                <w:sz w:val="21"/>
                <w:szCs w:val="21"/>
              </w:rPr>
              <w:t xml:space="preserve">The fallback architecture — trying Phi-2 first, catching exceptions, and falling back to rule-based alerts — taught us how to design production ML systems that must never fail to produce output, even when an AI component is unavailable.</w:t>
            </w:r>
          </w:p>
        </w:tc>
      </w:tr>
    </w:tbl>
    <w:p>
      <w:pPr>
        <w:spacing w:after="80" w:before="80"/>
      </w:pPr>
      <w:r>
        <w:t xml:space="preserve"/>
      </w:r>
    </w:p>
    <w:p>
      <w:pPr>
        <w:spacing w:after="80" w:before="80"/>
      </w:pPr>
      <w:r>
        <w:t xml:space="preserve"/>
      </w:r>
    </w:p>
    <w:p>
      <w:pPr>
        <w:pBdr>
          <w:bottom w:val="single" w:color="2E75B6" w:sz="6"/>
        </w:pBdr>
        <w:shd w:fill="1F3864" w:val="clear"/>
        <w:spacing w:after="100" w:before="280"/>
      </w:pPr>
      <w:r>
        <w:rPr>
          <w:rFonts w:ascii="Arial" w:cs="Arial" w:eastAsia="Arial" w:hAnsi="Arial"/>
          <w:b/>
          <w:bCs/>
          <w:color w:val="FFFFFF"/>
          <w:sz w:val="28"/>
          <w:szCs w:val="28"/>
        </w:rPr>
        <w:t xml:space="preserve">2. What Was Challenging</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4"/>
              <w:left w:val="single" w:color="CCCCCC" w:sz="4"/>
              <w:bottom w:val="single" w:color="CCCCCC" w:sz="4"/>
              <w:right w:val="single" w:color="CCCCCC" w:sz="4"/>
            </w:tcBorders>
            <w:shd w:fill="FDEDEC" w:val="clear"/>
            <w:tcMar>
              <w:top w:type="dxa" w:w="160"/>
              <w:left w:type="dxa" w:w="200"/>
              <w:bottom w:type="dxa" w:w="120"/>
              <w:right w:type="dxa" w:w="200"/>
            </w:tcMar>
          </w:tcPr>
          <w:p>
            <w:pPr>
              <w:spacing w:after="100" w:before="0"/>
            </w:pPr>
            <w:r>
              <w:rPr>
                <w:rFonts w:ascii="Arial" w:cs="Arial" w:eastAsia="Arial" w:hAnsi="Arial"/>
                <w:b/>
                <w:bCs/>
                <w:color w:val="7B241C"/>
                <w:sz w:val="26"/>
                <w:szCs w:val="26"/>
              </w:rPr>
              <w:t xml:space="preserve">⚡  Challenge 1 — Stratified Split with Small Classes (FR6)</w:t>
            </w:r>
          </w:p>
          <w:p>
            <w:pPr>
              <w:spacing w:after="60" w:before="60"/>
            </w:pPr>
            <w:r>
              <w:rPr>
                <w:rFonts w:ascii="Arial" w:cs="Arial" w:eastAsia="Arial" w:hAnsi="Arial"/>
                <w:color w:val="222222"/>
                <w:sz w:val="21"/>
                <w:szCs w:val="21"/>
              </w:rPr>
              <w:t xml:space="preserve">We struggled with sklearn's train_test_split when applying stratify=y to the risk classification task. With only ~1,200 customers, some risk classes (particularly 'High') had fewer than 10 samples, causing the error: 'The least populated class in y has only N members, which is too few. The minimum number of groups for any class cannot be less than 2.' </w:t>
            </w:r>
          </w:p>
          <w:p>
            <w:pPr>
              <w:spacing w:after="60" w:before="60"/>
            </w:pPr>
            <w:r>
              <w:rPr>
                <w:rFonts w:ascii="Arial" w:cs="Arial" w:eastAsia="Arial" w:hAnsi="Arial"/>
                <w:color w:val="222222"/>
                <w:sz w:val="21"/>
                <w:szCs w:val="21"/>
              </w:rPr>
              <w:t xml:space="preserve">The root cause was our initial label assignment being too strict — very few customers met the 'High' criteria simultaneously (high fail rate AND high upcoming debits). We spent a significant amount of time debugging this because the error message did not clearly indicate that the issue was in the label distribution rather than the data size.</w:t>
            </w:r>
          </w:p>
        </w:tc>
      </w:tr>
    </w:tbl>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4"/>
              <w:left w:val="single" w:color="CCCCCC" w:sz="4"/>
              <w:bottom w:val="single" w:color="CCCCCC" w:sz="4"/>
              <w:right w:val="single" w:color="CCCCCC" w:sz="4"/>
            </w:tcBorders>
            <w:shd w:fill="FDEDEC" w:val="clear"/>
            <w:tcMar>
              <w:top w:type="dxa" w:w="160"/>
              <w:left w:type="dxa" w:w="200"/>
              <w:bottom w:type="dxa" w:w="120"/>
              <w:right w:type="dxa" w:w="200"/>
            </w:tcMar>
          </w:tcPr>
          <w:p>
            <w:pPr>
              <w:spacing w:after="100" w:before="0"/>
            </w:pPr>
            <w:r>
              <w:rPr>
                <w:rFonts w:ascii="Arial" w:cs="Arial" w:eastAsia="Arial" w:hAnsi="Arial"/>
                <w:b/>
                <w:bCs/>
                <w:color w:val="7B241C"/>
                <w:sz w:val="26"/>
                <w:szCs w:val="26"/>
              </w:rPr>
              <w:t xml:space="preserve">⚡  Challenge 2 — ARIMA Convergence Failures (FR5)</w:t>
            </w:r>
          </w:p>
          <w:p>
            <w:pPr>
              <w:spacing w:after="60" w:before="60"/>
            </w:pPr>
            <w:r>
              <w:rPr>
                <w:rFonts w:ascii="Arial" w:cs="Arial" w:eastAsia="Arial" w:hAnsi="Arial"/>
                <w:color w:val="222222"/>
                <w:sz w:val="21"/>
                <w:szCs w:val="21"/>
              </w:rPr>
              <w:t xml:space="preserve">ARIMA(1,0,0) fitting failed silently for several customer-subscription pairs, particularly those with fewer than 4 historical data points or perfectly constant amounts (e.g., Netflix ₹499 every month, which has zero variance). The ARIMA model raised ConvergenceWarning and produced NaN forecasts for zero-variance series.</w:t>
            </w:r>
          </w:p>
          <w:p>
            <w:pPr>
              <w:spacing w:after="60" w:before="60"/>
            </w:pPr>
            <w:r>
              <w:rPr>
                <w:rFonts w:ascii="Arial" w:cs="Arial" w:eastAsia="Arial" w:hAnsi="Arial"/>
                <w:color w:val="222222"/>
                <w:sz w:val="21"/>
                <w:szCs w:val="21"/>
              </w:rPr>
              <w:t xml:space="preserve">This was challenging because the failure was non-fatal (wrapped in try/except) but produced incorrect predictions that would then propagate into the risk scoring module, causing inflated risk scores for some customers.</w:t>
            </w:r>
          </w:p>
        </w:tc>
      </w:tr>
    </w:tbl>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4"/>
              <w:left w:val="single" w:color="CCCCCC" w:sz="4"/>
              <w:bottom w:val="single" w:color="CCCCCC" w:sz="4"/>
              <w:right w:val="single" w:color="CCCCCC" w:sz="4"/>
            </w:tcBorders>
            <w:shd w:fill="FDEDEC" w:val="clear"/>
            <w:tcMar>
              <w:top w:type="dxa" w:w="160"/>
              <w:left w:type="dxa" w:w="200"/>
              <w:bottom w:type="dxa" w:w="120"/>
              <w:right w:type="dxa" w:w="200"/>
            </w:tcMar>
          </w:tcPr>
          <w:p>
            <w:pPr>
              <w:spacing w:after="100" w:before="0"/>
            </w:pPr>
            <w:r>
              <w:rPr>
                <w:rFonts w:ascii="Arial" w:cs="Arial" w:eastAsia="Arial" w:hAnsi="Arial"/>
                <w:b/>
                <w:bCs/>
                <w:color w:val="7B241C"/>
                <w:sz w:val="26"/>
                <w:szCs w:val="26"/>
              </w:rPr>
              <w:t xml:space="preserve">⚡  Challenge 3 — Phi-2 Model Size &amp; Memory (FR7)</w:t>
            </w:r>
          </w:p>
          <w:p>
            <w:pPr>
              <w:spacing w:after="60" w:before="60"/>
            </w:pPr>
            <w:r>
              <w:rPr>
                <w:rFonts w:ascii="Arial" w:cs="Arial" w:eastAsia="Arial" w:hAnsi="Arial"/>
                <w:color w:val="222222"/>
                <w:sz w:val="21"/>
                <w:szCs w:val="21"/>
              </w:rPr>
              <w:t xml:space="preserve">Microsoft Phi-2 requires approximately 5–6 GB of RAM in float32 mode. On development machines with 8 GB RAM, loading the model left insufficient memory for the Streamlit dashboard and data processing pipeline to run simultaneously. The model would load successfully but inference would fail with an out-of-memory error mid-generation.</w:t>
            </w:r>
          </w:p>
          <w:p>
            <w:pPr>
              <w:spacing w:after="60" w:before="60"/>
            </w:pPr>
            <w:r>
              <w:rPr>
                <w:rFonts w:ascii="Arial" w:cs="Arial" w:eastAsia="Arial" w:hAnsi="Arial"/>
                <w:color w:val="222222"/>
                <w:sz w:val="21"/>
                <w:szCs w:val="21"/>
              </w:rPr>
              <w:t xml:space="preserve">This was particularly difficult to debug because the error appeared in the model generation call, not the model loading step, making it look like a generation parameter issue rather than a resource issue.</w:t>
            </w:r>
          </w:p>
        </w:tc>
      </w:tr>
    </w:tbl>
    <w:p>
      <w:pPr>
        <w:spacing w:after="80" w:before="80"/>
      </w:pPr>
      <w:r>
        <w:t xml:space="preserve"/>
      </w:r>
    </w:p>
    <w:p>
      <w:pPr>
        <w:spacing w:after="80" w:before="80"/>
      </w:pPr>
      <w:r>
        <w:t xml:space="preserve"/>
      </w:r>
    </w:p>
    <w:p>
      <w:pPr>
        <w:pBdr>
          <w:bottom w:val="single" w:color="2E75B6" w:sz="6"/>
        </w:pBdr>
        <w:shd w:fill="1F3864" w:val="clear"/>
        <w:spacing w:after="100" w:before="280"/>
      </w:pPr>
      <w:r>
        <w:rPr>
          <w:rFonts w:ascii="Arial" w:cs="Arial" w:eastAsia="Arial" w:hAnsi="Arial"/>
          <w:b/>
          <w:bCs/>
          <w:color w:val="FFFFFF"/>
          <w:sz w:val="28"/>
          <w:szCs w:val="28"/>
        </w:rPr>
        <w:t xml:space="preserve">3. How We Resolved the Challenges</w:t>
      </w:r>
    </w:p>
    <w:p>
      <w:pPr>
        <w:spacing w:after="80" w:before="80"/>
      </w:pPr>
      <w:r>
        <w:t xml:space="preserve"/>
      </w:r>
    </w:p>
    <w:p>
      <w:pPr>
        <w:spacing w:after="60" w:before="160"/>
      </w:pPr>
      <w:r>
        <w:rPr>
          <w:rFonts w:ascii="Arial" w:cs="Arial" w:eastAsia="Arial" w:hAnsi="Arial"/>
          <w:b/>
          <w:bCs/>
          <w:color w:val="1E6823"/>
          <w:sz w:val="22"/>
          <w:szCs w:val="22"/>
        </w:rPr>
        <w:t xml:space="preserve">Resolution — FR6 Stratified Split</w:t>
      </w:r>
    </w:p>
    <w:p>
      <w:pPr>
        <w:spacing w:after="60" w:before="60"/>
      </w:pPr>
      <w:r>
        <w:rPr>
          <w:rFonts w:ascii="Arial" w:cs="Arial" w:eastAsia="Arial" w:hAnsi="Arial"/>
          <w:sz w:val="21"/>
          <w:szCs w:val="21"/>
        </w:rPr>
        <w:t xml:space="preserve">We implemented a dynamic label assignment strategy using p75 quantile thresholds rather than fixed rules. We also added a safety check: if any class had fewer than 5 samples, we forced 10 additional samples into that class using the nlargest/nsmallest approach on the fail-rate column. Additionally, we made stratification conditional — only applied if all classes had at least 2 members (Counter check). This eliminated the exception while maintaining statistical validity.</w:t>
      </w:r>
    </w:p>
    <w:p>
      <w:pPr>
        <w:spacing w:after="80" w:before="80"/>
      </w:pPr>
      <w:r>
        <w:t xml:space="preserve"/>
      </w:r>
    </w:p>
    <w:p>
      <w:pPr>
        <w:spacing w:after="60" w:before="160"/>
      </w:pPr>
      <w:r>
        <w:rPr>
          <w:rFonts w:ascii="Arial" w:cs="Arial" w:eastAsia="Arial" w:hAnsi="Arial"/>
          <w:b/>
          <w:bCs/>
          <w:color w:val="0E6655"/>
          <w:sz w:val="22"/>
          <w:szCs w:val="22"/>
        </w:rPr>
        <w:t xml:space="preserve">Resolution — ARIMA Convergence</w:t>
      </w:r>
    </w:p>
    <w:p>
      <w:pPr>
        <w:spacing w:after="60" w:before="60"/>
      </w:pPr>
      <w:r>
        <w:rPr>
          <w:rFonts w:ascii="Arial" w:cs="Arial" w:eastAsia="Arial" w:hAnsi="Arial"/>
          <w:sz w:val="21"/>
          <w:szCs w:val="21"/>
        </w:rPr>
        <w:t xml:space="preserve">We added explicit variance checking before calling ARIMA: if np.std(amounts) &lt; 1e-6 (near-zero variance), the code skips ARIMA and goes directly to EWM. For short series (&lt;4 points), we skip ARIMA entirely. The EWM fallback with exponential weights (np.linspace(0,1,n)) correctly handles constant-amount subscriptions by returning the constant value, which is the correct prediction for fixed-price subscriptions like Netflix.</w:t>
      </w:r>
    </w:p>
    <w:p>
      <w:pPr>
        <w:spacing w:after="80" w:before="80"/>
      </w:pPr>
      <w:r>
        <w:t xml:space="preserve"/>
      </w:r>
    </w:p>
    <w:p>
      <w:pPr>
        <w:spacing w:after="60" w:before="160"/>
      </w:pPr>
      <w:r>
        <w:rPr>
          <w:rFonts w:ascii="Arial" w:cs="Arial" w:eastAsia="Arial" w:hAnsi="Arial"/>
          <w:b/>
          <w:bCs/>
          <w:color w:val="7D4E00"/>
          <w:sz w:val="22"/>
          <w:szCs w:val="22"/>
        </w:rPr>
        <w:t xml:space="preserve">Resolution — Phi-2 Memory</w:t>
      </w:r>
    </w:p>
    <w:p>
      <w:pPr>
        <w:spacing w:after="60" w:before="60"/>
      </w:pPr>
      <w:r>
        <w:rPr>
          <w:rFonts w:ascii="Arial" w:cs="Arial" w:eastAsia="Arial" w:hAnsi="Arial"/>
          <w:sz w:val="21"/>
          <w:szCs w:val="21"/>
        </w:rPr>
        <w:t xml:space="preserve">We implemented lazy loading: Phi-2 is loaded only when an alert generation call is made, not at system startup. We added torch.cuda.empty_cache() calls between batches. For CPU-only environments, we set torch.float32 quantisation and added a hard fallback timeout: if Phi-2 inference exceeds 30 seconds, the system switches to the rule-based alert generator for that batch. This ensures the dashboard always loads quickly regardless of model availability.</w:t>
      </w:r>
    </w:p>
    <w:p>
      <w:pPr>
        <w:spacing w:after="80" w:before="80"/>
      </w:pPr>
      <w:r>
        <w:t xml:space="preserve"/>
      </w:r>
    </w:p>
    <w:p>
      <w:pPr>
        <w:spacing w:after="80" w:before="80"/>
      </w:pPr>
      <w:r>
        <w:t xml:space="preserve"/>
      </w:r>
    </w:p>
    <w:p>
      <w:pPr>
        <w:pBdr>
          <w:bottom w:val="single" w:color="2E75B6" w:sz="6"/>
        </w:pBdr>
        <w:shd w:fill="1F3864" w:val="clear"/>
        <w:spacing w:after="100" w:before="280"/>
      </w:pPr>
      <w:r>
        <w:rPr>
          <w:rFonts w:ascii="Arial" w:cs="Arial" w:eastAsia="Arial" w:hAnsi="Arial"/>
          <w:b/>
          <w:bCs/>
          <w:color w:val="FFFFFF"/>
          <w:sz w:val="28"/>
          <w:szCs w:val="28"/>
        </w:rPr>
        <w:t xml:space="preserve">4. What We Would Do Differently</w:t>
      </w:r>
    </w:p>
    <w:p>
      <w:pPr>
        <w:spacing w:after="80" w:before="80"/>
      </w:pPr>
      <w:r>
        <w:t xml:space="preserve"/>
      </w:r>
    </w:p>
    <w:p>
      <w:pPr>
        <w:pStyle w:val="ListParagraph"/>
        <w:numPr>
          <w:ilvl w:val="0"/>
          <w:numId w:val="2"/>
        </w:numPr>
        <w:spacing w:after="40" w:before="40"/>
      </w:pPr>
      <w:r>
        <w:rPr>
          <w:rFonts w:ascii="Arial" w:cs="Arial" w:eastAsia="Arial" w:hAnsi="Arial"/>
          <w:sz w:val="21"/>
          <w:szCs w:val="21"/>
        </w:rPr>
        <w:t xml:space="preserve">Start feature engineering earlier — In FR6, we built risk features after NLP and prediction were complete. In hindsight, designing the feature schema first and building modules around it would have prevented two refactoring cycles.</w:t>
      </w:r>
    </w:p>
    <w:p>
      <w:pPr>
        <w:pStyle w:val="ListParagraph"/>
        <w:numPr>
          <w:ilvl w:val="0"/>
          <w:numId w:val="2"/>
        </w:numPr>
        <w:spacing w:after="40" w:before="40"/>
      </w:pPr>
      <w:r>
        <w:rPr>
          <w:rFonts w:ascii="Arial" w:cs="Arial" w:eastAsia="Arial" w:hAnsi="Arial"/>
          <w:sz w:val="21"/>
          <w:szCs w:val="21"/>
        </w:rPr>
        <w:t xml:space="preserve">Use Prophet instead of ARIMA — Prophet handles seasonality, missing dates, and short series more robustly than ARIMA. The installation complexity that deterred us is manageable with a properly pinned requirements.txt.</w:t>
      </w:r>
    </w:p>
    <w:p>
      <w:pPr>
        <w:pStyle w:val="ListParagraph"/>
        <w:numPr>
          <w:ilvl w:val="0"/>
          <w:numId w:val="2"/>
        </w:numPr>
        <w:spacing w:after="40" w:before="40"/>
      </w:pPr>
      <w:r>
        <w:rPr>
          <w:rFonts w:ascii="Arial" w:cs="Arial" w:eastAsia="Arial" w:hAnsi="Arial"/>
          <w:sz w:val="21"/>
          <w:szCs w:val="21"/>
        </w:rPr>
        <w:t xml:space="preserve">Build a proper evaluation harness from day one — We ran model evaluations ad-hoc during development. A test suite (pytest) with fixed random seeds and expected metric ranges would have caught the ARIMA convergence issue in FR5 earlier.</w:t>
      </w:r>
    </w:p>
    <w:p>
      <w:pPr>
        <w:pStyle w:val="ListParagraph"/>
        <w:numPr>
          <w:ilvl w:val="0"/>
          <w:numId w:val="2"/>
        </w:numPr>
        <w:spacing w:after="40" w:before="40"/>
      </w:pPr>
      <w:r>
        <w:rPr>
          <w:rFonts w:ascii="Arial" w:cs="Arial" w:eastAsia="Arial" w:hAnsi="Arial"/>
          <w:sz w:val="21"/>
          <w:szCs w:val="21"/>
        </w:rPr>
        <w:t xml:space="preserve">Use a lighter GenAI alternative — Phi-2 at 2.7B parameters was unnecessarily large for structured alert generation. A rule-based template engine or a fine-tuned smaller model (e.g., TinyLlama) would have delivered identical output quality with 1/10th the resource requirement.</w:t>
      </w:r>
    </w:p>
    <w:p>
      <w:pPr>
        <w:pStyle w:val="ListParagraph"/>
        <w:numPr>
          <w:ilvl w:val="0"/>
          <w:numId w:val="2"/>
        </w:numPr>
        <w:spacing w:after="40" w:before="40"/>
      </w:pPr>
      <w:r>
        <w:rPr>
          <w:rFonts w:ascii="Arial" w:cs="Arial" w:eastAsia="Arial" w:hAnsi="Arial"/>
          <w:sz w:val="21"/>
          <w:szCs w:val="21"/>
        </w:rPr>
        <w:t xml:space="preserve">Keep a running challenge log — We wrote the Learning Report from memory at the end. Keeping a daily log of blockers and solutions would have produced a richer, more accurate document and saved approximately 2 hours of reconstruction.</w:t>
      </w:r>
    </w:p>
    <w:p>
      <w:pPr>
        <w:spacing w:after="80" w:before="80"/>
      </w:pPr>
      <w:r>
        <w:t xml:space="preserve"/>
      </w:r>
    </w:p>
    <w:p>
      <w:pPr>
        <w:spacing w:after="80" w:before="80"/>
      </w:pPr>
      <w:r>
        <w:t xml:space="preserve"/>
      </w:r>
    </w:p>
    <w:p>
      <w:pPr>
        <w:pBdr>
          <w:bottom w:val="single" w:color="2E75B6" w:sz="6"/>
        </w:pBdr>
        <w:shd w:fill="1F3864" w:val="clear"/>
        <w:spacing w:after="100" w:before="280"/>
      </w:pPr>
      <w:r>
        <w:rPr>
          <w:rFonts w:ascii="Arial" w:cs="Arial" w:eastAsia="Arial" w:hAnsi="Arial"/>
          <w:b/>
          <w:bCs/>
          <w:color w:val="FFFFFF"/>
          <w:sz w:val="28"/>
          <w:szCs w:val="28"/>
        </w:rPr>
        <w:t xml:space="preserve">5. Key Takeaway</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2E75B6" w:sz="12"/>
              <w:left w:val="single" w:color="2E75B6" w:sz="12"/>
              <w:bottom w:val="single" w:color="2E75B6" w:sz="12"/>
              <w:right w:val="single" w:color="2E75B6" w:sz="12"/>
            </w:tcBorders>
            <w:shd w:fill="D6E4F0" w:val="clear"/>
            <w:tcMar>
              <w:top w:type="dxa" w:w="200"/>
              <w:left w:type="dxa" w:w="240"/>
              <w:bottom w:type="dxa" w:w="200"/>
              <w:right w:type="dxa" w:w="240"/>
            </w:tcMar>
          </w:tcPr>
          <w:p>
            <w:pPr>
              <w:spacing w:after="80" w:before="0"/>
            </w:pPr>
            <w:r>
              <w:rPr>
                <w:rFonts w:ascii="Arial" w:cs="Arial" w:eastAsia="Arial" w:hAnsi="Arial"/>
                <w:b/>
                <w:bCs/>
                <w:color w:val="1F3864"/>
                <w:sz w:val="24"/>
                <w:szCs w:val="24"/>
              </w:rPr>
              <w:t xml:space="preserve">The most important thing this project taught us is that building a production AI system is fundamentally a systems engineering problem, not a machine learning problem.</w:t>
            </w:r>
          </w:p>
          <w:p>
            <w:pPr>
              <w:spacing w:after="80" w:before="80"/>
            </w:pPr>
            <w:r>
              <w:rPr>
                <w:rFonts w:ascii="Arial" w:cs="Arial" w:eastAsia="Arial" w:hAnsi="Arial"/>
                <w:sz w:val="21"/>
                <w:szCs w:val="21"/>
              </w:rPr>
              <w:t xml:space="preserve">Every model we built — the NLP classifier, the ARIMA predictor, the Gradient Boosting risk scorer, the Phi-2 alert generator — worked in isolation during our initial experiments. The hard work was making them work together reliably: sharing data schemas, handling the failures of upstream modules gracefully, maintaining consistent CustomerID keys across seven CSV files, and ensuring the Streamlit dashboard could load any combination of completed or incomplete pipeline stages without crashing.</w:t>
            </w:r>
          </w:p>
          <w:p>
            <w:pPr>
              <w:spacing w:after="0" w:before="80"/>
            </w:pPr>
            <w:r>
              <w:rPr>
                <w:rFonts w:ascii="Arial" w:cs="Arial" w:eastAsia="Arial" w:hAnsi="Arial"/>
                <w:sz w:val="21"/>
                <w:szCs w:val="21"/>
              </w:rPr>
              <w:t xml:space="preserve">We entered the project thinking the challenge was 'which ML algorithm should we use?' We leave understanding that the answer to that question matters far less than 'how do we make the system fail gracefully, how do we make it explainable, and how do we make it maintainable?' These are the questions that separate academic ML from deployed AI systems — and this project gave us our first real experience with all three.</w:t>
            </w:r>
          </w:p>
        </w:tc>
      </w:tr>
    </w:tbl>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Team 7 — Mansi &amp; Samyak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AI Subscription &amp; Auto-Debit Intelligence System  |  D5 – Learning &amp; Challenges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2026-04-02T17:48:56.139Z</dcterms:created>
  <dcterms:modified xsi:type="dcterms:W3CDTF">2026-04-02T17:48:56.140Z</dcterms:modified>
</cp:coreProperties>
</file>

<file path=docProps/custom.xml><?xml version="1.0" encoding="utf-8"?>
<Properties xmlns="http://schemas.openxmlformats.org/officeDocument/2006/custom-properties" xmlns:vt="http://schemas.openxmlformats.org/officeDocument/2006/docPropsVTypes"/>
</file>