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300"/>
        <w:jc w:val="center"/>
      </w:pPr>
      <w:r>
        <w:rPr>
          <w:rFonts w:ascii="Arial" w:cs="Arial" w:eastAsia="Arial" w:hAnsi="Arial"/>
          <w:b/>
          <w:bCs/>
          <w:color w:val="FFFFFF"/>
          <w:sz w:val="36"/>
          <w:szCs w:val="36"/>
        </w:rPr>
        <w:t xml:space="preserve">D7 — Model Evaluation Report</w:t>
      </w:r>
    </w:p>
    <w:p>
      <w:pPr>
        <w:shd w:fill="2E75B6" w:val="clear"/>
        <w:spacing w:after="60" w:before="0"/>
        <w:jc w:val="center"/>
      </w:pPr>
      <w:r>
        <w:rPr>
          <w:rFonts w:ascii="Arial" w:cs="Arial" w:eastAsia="Arial" w:hAnsi="Arial"/>
          <w:color w:val="FFFFFF"/>
          <w:sz w:val="24"/>
          <w:szCs w:val="24"/>
        </w:rPr>
        <w:t xml:space="preserve">Project 7: AI Subscription &amp; Auto-Debit Intelligence System</w:t>
      </w:r>
    </w:p>
    <w:p>
      <w:pPr>
        <w:shd w:fill="D6E4F0" w:val="clear"/>
        <w:spacing w:after="240" w:before="0"/>
        <w:jc w:val="center"/>
      </w:pPr>
      <w:r>
        <w:rPr>
          <w:rFonts w:ascii="Arial" w:cs="Arial" w:eastAsia="Arial" w:hAnsi="Arial"/>
          <w:color w:val="1F3864"/>
          <w:sz w:val="20"/>
          <w:szCs w:val="20"/>
        </w:rPr>
        <w:t xml:space="preserve">Team 7 — Mansi &amp; Samyak  |  AI Training Program  |  April 2025</w:t>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1. Evaluation Overview</w:t>
      </w:r>
    </w:p>
    <w:p>
      <w:pPr>
        <w:spacing w:after="60" w:before="60"/>
      </w:pPr>
      <w:r>
        <w:rPr>
          <w:rFonts w:ascii="Arial" w:cs="Arial" w:eastAsia="Arial" w:hAnsi="Arial"/>
          <w:sz w:val="21"/>
          <w:szCs w:val="21"/>
        </w:rPr>
        <w:t xml:space="preserve">This report evaluates every AI and ML component in the AI Subscription &amp; Auto-Debit Intelligence System against the success metrics defined in the Business Requirements Document (BRD). The system contains three distinct model components: an NLP-based subscription classifier (FR3), a time-series debit prediction engine (FR5), and a Gradient Boosting risk scoring model (FR6). Each component is evaluated independently with its own metrics, test methodology, and BRD target comparison.</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1200"/>
        <w:gridCol w:w="2120"/>
      </w:tblGrid>
      <w:tr>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 / Method</w:t>
            </w:r>
          </w:p>
        </w:tc>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Metric</w:t>
            </w:r>
          </w:p>
        </w:tc>
        <w:tc>
          <w:tcPr>
            <w:tcW w:type="dxa" w:w="1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BRD Target</w:t>
            </w:r>
          </w:p>
        </w:tc>
        <w:tc>
          <w:tcPr>
            <w:tcW w:type="dxa" w:w="212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Achieved</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FR3 — NLP Classifier</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TF-IDF + Logistic Regression</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Accuracy</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&gt;90%</w:t>
            </w:r>
          </w:p>
        </w:tc>
        <w:tc>
          <w:tcPr>
            <w:tcW w:type="dxa" w:w="212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99.81% — PASS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FR5 — Debit Predictor</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ARIMA(1,0,0) + Linear Regression + EWM</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RMSE on amount; Date MAE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High accuracy (no fixed %)</w:t>
            </w:r>
          </w:p>
        </w:tc>
        <w:tc>
          <w:tcPr>
            <w:tcW w:type="dxa" w:w="212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RMSE ₹22.4 | MAE 2.1 days</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FR6 — Risk Scorer</w:t>
            </w:r>
          </w:p>
        </w:tc>
        <w:tc>
          <w:tcPr>
            <w:tcW w:type="dxa" w:w="2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Gradient Boosting Classifier</w:t>
            </w:r>
          </w:p>
        </w:tc>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3-class Accuracy</w:t>
            </w:r>
          </w:p>
        </w:tc>
        <w:tc>
          <w:tcPr>
            <w:tcW w:type="dxa" w:w="1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&gt;85%</w:t>
            </w:r>
          </w:p>
        </w:tc>
        <w:tc>
          <w:tcPr>
            <w:tcW w:type="dxa" w:w="212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88.7% — PASS</w:t>
            </w:r>
          </w:p>
        </w:tc>
      </w:tr>
    </w:tbl>
    <w:p>
      <w:pPr>
        <w:spacing w:after="80" w:before="80"/>
      </w:pPr>
      <w:r>
        <w:t xml:space="preserve"/>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2. FR3 — NLP Subscription Classifier</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2.1 Methodology</w:t>
      </w:r>
    </w:p>
    <w:p>
      <w:pPr>
        <w:spacing w:after="60" w:before="60"/>
      </w:pPr>
      <w:r>
        <w:rPr>
          <w:rFonts w:ascii="Arial" w:cs="Arial" w:eastAsia="Arial" w:hAnsi="Arial"/>
          <w:sz w:val="21"/>
          <w:szCs w:val="21"/>
        </w:rPr>
        <w:t xml:space="preserve">Dataset: 137,700 synthetic transactions with SubscriptionFlag ground truth labels. The dataset was split 80/20 train/test using stratified splitting to maintain class distribution (approximately 55% subscription, 45% non-subscription). Text preprocessing: regex normalisation to lowercase alphanumeric, followed by TF-IDF vectorisation with n-gram range (1,3) and 8,000 maximum features with sublinear_tf=True. Classifier: Logistic Regression with C=1.5, max_iter=1000, and class_weight=balanced. A false-positive filter suppressed predictions on known non-subscription keywords (salary, refund, dividend, NEFT, IMPS, RTGS).</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2.2 Evaluation Results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900"/>
        <w:gridCol w:w="660"/>
      </w:tblGrid>
      <w:tr>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Class</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Precision</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Recall</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F1-Score</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Support</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BRD Target</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Non-Subscription</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0.9987</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0.9971</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0.9979</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12,328</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6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Subscription</w:t>
            </w:r>
          </w:p>
        </w:tc>
        <w:tc>
          <w:tcPr>
            <w:tcW w:type="dxa" w:w="1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0.9974</w:t>
            </w:r>
          </w:p>
        </w:tc>
        <w:tc>
          <w:tcPr>
            <w:tcW w:type="dxa" w:w="1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0.9988</w:t>
            </w:r>
          </w:p>
        </w:tc>
        <w:tc>
          <w:tcPr>
            <w:tcW w:type="dxa" w:w="1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0.9981</w:t>
            </w:r>
          </w:p>
        </w:tc>
        <w:tc>
          <w:tcPr>
            <w:tcW w:type="dxa" w:w="1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15,212</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240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left"/>
            </w:pPr>
            <w:r>
              <w:rPr>
                <w:rFonts w:ascii="Arial" w:cs="Arial" w:eastAsia="Arial" w:hAnsi="Arial"/>
                <w:b/>
                <w:bCs/>
                <w:color w:val="1E8449"/>
                <w:sz w:val="19"/>
                <w:szCs w:val="19"/>
              </w:rPr>
              <w:t xml:space="preserve">Overall Accuracy</w:t>
            </w:r>
          </w:p>
        </w:tc>
        <w:tc>
          <w:tcPr>
            <w:tcW w:type="dxa" w:w="144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44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44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44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27,540</w:t>
            </w:r>
          </w:p>
        </w:tc>
        <w:tc>
          <w:tcPr>
            <w:tcW w:type="dxa" w:w="90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&gt;90%</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2.3 Analysis</w:t>
      </w:r>
    </w:p>
    <w:p>
      <w:pPr>
        <w:spacing w:after="60" w:before="60"/>
      </w:pPr>
      <w:r>
        <w:rPr>
          <w:rFonts w:ascii="Arial" w:cs="Arial" w:eastAsia="Arial" w:hAnsi="Arial"/>
          <w:sz w:val="21"/>
          <w:szCs w:val="21"/>
        </w:rPr>
        <w:t xml:space="preserve">The classifier achieved 99.81% accuracy, exceeding the BRD target by 9.81 percentage points. The high performance is attributed to three factors: (1) strong keyword signal in synthetic transaction descriptions; (2) effective false-positive suppression that eliminated salary and NEFT misclassifications; (3) the sublinear_tf=True TF-IDF setting, which downweighted extremely common terms and allowed rarer subscription-specific bigrams to contribute more. The macro-averaged F1-score of 0.9980 confirms that performance is balanced across both classes, not driven by majority-class dominance.</w:t>
      </w:r>
    </w:p>
    <w:p>
      <w:pPr>
        <w:spacing w:after="80" w:before="80"/>
      </w:pPr>
      <w:r>
        <w:t xml:space="preserve"/>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3. FR5 — Debit Date &amp; Amount Predictor</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3.1 Methodology</w:t>
      </w:r>
    </w:p>
    <w:p>
      <w:pPr>
        <w:spacing w:after="60" w:before="60"/>
      </w:pPr>
      <w:r>
        <w:rPr>
          <w:rFonts w:ascii="Arial" w:cs="Arial" w:eastAsia="Arial" w:hAnsi="Arial"/>
          <w:sz w:val="21"/>
          <w:szCs w:val="21"/>
        </w:rPr>
        <w:t xml:space="preserve">Evaluation was conducted on 3,068 customer-subscription pairs with at least 2 historical occurrences. For amount prediction, ARIMA(1,0,0) was applied where series length ≥ 4, otherwise EWM fallback was used. For date prediction, a 70/30 blend of Linear Regression on ordinal dates and median gap was used. Evaluation metrics: RMSE and MAE for predicted amounts; MAE in days for predicted dates. Ground truth was established by holding out the final transaction in each subscription series and predicting it from prior history.</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3.2 Evaluation Results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20"/>
        <w:gridCol w:w="900"/>
      </w:tblGrid>
      <w:tr>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Sub-Task</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Method</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BRD Target</w:t>
            </w:r>
          </w:p>
        </w:tc>
        <w:tc>
          <w:tcPr>
            <w:tcW w:type="dxa" w:w="162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Achieved</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Amount Prediction</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ARIMA(1,0,0)</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RMSE (₹)</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High accuracy</w:t>
            </w:r>
          </w:p>
        </w:tc>
        <w:tc>
          <w:tcPr>
            <w:tcW w:type="dxa" w:w="162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₹22.4</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Amount Prediction</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EWM fallback</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RMSE (₹)</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High accuracy</w:t>
            </w:r>
          </w:p>
        </w:tc>
        <w:tc>
          <w:tcPr>
            <w:tcW w:type="dxa" w:w="162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₹38.7</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r>
        <w:tc>
          <w:tcPr>
            <w:tcW w:type="dxa" w:w="24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Date Prediction</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LR + Median Gap (70/30)</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MAE (days)</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High accuracy</w:t>
            </w:r>
          </w:p>
        </w:tc>
        <w:tc>
          <w:tcPr>
            <w:tcW w:type="dxa" w:w="162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2.1 days</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Amount Prediction Coverage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ARIMA applied</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 of series</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6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73.2% ARIMA / 26.8% EWM</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3.3 Analysis</w:t>
      </w:r>
    </w:p>
    <w:p>
      <w:pPr>
        <w:spacing w:after="60" w:before="60"/>
      </w:pPr>
      <w:r>
        <w:rPr>
          <w:rFonts w:ascii="Arial" w:cs="Arial" w:eastAsia="Arial" w:hAnsi="Arial"/>
          <w:sz w:val="21"/>
          <w:szCs w:val="21"/>
        </w:rPr>
        <w:t xml:space="preserve">ARIMA(1,0,0) outperforms EWM on amount prediction (RMSE ₹22.4 vs ₹38.7), validating the choice to prefer ARIMA when sufficient data exists. The higher EWM error is expected — it is a weighted average without temporal modelling, so it struggles with gradually increasing subscription prices (e.g., annual price hike). Date prediction at 2.1 days MAE is operationally excellent: for monthly subscriptions, a 2-day error margin is sufficient to send a proactive alert 3–5 days in advance as intended by the BRD. The BRD did not specify fixed percentage targets for FR5, so pass/fail is determined by operational adequacy rather than numerical threshold.</w:t>
      </w:r>
    </w:p>
    <w:p>
      <w:pPr>
        <w:spacing w:after="80" w:before="80"/>
      </w:pPr>
      <w:r>
        <w:t xml:space="preserve"/>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4. FR6 — Risk Scoring Model</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4.1 Methodology</w:t>
      </w:r>
    </w:p>
    <w:p>
      <w:pPr>
        <w:spacing w:after="60" w:before="60"/>
      </w:pPr>
      <w:r>
        <w:rPr>
          <w:rFonts w:ascii="Arial" w:cs="Arial" w:eastAsia="Arial" w:hAnsi="Arial"/>
          <w:sz w:val="21"/>
          <w:szCs w:val="21"/>
        </w:rPr>
        <w:t xml:space="preserve">Classification task: 3-class risk labelling (Low=0, Medium=1, High=2) per customer. Dataset: 1,200 unique customers after feature aggregation. Train/test split: 75/25 with stratification where class sizes permitted. Model: GradientBoostingClassifier with 200 estimators, max_depth=4, learning_rate=0.07, subsample=0.8. Pre-processing: StandardScaler on 8 features (Current_Balance, Failed_Debit_Rate, Avg_Debit_Amount, Upcoming_Total_Debit, Balance_To_Debit_Ratio, Upcoming_Debit_Pct, Total_Monthly_Sub_Amount, Subscription_Count). Labels were assigned using p75 quantile thresholds on failed debit rate and upcoming debit amount.</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4.2 Evaluation Results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900"/>
        <w:gridCol w:w="1260"/>
      </w:tblGrid>
      <w:tr>
        <w:tc>
          <w:tcPr>
            <w:tcW w:type="dxa" w:w="1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Risk Class</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Precision</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Recall</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F1-Score</w:t>
            </w:r>
          </w:p>
        </w:tc>
        <w:tc>
          <w:tcPr>
            <w:tcW w:type="dxa" w:w="144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Support</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BRD Target</w:t>
            </w:r>
          </w:p>
        </w:tc>
        <w:tc>
          <w:tcPr>
            <w:tcW w:type="dxa" w:w="12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 Risk</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0.9012</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0.8923</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0.8967</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86</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2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 Risk</w:t>
            </w:r>
          </w:p>
        </w:tc>
        <w:tc>
          <w:tcPr>
            <w:tcW w:type="dxa" w:w="1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0.8814</w:t>
            </w:r>
          </w:p>
        </w:tc>
        <w:tc>
          <w:tcPr>
            <w:tcW w:type="dxa" w:w="1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0.8966</w:t>
            </w:r>
          </w:p>
        </w:tc>
        <w:tc>
          <w:tcPr>
            <w:tcW w:type="dxa" w:w="1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0.8889</w:t>
            </w:r>
          </w:p>
        </w:tc>
        <w:tc>
          <w:tcPr>
            <w:tcW w:type="dxa" w:w="14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149</w:t>
            </w:r>
          </w:p>
        </w:tc>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2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18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 Risk</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0.8831</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0.8673</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0.8751</w:t>
            </w:r>
          </w:p>
        </w:tc>
        <w:tc>
          <w:tcPr>
            <w:tcW w:type="dxa" w:w="144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65</w:t>
            </w:r>
          </w:p>
        </w:tc>
        <w:tc>
          <w:tcPr>
            <w:tcW w:type="dxa" w:w="9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26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180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left"/>
            </w:pPr>
            <w:r>
              <w:rPr>
                <w:rFonts w:ascii="Arial" w:cs="Arial" w:eastAsia="Arial" w:hAnsi="Arial"/>
                <w:b/>
                <w:bCs/>
                <w:color w:val="1E8449"/>
                <w:sz w:val="19"/>
                <w:szCs w:val="19"/>
              </w:rPr>
              <w:t xml:space="preserve">Overall Accuracy</w:t>
            </w:r>
          </w:p>
        </w:tc>
        <w:tc>
          <w:tcPr>
            <w:tcW w:type="dxa" w:w="144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44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44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Macro F1: 0.887</w:t>
            </w:r>
          </w:p>
        </w:tc>
        <w:tc>
          <w:tcPr>
            <w:tcW w:type="dxa" w:w="144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300</w:t>
            </w:r>
          </w:p>
        </w:tc>
        <w:tc>
          <w:tcPr>
            <w:tcW w:type="dxa" w:w="90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&gt;85%</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4.3 Risk Distribution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Borders>
              <w:top w:val="single" w:color="BBBBBB" w:sz="4"/>
              <w:left w:val="single" w:color="BBBBBB" w:sz="4"/>
              <w:bottom w:val="single" w:color="BBBBBB" w:sz="4"/>
              <w:right w:val="single" w:color="BBBBBB" w:sz="4"/>
            </w:tcBorders>
            <w:shd w:fill="C0392B"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HIGH RISK</w:t>
            </w:r>
          </w:p>
          <w:p>
            <w:pPr>
              <w:jc w:val="center"/>
            </w:pPr>
            <w:r>
              <w:rPr>
                <w:rFonts w:ascii="Arial" w:cs="Arial" w:eastAsia="Arial" w:hAnsi="Arial"/>
                <w:b/>
                <w:bCs/>
                <w:color w:val="FFFFFF"/>
                <w:sz w:val="36"/>
                <w:szCs w:val="36"/>
              </w:rPr>
              <w:t xml:space="preserve">259 customers</w:t>
            </w:r>
          </w:p>
        </w:tc>
        <w:tc>
          <w:tcPr>
            <w:tcBorders>
              <w:top w:val="single" w:color="BBBBBB" w:sz="4"/>
              <w:left w:val="single" w:color="BBBBBB" w:sz="4"/>
              <w:bottom w:val="single" w:color="BBBBBB" w:sz="4"/>
              <w:right w:val="single" w:color="BBBBBB" w:sz="4"/>
            </w:tcBorders>
            <w:shd w:fill="E67E2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MEDIUM RISK</w:t>
            </w:r>
          </w:p>
          <w:p>
            <w:pPr>
              <w:jc w:val="center"/>
            </w:pPr>
            <w:r>
              <w:rPr>
                <w:rFonts w:ascii="Arial" w:cs="Arial" w:eastAsia="Arial" w:hAnsi="Arial"/>
                <w:b/>
                <w:bCs/>
                <w:color w:val="FFFFFF"/>
                <w:sz w:val="36"/>
                <w:szCs w:val="36"/>
              </w:rPr>
              <w:t xml:space="preserve">595 customers</w:t>
            </w:r>
          </w:p>
        </w:tc>
        <w:tc>
          <w:tcPr>
            <w:tcBorders>
              <w:top w:val="single" w:color="BBBBBB" w:sz="4"/>
              <w:left w:val="single" w:color="BBBBBB" w:sz="4"/>
              <w:bottom w:val="single" w:color="BBBBBB" w:sz="4"/>
              <w:right w:val="single" w:color="BBBBBB" w:sz="4"/>
            </w:tcBorders>
            <w:shd w:fill="1E844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LOW RISK</w:t>
            </w:r>
          </w:p>
          <w:p>
            <w:pPr>
              <w:jc w:val="center"/>
            </w:pPr>
            <w:r>
              <w:rPr>
                <w:rFonts w:ascii="Arial" w:cs="Arial" w:eastAsia="Arial" w:hAnsi="Arial"/>
                <w:b/>
                <w:bCs/>
                <w:color w:val="FFFFFF"/>
                <w:sz w:val="36"/>
                <w:szCs w:val="36"/>
              </w:rPr>
              <w:t xml:space="preserve">346 customers</w:t>
            </w:r>
          </w:p>
        </w:tc>
      </w:tr>
    </w:tbl>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4.4 Analysis</w:t>
      </w:r>
    </w:p>
    <w:p>
      <w:pPr>
        <w:spacing w:after="60" w:before="60"/>
      </w:pPr>
      <w:r>
        <w:rPr>
          <w:rFonts w:ascii="Arial" w:cs="Arial" w:eastAsia="Arial" w:hAnsi="Arial"/>
          <w:sz w:val="21"/>
          <w:szCs w:val="21"/>
        </w:rPr>
        <w:t xml:space="preserve">The Gradient Boosting model achieved 88.7% accuracy, exceeding the BRD target of 85%. High-risk classification shows the lowest recall (0.867), meaning approximately 13% of high-risk customers were predicted as medium risk. This is the most consequential error type in the business context (missed high-risk alerts) and should be a priority for model improvement. Failed_Debit_Rate was the most important feature by weight (0.35), followed by Subscription_Count (0.30). The StandardScaler pre-processing was critical — without it, Current_Balance (values 0–500,000) dominated the Gradient Boosting splits and suppressed the influence of smaller-scale features.</w:t>
      </w:r>
    </w:p>
    <w:p>
      <w:pPr>
        <w:spacing w:after="80" w:before="80"/>
      </w:pPr>
      <w:r>
        <w:t xml:space="preserve"/>
      </w:r>
    </w:p>
    <w:p>
      <w:pPr>
        <w:pBdr>
          <w:bottom w:val="single" w:color="2E75B6" w:sz="4"/>
        </w:pBdr>
        <w:spacing w:after="80" w:before="200"/>
      </w:pPr>
      <w:r>
        <w:rPr>
          <w:rFonts w:ascii="Arial" w:cs="Arial" w:eastAsia="Arial" w:hAnsi="Arial"/>
          <w:b/>
          <w:bCs/>
          <w:color w:val="1F3864"/>
          <w:sz w:val="24"/>
          <w:szCs w:val="24"/>
        </w:rPr>
        <w:t xml:space="preserve">4.5 Improvement Attempts</w:t>
      </w:r>
    </w:p>
    <w:p>
      <w:pPr>
        <w:spacing w:after="60" w:before="60"/>
      </w:pPr>
      <w:r>
        <w:rPr>
          <w:rFonts w:ascii="Arial" w:cs="Arial" w:eastAsia="Arial" w:hAnsi="Arial"/>
          <w:sz w:val="21"/>
          <w:szCs w:val="21"/>
        </w:rPr>
        <w:t xml:space="preserve">During development, a Random Forest baseline was tested (accuracy: 84.1%, below BRD target). Gradient Boosting was selected as the final model because it handles feature interactions more effectively than Random Forest for this tabular risk dataset. An attempt to use XGBoost was made but dependency conflicts in the test environment prevented its use. Future iterations should evaluate XGBoost with class weights and LightGBM for faster training on larger customer datasets.</w:t>
      </w:r>
    </w:p>
    <w:p>
      <w:pPr>
        <w:spacing w:after="80" w:before="80"/>
      </w:pPr>
      <w:r>
        <w:t xml:space="preserve"/>
      </w:r>
    </w:p>
    <w:p>
      <w:pPr>
        <w:spacing w:after="80" w:before="80"/>
      </w:pPr>
      <w:r>
        <w:t xml:space="preserve"/>
      </w:r>
    </w:p>
    <w:p>
      <w:pPr>
        <w:pBdr>
          <w:bottom w:val="single" w:color="2E75B6" w:sz="6"/>
        </w:pBdr>
        <w:shd w:fill="1F3864" w:val="clear"/>
        <w:spacing w:after="100" w:before="280"/>
      </w:pPr>
      <w:r>
        <w:rPr>
          <w:rFonts w:ascii="Arial" w:cs="Arial" w:eastAsia="Arial" w:hAnsi="Arial"/>
          <w:b/>
          <w:bCs/>
          <w:color w:val="FFFFFF"/>
          <w:sz w:val="28"/>
          <w:szCs w:val="28"/>
        </w:rPr>
        <w:t xml:space="preserve">5. Component Comparison &amp; Conclusion</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420"/>
        <w:gridCol w:w="1500"/>
        <w:gridCol w:w="1000"/>
      </w:tblGrid>
      <w:t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FR</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1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Method</w:t>
            </w:r>
          </w:p>
        </w:tc>
        <w:tc>
          <w:tcPr>
            <w:tcW w:type="dxa" w:w="142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BRD Target</w:t>
            </w:r>
          </w:p>
        </w:tc>
        <w:tc>
          <w:tcPr>
            <w:tcW w:type="dxa" w:w="1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Achieved</w:t>
            </w:r>
          </w:p>
        </w:tc>
        <w:tc>
          <w:tcPr>
            <w:tcW w:type="dxa" w:w="1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Verdict</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FR3</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Subscription Detector</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TF-IDF + LR</w:t>
            </w:r>
          </w:p>
        </w:tc>
        <w:tc>
          <w:tcPr>
            <w:tcW w:type="dxa" w:w="14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&gt;90% accuracy</w:t>
            </w:r>
          </w:p>
        </w:tc>
        <w:tc>
          <w:tcPr>
            <w:tcW w:type="dxa" w:w="150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99.81%</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Debit Predictor</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ARIMA + LR Blend</w:t>
            </w:r>
          </w:p>
        </w:tc>
        <w:tc>
          <w:tcPr>
            <w:tcW w:type="dxa" w:w="14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High accuracy</w:t>
            </w:r>
          </w:p>
        </w:tc>
        <w:tc>
          <w:tcPr>
            <w:tcW w:type="dxa" w:w="150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RMSE ₹22.4 / 2.1d MAE</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r>
        <w:tc>
          <w:tcPr>
            <w:tcW w:type="dxa" w:w="20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FR6</w:t>
            </w:r>
          </w:p>
        </w:tc>
        <w:tc>
          <w:tcPr>
            <w:tcW w:type="dxa" w:w="22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Risk Classifier</w:t>
            </w:r>
          </w:p>
        </w:tc>
        <w:tc>
          <w:tcPr>
            <w:tcW w:type="dxa" w:w="160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Gradient Boosting</w:t>
            </w:r>
          </w:p>
        </w:tc>
        <w:tc>
          <w:tcPr>
            <w:tcW w:type="dxa" w:w="1420"/>
            <w:tcBorders>
              <w:top w:val="single" w:color="BBBBBB" w:sz="4"/>
              <w:left w:val="single" w:color="BBBBBB" w:sz="4"/>
              <w:bottom w:val="single" w:color="BBBBBB" w:sz="4"/>
              <w:right w:val="single" w:color="BBBBBB" w:sz="4"/>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&gt;85% accuracy</w:t>
            </w:r>
          </w:p>
        </w:tc>
        <w:tc>
          <w:tcPr>
            <w:tcW w:type="dxa" w:w="1500"/>
            <w:tcBorders>
              <w:top w:val="single" w:color="BBBBBB" w:sz="4"/>
              <w:left w:val="single" w:color="BBBBBB" w:sz="4"/>
              <w:bottom w:val="single" w:color="BBBBBB" w:sz="4"/>
              <w:right w:val="single" w:color="BBBBBB" w:sz="4"/>
            </w:tcBorders>
            <w:shd w:fill="EAF7EA"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88.7%</w:t>
            </w:r>
          </w:p>
        </w:tc>
        <w:tc>
          <w:tcPr>
            <w:tcW w:type="dxa" w:w="900"/>
            <w:tcBorders>
              <w:top w:val="single" w:color="BBBBBB" w:sz="4"/>
              <w:left w:val="single" w:color="BBBBBB" w:sz="4"/>
              <w:bottom w:val="single" w:color="BBBBBB" w:sz="4"/>
              <w:right w:val="single" w:color="BBBBBB" w:sz="4"/>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PASS ✓</w:t>
            </w:r>
          </w:p>
        </w:tc>
      </w:tr>
    </w:tbl>
    <w:p>
      <w:pPr>
        <w:spacing w:after="80" w:before="80"/>
      </w:pPr>
      <w:r>
        <w:t xml:space="preserve"/>
      </w:r>
    </w:p>
    <w:p>
      <w:pPr>
        <w:spacing w:after="60" w:before="60"/>
      </w:pPr>
      <w:r>
        <w:rPr>
          <w:rFonts w:ascii="Arial" w:cs="Arial" w:eastAsia="Arial" w:hAnsi="Arial"/>
          <w:sz w:val="21"/>
          <w:szCs w:val="21"/>
        </w:rPr>
        <w:t xml:space="preserve">All three model components met or exceeded their BRD-defined success targets. The NLP subscription classifier substantially outperformed expectations at 99.81% accuracy. The debit prediction engine demonstrates operationally viable precision (2.1 days date MAE, ₹22.4 amount RMSE) sufficient to generate alerts 3–5 days before debit. The risk classifier meets the 85% threshold with headroom (88.7%) and provides explainable, per-customer risk reasons. The system as a whole demonstrates that a fully local AI pipeline (no cloud dependencies) can achieve production-grade accuracy across NLP, time-series, and classification tasks simultaneously.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Team 7 — Mansi &amp; Samyak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AI Subscription &amp; Auto-Debit Intelligence System  |  D7 – Model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2026-04-02T17:50:50.839Z</dcterms:created>
  <dcterms:modified xsi:type="dcterms:W3CDTF">2026-04-02T17:50:50.839Z</dcterms:modified>
</cp:coreProperties>
</file>

<file path=docProps/custom.xml><?xml version="1.0" encoding="utf-8"?>
<Properties xmlns="http://schemas.openxmlformats.org/officeDocument/2006/custom-properties" xmlns:vt="http://schemas.openxmlformats.org/officeDocument/2006/docPropsVTypes"/>
</file>