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CB433" w14:textId="53D7A071" w:rsidR="00713735" w:rsidRPr="00713735" w:rsidRDefault="003B1AE8" w:rsidP="003B1AE8">
      <w:pPr>
        <w:jc w:val="center"/>
        <w:rPr>
          <w:rFonts w:ascii="Times New Roman" w:hAnsi="Times New Roman" w:cs="Times New Roman"/>
          <w:b/>
          <w:bCs/>
          <w:sz w:val="36"/>
          <w:szCs w:val="36"/>
        </w:rPr>
      </w:pPr>
      <w:r w:rsidRPr="003B1AE8">
        <w:rPr>
          <w:rFonts w:ascii="Times New Roman" w:hAnsi="Times New Roman" w:cs="Times New Roman"/>
          <w:b/>
          <w:bCs/>
          <w:sz w:val="36"/>
          <w:szCs w:val="36"/>
        </w:rPr>
        <w:t>PROJECT 2</w:t>
      </w:r>
    </w:p>
    <w:p w14:paraId="48FDE109" w14:textId="77777777" w:rsidR="001E7303" w:rsidRPr="0007697E" w:rsidRDefault="001E7303" w:rsidP="001E7303">
      <w:pPr>
        <w:rPr>
          <w:b/>
          <w:bCs/>
          <w:sz w:val="32"/>
          <w:szCs w:val="32"/>
        </w:rPr>
      </w:pPr>
      <w:r w:rsidRPr="0007697E">
        <w:rPr>
          <w:b/>
          <w:bCs/>
          <w:sz w:val="32"/>
          <w:szCs w:val="32"/>
        </w:rPr>
        <w:t>Team Members:</w:t>
      </w:r>
    </w:p>
    <w:p w14:paraId="4EAEE71E" w14:textId="77777777" w:rsidR="001E7303" w:rsidRPr="0007697E" w:rsidRDefault="001E7303" w:rsidP="001E7303">
      <w:pPr>
        <w:pStyle w:val="ListParagraph"/>
        <w:numPr>
          <w:ilvl w:val="0"/>
          <w:numId w:val="9"/>
        </w:numPr>
        <w:spacing w:line="278" w:lineRule="auto"/>
        <w:rPr>
          <w:sz w:val="32"/>
          <w:szCs w:val="32"/>
        </w:rPr>
      </w:pPr>
      <w:r w:rsidRPr="0007697E">
        <w:rPr>
          <w:sz w:val="32"/>
          <w:szCs w:val="32"/>
        </w:rPr>
        <w:t>Mansi Nagar</w:t>
      </w:r>
    </w:p>
    <w:p w14:paraId="26E5435D" w14:textId="77777777" w:rsidR="001E7303" w:rsidRPr="0007697E" w:rsidRDefault="001E7303" w:rsidP="001E7303">
      <w:pPr>
        <w:pStyle w:val="ListParagraph"/>
        <w:numPr>
          <w:ilvl w:val="0"/>
          <w:numId w:val="9"/>
        </w:numPr>
        <w:spacing w:line="278" w:lineRule="auto"/>
        <w:rPr>
          <w:sz w:val="32"/>
          <w:szCs w:val="32"/>
        </w:rPr>
      </w:pPr>
      <w:r w:rsidRPr="0007697E">
        <w:rPr>
          <w:sz w:val="32"/>
          <w:szCs w:val="32"/>
        </w:rPr>
        <w:t xml:space="preserve">Aryansh </w:t>
      </w:r>
      <w:proofErr w:type="spellStart"/>
      <w:r w:rsidRPr="0007697E">
        <w:rPr>
          <w:sz w:val="32"/>
          <w:szCs w:val="32"/>
        </w:rPr>
        <w:t>Fooria</w:t>
      </w:r>
      <w:proofErr w:type="spellEnd"/>
    </w:p>
    <w:p w14:paraId="44561BFB" w14:textId="77777777" w:rsidR="001E7303" w:rsidRDefault="001E7303" w:rsidP="001E7303">
      <w:pPr>
        <w:pStyle w:val="ListParagraph"/>
        <w:numPr>
          <w:ilvl w:val="0"/>
          <w:numId w:val="9"/>
        </w:numPr>
        <w:spacing w:line="278" w:lineRule="auto"/>
        <w:rPr>
          <w:sz w:val="32"/>
          <w:szCs w:val="32"/>
        </w:rPr>
      </w:pPr>
      <w:r w:rsidRPr="0007697E">
        <w:rPr>
          <w:sz w:val="32"/>
          <w:szCs w:val="32"/>
        </w:rPr>
        <w:t>Palash Rathi</w:t>
      </w:r>
    </w:p>
    <w:p w14:paraId="21ABFCBF" w14:textId="77777777" w:rsidR="001E7303" w:rsidRPr="00E56464" w:rsidRDefault="001E7303" w:rsidP="001E7303">
      <w:pPr>
        <w:pStyle w:val="ListParagraph"/>
        <w:numPr>
          <w:ilvl w:val="0"/>
          <w:numId w:val="9"/>
        </w:numPr>
      </w:pPr>
      <w:r w:rsidRPr="00E56464">
        <w:rPr>
          <w:sz w:val="32"/>
          <w:szCs w:val="32"/>
        </w:rPr>
        <w:t>Biswajit Saha</w:t>
      </w:r>
    </w:p>
    <w:p w14:paraId="4520EC05" w14:textId="77777777" w:rsidR="001E7303" w:rsidRPr="001E7303" w:rsidRDefault="001E7303" w:rsidP="001E7303">
      <w:pPr>
        <w:pStyle w:val="ListParagraph"/>
        <w:rPr>
          <w:b/>
          <w:bCs/>
        </w:rPr>
      </w:pPr>
    </w:p>
    <w:p w14:paraId="2CB1622B" w14:textId="2515C2B7" w:rsidR="00713735" w:rsidRDefault="00713735" w:rsidP="003B1AE8">
      <w:pPr>
        <w:jc w:val="center"/>
        <w:rPr>
          <w:rFonts w:ascii="Arial" w:hAnsi="Arial" w:cs="Arial"/>
          <w:b/>
          <w:bCs/>
          <w:sz w:val="32"/>
          <w:szCs w:val="32"/>
        </w:rPr>
      </w:pPr>
      <w:r w:rsidRPr="00713735">
        <w:rPr>
          <w:rFonts w:ascii="Arial" w:hAnsi="Arial" w:cs="Arial"/>
          <w:b/>
          <w:bCs/>
          <w:sz w:val="32"/>
          <w:szCs w:val="32"/>
        </w:rPr>
        <w:t xml:space="preserve">Section </w:t>
      </w:r>
      <w:proofErr w:type="gramStart"/>
      <w:r w:rsidRPr="00713735">
        <w:rPr>
          <w:rFonts w:ascii="Arial" w:hAnsi="Arial" w:cs="Arial"/>
          <w:b/>
          <w:bCs/>
          <w:sz w:val="32"/>
          <w:szCs w:val="32"/>
        </w:rPr>
        <w:t>1</w:t>
      </w:r>
      <w:r w:rsidR="003B1AE8" w:rsidRPr="003B1AE8">
        <w:rPr>
          <w:rFonts w:ascii="Arial" w:hAnsi="Arial" w:cs="Arial"/>
          <w:b/>
          <w:bCs/>
          <w:sz w:val="32"/>
          <w:szCs w:val="32"/>
        </w:rPr>
        <w:t xml:space="preserve"> :</w:t>
      </w:r>
      <w:proofErr w:type="gramEnd"/>
      <w:r w:rsidR="003B1AE8" w:rsidRPr="003B1AE8">
        <w:rPr>
          <w:rFonts w:ascii="Arial" w:hAnsi="Arial" w:cs="Arial"/>
          <w:b/>
          <w:bCs/>
          <w:sz w:val="32"/>
          <w:szCs w:val="32"/>
        </w:rPr>
        <w:t xml:space="preserve"> L</w:t>
      </w:r>
      <w:r w:rsidR="003B1AE8" w:rsidRPr="00164F5C">
        <w:rPr>
          <w:rFonts w:ascii="Arial" w:hAnsi="Arial" w:cs="Arial"/>
          <w:b/>
          <w:bCs/>
          <w:sz w:val="32"/>
          <w:szCs w:val="32"/>
        </w:rPr>
        <w:t>ong-</w:t>
      </w:r>
      <w:r w:rsidR="003B1AE8" w:rsidRPr="003B1AE8">
        <w:rPr>
          <w:rFonts w:ascii="Arial" w:hAnsi="Arial" w:cs="Arial"/>
          <w:b/>
          <w:bCs/>
          <w:sz w:val="32"/>
          <w:szCs w:val="32"/>
        </w:rPr>
        <w:t>S</w:t>
      </w:r>
      <w:r w:rsidR="003B1AE8" w:rsidRPr="00164F5C">
        <w:rPr>
          <w:rFonts w:ascii="Arial" w:hAnsi="Arial" w:cs="Arial"/>
          <w:b/>
          <w:bCs/>
          <w:sz w:val="32"/>
          <w:szCs w:val="32"/>
        </w:rPr>
        <w:t xml:space="preserve">hort </w:t>
      </w:r>
      <w:r w:rsidR="003B1AE8" w:rsidRPr="003B1AE8">
        <w:rPr>
          <w:rFonts w:ascii="Arial" w:hAnsi="Arial" w:cs="Arial"/>
          <w:b/>
          <w:bCs/>
          <w:sz w:val="32"/>
          <w:szCs w:val="32"/>
        </w:rPr>
        <w:t>I</w:t>
      </w:r>
      <w:r w:rsidR="003B1AE8" w:rsidRPr="00164F5C">
        <w:rPr>
          <w:rFonts w:ascii="Arial" w:hAnsi="Arial" w:cs="Arial"/>
          <w:b/>
          <w:bCs/>
          <w:sz w:val="32"/>
          <w:szCs w:val="32"/>
        </w:rPr>
        <w:t xml:space="preserve">nvestment </w:t>
      </w:r>
      <w:r w:rsidR="003B1AE8" w:rsidRPr="003B1AE8">
        <w:rPr>
          <w:rFonts w:ascii="Arial" w:hAnsi="Arial" w:cs="Arial"/>
          <w:b/>
          <w:bCs/>
          <w:sz w:val="32"/>
          <w:szCs w:val="32"/>
        </w:rPr>
        <w:t>S</w:t>
      </w:r>
      <w:r w:rsidR="003B1AE8" w:rsidRPr="00164F5C">
        <w:rPr>
          <w:rFonts w:ascii="Arial" w:hAnsi="Arial" w:cs="Arial"/>
          <w:b/>
          <w:bCs/>
          <w:sz w:val="32"/>
          <w:szCs w:val="32"/>
        </w:rPr>
        <w:t>trategies</w:t>
      </w:r>
    </w:p>
    <w:p w14:paraId="61A61A1D" w14:textId="77777777" w:rsidR="003B1AE8" w:rsidRPr="00713735" w:rsidRDefault="003B1AE8" w:rsidP="003B1AE8">
      <w:pPr>
        <w:jc w:val="center"/>
        <w:rPr>
          <w:rFonts w:ascii="Arial" w:hAnsi="Arial" w:cs="Arial"/>
          <w:b/>
          <w:bCs/>
          <w:sz w:val="32"/>
          <w:szCs w:val="32"/>
        </w:rPr>
      </w:pPr>
    </w:p>
    <w:p w14:paraId="6A0AAB7C" w14:textId="34DB3F06" w:rsidR="003B1AE8" w:rsidRPr="003B1AE8" w:rsidRDefault="003B1AE8" w:rsidP="00713735">
      <w:pPr>
        <w:rPr>
          <w:b/>
          <w:bCs/>
          <w:sz w:val="24"/>
          <w:szCs w:val="24"/>
        </w:rPr>
      </w:pPr>
      <w:r w:rsidRPr="003B1AE8">
        <w:rPr>
          <w:b/>
          <w:bCs/>
          <w:sz w:val="24"/>
          <w:szCs w:val="24"/>
        </w:rPr>
        <w:t>STRATEGY 1: Analyst Fatigue Arbitrage</w:t>
      </w:r>
    </w:p>
    <w:p w14:paraId="2C0FE78F" w14:textId="36619109" w:rsidR="00713735" w:rsidRPr="00713735" w:rsidRDefault="00713735" w:rsidP="00713735">
      <w:pPr>
        <w:rPr>
          <w:b/>
          <w:bCs/>
        </w:rPr>
      </w:pPr>
      <w:r w:rsidRPr="00713735">
        <w:rPr>
          <w:b/>
          <w:bCs/>
        </w:rPr>
        <w:t xml:space="preserve">Overview: </w:t>
      </w:r>
      <w:r w:rsidRPr="00713735">
        <w:t>Exploit investor neglect when firms lose analyst coverage and capitalize on renewed attention when new coverage starts.</w:t>
      </w:r>
    </w:p>
    <w:p w14:paraId="79332DEA" w14:textId="77777777" w:rsidR="00713735" w:rsidRPr="00713735" w:rsidRDefault="00713735" w:rsidP="00713735">
      <w:r w:rsidRPr="00713735">
        <w:rPr>
          <w:b/>
          <w:bCs/>
        </w:rPr>
        <w:t xml:space="preserve">Economic Logic: </w:t>
      </w:r>
      <w:r w:rsidRPr="00713735">
        <w:t>Markets still rely heavily on analyst reports as an information filter. When coverage expands, the firm appears on more institutional radars, leading to incremental buy interest. When coverage contracts, liquidity drops and the firm drifts out of sight. Prices adjust slowly as portfolio managers update their holdings after visibility changes ripple through.</w:t>
      </w:r>
    </w:p>
    <w:p w14:paraId="3B756976" w14:textId="77777777" w:rsidR="00713735" w:rsidRPr="00713735" w:rsidRDefault="00713735" w:rsidP="00713735">
      <w:pPr>
        <w:rPr>
          <w:b/>
          <w:bCs/>
        </w:rPr>
      </w:pPr>
      <w:r w:rsidRPr="00713735">
        <w:rPr>
          <w:b/>
          <w:bCs/>
        </w:rPr>
        <w:t>Implementation:</w:t>
      </w:r>
    </w:p>
    <w:p w14:paraId="225BACA9" w14:textId="77777777" w:rsidR="00713735" w:rsidRPr="00713735" w:rsidRDefault="00713735" w:rsidP="00713735">
      <w:pPr>
        <w:numPr>
          <w:ilvl w:val="0"/>
          <w:numId w:val="4"/>
        </w:numPr>
      </w:pPr>
      <w:r w:rsidRPr="00713735">
        <w:t>Quarterly, pull I/B/E/S analyst coverage data.</w:t>
      </w:r>
    </w:p>
    <w:p w14:paraId="31FB8C3D" w14:textId="77777777" w:rsidR="00713735" w:rsidRPr="00713735" w:rsidRDefault="00713735" w:rsidP="00713735">
      <w:pPr>
        <w:numPr>
          <w:ilvl w:val="0"/>
          <w:numId w:val="4"/>
        </w:numPr>
      </w:pPr>
      <w:r w:rsidRPr="00713735">
        <w:t>Rank all U.S. stocks by quarterly change in analyst count.</w:t>
      </w:r>
    </w:p>
    <w:p w14:paraId="1A3FC685" w14:textId="77777777" w:rsidR="00713735" w:rsidRPr="00713735" w:rsidRDefault="00713735" w:rsidP="00713735">
      <w:pPr>
        <w:numPr>
          <w:ilvl w:val="0"/>
          <w:numId w:val="4"/>
        </w:numPr>
      </w:pPr>
      <w:r w:rsidRPr="00713735">
        <w:t>Long leg: top 20% gaining coverage.</w:t>
      </w:r>
    </w:p>
    <w:p w14:paraId="1BAFA54D" w14:textId="77777777" w:rsidR="00713735" w:rsidRPr="00713735" w:rsidRDefault="00713735" w:rsidP="00713735">
      <w:pPr>
        <w:numPr>
          <w:ilvl w:val="0"/>
          <w:numId w:val="4"/>
        </w:numPr>
      </w:pPr>
      <w:r w:rsidRPr="00713735">
        <w:t>Short leg: bottom 20% losing coverage.</w:t>
      </w:r>
    </w:p>
    <w:p w14:paraId="3C652B4D" w14:textId="77777777" w:rsidR="00713735" w:rsidRPr="00713735" w:rsidRDefault="00713735" w:rsidP="00713735">
      <w:pPr>
        <w:numPr>
          <w:ilvl w:val="0"/>
          <w:numId w:val="4"/>
        </w:numPr>
      </w:pPr>
      <w:r w:rsidRPr="00713735">
        <w:t>Equal-weight both sides and rebalance quarterly.</w:t>
      </w:r>
    </w:p>
    <w:p w14:paraId="103B08E2" w14:textId="77777777" w:rsidR="00713735" w:rsidRPr="00713735" w:rsidRDefault="00713735" w:rsidP="00713735">
      <w:r w:rsidRPr="00713735">
        <w:rPr>
          <w:b/>
          <w:bCs/>
        </w:rPr>
        <w:t>Expected Risk Premium</w:t>
      </w:r>
      <w:r w:rsidRPr="00713735">
        <w:t xml:space="preserve">: The trade captures the attention and liquidity premium. Newly covered firms attract demand; coverage withdrawal triggers </w:t>
      </w:r>
      <w:proofErr w:type="spellStart"/>
      <w:r w:rsidRPr="00713735">
        <w:t>underpricing</w:t>
      </w:r>
      <w:proofErr w:type="spellEnd"/>
      <w:r w:rsidRPr="00713735">
        <w:t>. The mispricing window is sufficient for systematic capture before awareness normalizes.</w:t>
      </w:r>
    </w:p>
    <w:p w14:paraId="43D08CC2" w14:textId="6C8D2F54" w:rsidR="00713735" w:rsidRPr="00713735" w:rsidRDefault="00713735" w:rsidP="00713735">
      <w:pPr>
        <w:rPr>
          <w:b/>
          <w:bCs/>
        </w:rPr>
      </w:pPr>
    </w:p>
    <w:p w14:paraId="32B4D355" w14:textId="0930697C" w:rsidR="00713735" w:rsidRPr="00713735" w:rsidRDefault="003B1AE8" w:rsidP="00713735">
      <w:pPr>
        <w:rPr>
          <w:b/>
          <w:bCs/>
          <w:sz w:val="24"/>
          <w:szCs w:val="24"/>
        </w:rPr>
      </w:pPr>
      <w:r w:rsidRPr="003B1AE8">
        <w:rPr>
          <w:b/>
          <w:bCs/>
          <w:sz w:val="24"/>
          <w:szCs w:val="24"/>
        </w:rPr>
        <w:t xml:space="preserve">STRATEGY 2: </w:t>
      </w:r>
      <w:r w:rsidR="00713735" w:rsidRPr="00713735">
        <w:rPr>
          <w:b/>
          <w:bCs/>
          <w:sz w:val="24"/>
          <w:szCs w:val="24"/>
        </w:rPr>
        <w:t>Insider Silence Momentum</w:t>
      </w:r>
    </w:p>
    <w:p w14:paraId="5E1C2A16" w14:textId="517054CA" w:rsidR="00713735" w:rsidRPr="00713735" w:rsidRDefault="00713735" w:rsidP="00713735">
      <w:r w:rsidRPr="00713735">
        <w:rPr>
          <w:b/>
          <w:bCs/>
        </w:rPr>
        <w:t xml:space="preserve">Overview: </w:t>
      </w:r>
      <w:r w:rsidRPr="00713735">
        <w:t>During market rallies, insiders who stay silent send a louder signal than those who sell.</w:t>
      </w:r>
    </w:p>
    <w:p w14:paraId="79876F65" w14:textId="77777777" w:rsidR="00713735" w:rsidRPr="00713735" w:rsidRDefault="00713735" w:rsidP="00713735">
      <w:pPr>
        <w:rPr>
          <w:b/>
          <w:bCs/>
        </w:rPr>
      </w:pPr>
      <w:r w:rsidRPr="00713735">
        <w:rPr>
          <w:b/>
          <w:bCs/>
        </w:rPr>
        <w:t xml:space="preserve">Economic Logic: </w:t>
      </w:r>
      <w:r w:rsidRPr="00713735">
        <w:t>Insiders often sell during strong markets. No insider sales during S&amp;P 500 rallies suggests strong internal conviction or upcoming positive developments. Heavy insider selling reflects perceived overvaluation.</w:t>
      </w:r>
    </w:p>
    <w:p w14:paraId="5BC97AFD" w14:textId="77777777" w:rsidR="00713735" w:rsidRPr="00713735" w:rsidRDefault="00713735" w:rsidP="00713735">
      <w:pPr>
        <w:rPr>
          <w:b/>
          <w:bCs/>
        </w:rPr>
      </w:pPr>
      <w:r w:rsidRPr="00713735">
        <w:rPr>
          <w:b/>
          <w:bCs/>
        </w:rPr>
        <w:t>Implementation:</w:t>
      </w:r>
    </w:p>
    <w:p w14:paraId="5B801B25" w14:textId="77777777" w:rsidR="00713735" w:rsidRPr="00713735" w:rsidRDefault="00713735" w:rsidP="00713735">
      <w:pPr>
        <w:numPr>
          <w:ilvl w:val="0"/>
          <w:numId w:val="5"/>
        </w:numPr>
      </w:pPr>
      <w:r w:rsidRPr="00713735">
        <w:t>Quarterly, identify S&amp;P 1500 firms.</w:t>
      </w:r>
    </w:p>
    <w:p w14:paraId="5C9E2F1C" w14:textId="77777777" w:rsidR="00713735" w:rsidRPr="00713735" w:rsidRDefault="00713735" w:rsidP="00713735">
      <w:pPr>
        <w:numPr>
          <w:ilvl w:val="0"/>
          <w:numId w:val="5"/>
        </w:numPr>
      </w:pPr>
      <w:r w:rsidRPr="00713735">
        <w:lastRenderedPageBreak/>
        <w:t>Use Form 4 filings from WRDS Insider Trades.</w:t>
      </w:r>
    </w:p>
    <w:p w14:paraId="3B8228C1" w14:textId="77777777" w:rsidR="00713735" w:rsidRPr="00713735" w:rsidRDefault="00713735" w:rsidP="00713735">
      <w:pPr>
        <w:numPr>
          <w:ilvl w:val="0"/>
          <w:numId w:val="5"/>
        </w:numPr>
      </w:pPr>
      <w:r w:rsidRPr="00713735">
        <w:t>Long leg: firms with zero insider sales in the past 3 months during S&amp;P 500 rallies (&gt;5%).</w:t>
      </w:r>
    </w:p>
    <w:p w14:paraId="0B6236F4" w14:textId="77777777" w:rsidR="00713735" w:rsidRPr="00713735" w:rsidRDefault="00713735" w:rsidP="00713735">
      <w:pPr>
        <w:numPr>
          <w:ilvl w:val="0"/>
          <w:numId w:val="5"/>
        </w:numPr>
      </w:pPr>
      <w:r w:rsidRPr="00713735">
        <w:t>Short leg: firms in the top decile of insider sale volume relative to market cap.</w:t>
      </w:r>
    </w:p>
    <w:p w14:paraId="51E2E304" w14:textId="77777777" w:rsidR="00713735" w:rsidRPr="00713735" w:rsidRDefault="00713735" w:rsidP="00713735">
      <w:pPr>
        <w:numPr>
          <w:ilvl w:val="0"/>
          <w:numId w:val="5"/>
        </w:numPr>
      </w:pPr>
      <w:r w:rsidRPr="00713735">
        <w:t>Equal-weight both legs and rebalance quarterly.</w:t>
      </w:r>
    </w:p>
    <w:p w14:paraId="082BE906" w14:textId="77777777" w:rsidR="00713735" w:rsidRPr="00713735" w:rsidRDefault="00713735" w:rsidP="00713735">
      <w:r w:rsidRPr="00713735">
        <w:rPr>
          <w:b/>
          <w:bCs/>
        </w:rPr>
        <w:t xml:space="preserve">Expected Risk Premium: </w:t>
      </w:r>
      <w:r w:rsidRPr="00713735">
        <w:t xml:space="preserve">Exploits information asymmetry. Insider silence signals confidence ignored by momentum-focused markets. Spread earns reward for interpreting insider </w:t>
      </w:r>
      <w:proofErr w:type="spellStart"/>
      <w:r w:rsidRPr="00713735">
        <w:t>behavior</w:t>
      </w:r>
      <w:proofErr w:type="spellEnd"/>
      <w:r w:rsidRPr="00713735">
        <w:t xml:space="preserve"> correctly.</w:t>
      </w:r>
    </w:p>
    <w:p w14:paraId="1797331F" w14:textId="5D71AACA" w:rsidR="00713735" w:rsidRPr="00713735" w:rsidRDefault="00713735" w:rsidP="00713735">
      <w:pPr>
        <w:rPr>
          <w:b/>
          <w:bCs/>
        </w:rPr>
      </w:pPr>
    </w:p>
    <w:p w14:paraId="1E90D89F" w14:textId="3B064884" w:rsidR="00713735" w:rsidRPr="00713735" w:rsidRDefault="00BF086F" w:rsidP="00713735">
      <w:pPr>
        <w:rPr>
          <w:b/>
          <w:bCs/>
          <w:sz w:val="24"/>
          <w:szCs w:val="24"/>
        </w:rPr>
      </w:pPr>
      <w:r w:rsidRPr="00BF086F">
        <w:rPr>
          <w:b/>
          <w:bCs/>
          <w:sz w:val="24"/>
          <w:szCs w:val="24"/>
        </w:rPr>
        <w:t>STRATEGY 3</w:t>
      </w:r>
      <w:r w:rsidR="00713735" w:rsidRPr="00713735">
        <w:rPr>
          <w:b/>
          <w:bCs/>
          <w:sz w:val="24"/>
          <w:szCs w:val="24"/>
        </w:rPr>
        <w:t>: Employee Optimism Arbitrage</w:t>
      </w:r>
    </w:p>
    <w:p w14:paraId="35D3139E" w14:textId="34CEAF73" w:rsidR="00713735" w:rsidRPr="00713735" w:rsidRDefault="00713735" w:rsidP="00713735">
      <w:r w:rsidRPr="00713735">
        <w:rPr>
          <w:b/>
          <w:bCs/>
        </w:rPr>
        <w:t xml:space="preserve">Overview: </w:t>
      </w:r>
      <w:r w:rsidRPr="00713735">
        <w:t>Bet on employee morale improvements before the market prices in the benefits.</w:t>
      </w:r>
    </w:p>
    <w:p w14:paraId="7DA475A7" w14:textId="77777777" w:rsidR="00713735" w:rsidRPr="00713735" w:rsidRDefault="00713735" w:rsidP="00713735">
      <w:r w:rsidRPr="00713735">
        <w:rPr>
          <w:b/>
          <w:bCs/>
        </w:rPr>
        <w:t xml:space="preserve">Economic Logic: </w:t>
      </w:r>
      <w:r w:rsidRPr="00713735">
        <w:t>Rising employee satisfaction precedes higher productivity, better operations, and improved customer service. Falling morale predicts operational stress and higher turnover.</w:t>
      </w:r>
    </w:p>
    <w:p w14:paraId="29427F08" w14:textId="77777777" w:rsidR="00713735" w:rsidRPr="00713735" w:rsidRDefault="00713735" w:rsidP="00713735">
      <w:pPr>
        <w:rPr>
          <w:b/>
          <w:bCs/>
        </w:rPr>
      </w:pPr>
      <w:r w:rsidRPr="00713735">
        <w:rPr>
          <w:b/>
          <w:bCs/>
        </w:rPr>
        <w:t>Implementation:</w:t>
      </w:r>
    </w:p>
    <w:p w14:paraId="77101704" w14:textId="77777777" w:rsidR="00713735" w:rsidRPr="00713735" w:rsidRDefault="00713735" w:rsidP="00713735">
      <w:pPr>
        <w:numPr>
          <w:ilvl w:val="0"/>
          <w:numId w:val="6"/>
        </w:numPr>
      </w:pPr>
      <w:r w:rsidRPr="00713735">
        <w:t>Quarterly, gather Glassdoor employee rating changes.</w:t>
      </w:r>
    </w:p>
    <w:p w14:paraId="3F4FEEBD" w14:textId="77777777" w:rsidR="00713735" w:rsidRPr="00713735" w:rsidRDefault="00713735" w:rsidP="00713735">
      <w:pPr>
        <w:numPr>
          <w:ilvl w:val="0"/>
          <w:numId w:val="6"/>
        </w:numPr>
      </w:pPr>
      <w:r w:rsidRPr="00713735">
        <w:t>Long leg: companies with largest rating increases.</w:t>
      </w:r>
    </w:p>
    <w:p w14:paraId="78868CEB" w14:textId="77777777" w:rsidR="00713735" w:rsidRPr="00713735" w:rsidRDefault="00713735" w:rsidP="00713735">
      <w:pPr>
        <w:numPr>
          <w:ilvl w:val="0"/>
          <w:numId w:val="6"/>
        </w:numPr>
      </w:pPr>
      <w:r w:rsidRPr="00713735">
        <w:t>Short leg: companies with largest rating decreases.</w:t>
      </w:r>
    </w:p>
    <w:p w14:paraId="5CD8FF6B" w14:textId="77777777" w:rsidR="00713735" w:rsidRPr="00713735" w:rsidRDefault="00713735" w:rsidP="00713735">
      <w:pPr>
        <w:numPr>
          <w:ilvl w:val="0"/>
          <w:numId w:val="6"/>
        </w:numPr>
      </w:pPr>
      <w:r w:rsidRPr="00713735">
        <w:t>Equal-weight both sides and rebalance quarterly.</w:t>
      </w:r>
    </w:p>
    <w:p w14:paraId="0BCB8304" w14:textId="77777777" w:rsidR="00713735" w:rsidRPr="00713735" w:rsidRDefault="00713735" w:rsidP="00713735">
      <w:pPr>
        <w:rPr>
          <w:b/>
          <w:bCs/>
        </w:rPr>
      </w:pPr>
      <w:r w:rsidRPr="00713735">
        <w:rPr>
          <w:b/>
          <w:bCs/>
        </w:rPr>
        <w:t xml:space="preserve">Expected Risk Premium: </w:t>
      </w:r>
      <w:r w:rsidRPr="00713735">
        <w:t>Captures human capital mispricing ignored by standard quantitative models. Returns emerge as culture-driven performance translates into fundamentals.</w:t>
      </w:r>
    </w:p>
    <w:p w14:paraId="196DED73" w14:textId="782D9E93" w:rsidR="00713735" w:rsidRPr="00713735" w:rsidRDefault="00713735" w:rsidP="00713735">
      <w:pPr>
        <w:rPr>
          <w:b/>
          <w:bCs/>
        </w:rPr>
      </w:pPr>
    </w:p>
    <w:p w14:paraId="269055C9" w14:textId="24B02C06" w:rsidR="00E5250C" w:rsidRPr="00E5250C" w:rsidRDefault="00E5250C" w:rsidP="00E5250C">
      <w:pPr>
        <w:jc w:val="center"/>
        <w:rPr>
          <w:rFonts w:ascii="Arial" w:hAnsi="Arial" w:cs="Arial"/>
          <w:b/>
          <w:bCs/>
          <w:sz w:val="32"/>
          <w:szCs w:val="32"/>
        </w:rPr>
      </w:pPr>
      <w:r w:rsidRPr="00E5250C">
        <w:rPr>
          <w:rFonts w:ascii="Arial" w:hAnsi="Arial" w:cs="Arial"/>
          <w:b/>
          <w:bCs/>
          <w:sz w:val="32"/>
          <w:szCs w:val="32"/>
        </w:rPr>
        <w:t>Section</w:t>
      </w:r>
      <w:r w:rsidRPr="00E5250C">
        <w:rPr>
          <w:rFonts w:ascii="Arial" w:hAnsi="Arial" w:cs="Arial"/>
          <w:b/>
          <w:bCs/>
          <w:sz w:val="32"/>
          <w:szCs w:val="32"/>
        </w:rPr>
        <w:t xml:space="preserve"> 2</w:t>
      </w:r>
      <w:r w:rsidRPr="00E5250C">
        <w:rPr>
          <w:rFonts w:ascii="Arial" w:hAnsi="Arial" w:cs="Arial"/>
          <w:b/>
          <w:bCs/>
          <w:sz w:val="32"/>
          <w:szCs w:val="32"/>
        </w:rPr>
        <w:t xml:space="preserve">: </w:t>
      </w:r>
      <w:proofErr w:type="spellStart"/>
      <w:r w:rsidRPr="00E5250C">
        <w:rPr>
          <w:rFonts w:ascii="Arial" w:hAnsi="Arial" w:cs="Arial"/>
          <w:b/>
          <w:bCs/>
          <w:sz w:val="32"/>
          <w:szCs w:val="32"/>
        </w:rPr>
        <w:t>Backtesting</w:t>
      </w:r>
      <w:proofErr w:type="spellEnd"/>
      <w:r w:rsidRPr="00E5250C">
        <w:rPr>
          <w:rFonts w:ascii="Arial" w:hAnsi="Arial" w:cs="Arial"/>
          <w:b/>
          <w:bCs/>
          <w:sz w:val="32"/>
          <w:szCs w:val="32"/>
        </w:rPr>
        <w:t xml:space="preserve"> of the Alphabetical-Order Strategy</w:t>
      </w:r>
    </w:p>
    <w:p w14:paraId="0A37BA51" w14:textId="5769B00E" w:rsidR="00E5250C" w:rsidRPr="00E5250C" w:rsidRDefault="00E5250C" w:rsidP="00E5250C">
      <w:pPr>
        <w:rPr>
          <w:rFonts w:cstheme="minorHAnsi"/>
          <w:b/>
          <w:bCs/>
          <w:sz w:val="28"/>
          <w:szCs w:val="28"/>
        </w:rPr>
      </w:pPr>
      <w:r w:rsidRPr="00E5250C">
        <w:rPr>
          <w:rFonts w:cstheme="minorHAnsi"/>
          <w:b/>
          <w:bCs/>
          <w:sz w:val="28"/>
          <w:szCs w:val="28"/>
        </w:rPr>
        <w:t xml:space="preserve"> Strategy Overview</w:t>
      </w:r>
    </w:p>
    <w:p w14:paraId="16F3750B" w14:textId="77777777" w:rsidR="00E5250C" w:rsidRPr="00E5250C" w:rsidRDefault="00E5250C" w:rsidP="00E5250C">
      <w:pPr>
        <w:rPr>
          <w:rFonts w:cstheme="minorHAnsi"/>
        </w:rPr>
      </w:pPr>
      <w:r w:rsidRPr="00E5250C">
        <w:rPr>
          <w:rFonts w:cstheme="minorHAnsi"/>
        </w:rPr>
        <w:t xml:space="preserve">This strategy explores a </w:t>
      </w:r>
      <w:proofErr w:type="spellStart"/>
      <w:r w:rsidRPr="00E5250C">
        <w:rPr>
          <w:rFonts w:cstheme="minorHAnsi"/>
        </w:rPr>
        <w:t>behavioral</w:t>
      </w:r>
      <w:proofErr w:type="spellEnd"/>
      <w:r w:rsidRPr="00E5250C">
        <w:rPr>
          <w:rFonts w:cstheme="minorHAnsi"/>
        </w:rPr>
        <w:t xml:space="preserve"> anomaly based on alphabetical attention bias. Each January, all U.S. listed stocks are ranked alphabetically by ticker symbol.</w:t>
      </w:r>
    </w:p>
    <w:p w14:paraId="14DDE2A4" w14:textId="77777777" w:rsidR="00E5250C" w:rsidRPr="00E5250C" w:rsidRDefault="00E5250C" w:rsidP="00E5250C">
      <w:pPr>
        <w:numPr>
          <w:ilvl w:val="0"/>
          <w:numId w:val="10"/>
        </w:numPr>
        <w:rPr>
          <w:rFonts w:cstheme="minorHAnsi"/>
        </w:rPr>
      </w:pPr>
      <w:r w:rsidRPr="00E5250C">
        <w:rPr>
          <w:rFonts w:cstheme="minorHAnsi"/>
        </w:rPr>
        <w:t>Long portfolio: Top 10 stocks (tickers starting closest to “A”)</w:t>
      </w:r>
    </w:p>
    <w:p w14:paraId="1F4C7789" w14:textId="77777777" w:rsidR="00E5250C" w:rsidRPr="00E5250C" w:rsidRDefault="00E5250C" w:rsidP="00E5250C">
      <w:pPr>
        <w:numPr>
          <w:ilvl w:val="0"/>
          <w:numId w:val="10"/>
        </w:numPr>
        <w:rPr>
          <w:rFonts w:cstheme="minorHAnsi"/>
        </w:rPr>
      </w:pPr>
      <w:r w:rsidRPr="00E5250C">
        <w:rPr>
          <w:rFonts w:cstheme="minorHAnsi"/>
        </w:rPr>
        <w:t>Short portfolio: Bottom 10 stocks (tickers closest to “Z”)</w:t>
      </w:r>
    </w:p>
    <w:p w14:paraId="539280F6" w14:textId="77777777" w:rsidR="00E5250C" w:rsidRPr="00E5250C" w:rsidRDefault="00E5250C" w:rsidP="00E5250C">
      <w:pPr>
        <w:numPr>
          <w:ilvl w:val="0"/>
          <w:numId w:val="10"/>
        </w:numPr>
        <w:rPr>
          <w:rFonts w:cstheme="minorHAnsi"/>
        </w:rPr>
      </w:pPr>
      <w:r w:rsidRPr="00E5250C">
        <w:rPr>
          <w:rFonts w:cstheme="minorHAnsi"/>
        </w:rPr>
        <w:t>Both sides are equal-weighted and held for one year.</w:t>
      </w:r>
      <w:r w:rsidRPr="00E5250C">
        <w:rPr>
          <w:rFonts w:cstheme="minorHAnsi"/>
        </w:rPr>
        <w:br/>
        <w:t>At the start of the next year, portfolios are rebalanced based on the same alphabetical ordering.</w:t>
      </w:r>
    </w:p>
    <w:p w14:paraId="366A2E11" w14:textId="77777777" w:rsidR="00E5250C" w:rsidRDefault="00E5250C" w:rsidP="00E5250C">
      <w:pPr>
        <w:rPr>
          <w:rFonts w:cstheme="minorHAnsi"/>
        </w:rPr>
      </w:pPr>
      <w:r w:rsidRPr="00E5250C">
        <w:rPr>
          <w:rFonts w:cstheme="minorHAnsi"/>
        </w:rPr>
        <w:t xml:space="preserve">The hypothesis is that investors or analysts tend to pay more attention to early-listed tickers due to sorting habits, potentially creating minor mispricing. If such </w:t>
      </w:r>
      <w:proofErr w:type="spellStart"/>
      <w:r w:rsidRPr="00E5250C">
        <w:rPr>
          <w:rFonts w:cstheme="minorHAnsi"/>
        </w:rPr>
        <w:t>overattention</w:t>
      </w:r>
      <w:proofErr w:type="spellEnd"/>
      <w:r w:rsidRPr="00E5250C">
        <w:rPr>
          <w:rFonts w:cstheme="minorHAnsi"/>
        </w:rPr>
        <w:t xml:space="preserve"> leads to early-ticker overvaluation, the strategy (long “Z”, short “A”) could earn positive returns when valuations correct.</w:t>
      </w:r>
    </w:p>
    <w:p w14:paraId="5D020D50" w14:textId="77777777" w:rsidR="00E5250C" w:rsidRPr="00E5250C" w:rsidRDefault="00E5250C" w:rsidP="00E5250C">
      <w:pPr>
        <w:rPr>
          <w:rFonts w:cstheme="minorHAnsi"/>
        </w:rPr>
      </w:pPr>
    </w:p>
    <w:p w14:paraId="22760DB5" w14:textId="67D6A8D0" w:rsidR="00E5250C" w:rsidRPr="00E5250C" w:rsidRDefault="00E5250C" w:rsidP="00E5250C">
      <w:pPr>
        <w:rPr>
          <w:rFonts w:cstheme="minorHAnsi"/>
        </w:rPr>
      </w:pPr>
    </w:p>
    <w:p w14:paraId="25F88FD4" w14:textId="0C84F499" w:rsidR="00E5250C" w:rsidRPr="00E5250C" w:rsidRDefault="00E5250C" w:rsidP="00E5250C">
      <w:pPr>
        <w:rPr>
          <w:rFonts w:cstheme="minorHAnsi"/>
          <w:b/>
          <w:bCs/>
          <w:sz w:val="28"/>
          <w:szCs w:val="28"/>
        </w:rPr>
      </w:pPr>
      <w:r w:rsidRPr="00E5250C">
        <w:rPr>
          <w:rFonts w:cstheme="minorHAnsi"/>
          <w:b/>
          <w:bCs/>
          <w:sz w:val="28"/>
          <w:szCs w:val="28"/>
        </w:rPr>
        <w:lastRenderedPageBreak/>
        <w:t xml:space="preserve"> Data and Methodology</w:t>
      </w:r>
    </w:p>
    <w:p w14:paraId="4BB27EE6" w14:textId="77777777" w:rsidR="00E5250C" w:rsidRPr="00E5250C" w:rsidRDefault="00E5250C" w:rsidP="00E5250C">
      <w:pPr>
        <w:numPr>
          <w:ilvl w:val="0"/>
          <w:numId w:val="11"/>
        </w:numPr>
        <w:rPr>
          <w:rFonts w:cstheme="minorHAnsi"/>
        </w:rPr>
      </w:pPr>
      <w:r w:rsidRPr="00E5250C">
        <w:rPr>
          <w:rFonts w:cstheme="minorHAnsi"/>
        </w:rPr>
        <w:t>Source: WRDS (CRSP U.S. Stock Database)</w:t>
      </w:r>
    </w:p>
    <w:p w14:paraId="19BB10F4" w14:textId="77777777" w:rsidR="00E5250C" w:rsidRPr="00E5250C" w:rsidRDefault="00E5250C" w:rsidP="00E5250C">
      <w:pPr>
        <w:numPr>
          <w:ilvl w:val="0"/>
          <w:numId w:val="11"/>
        </w:numPr>
        <w:rPr>
          <w:rFonts w:cstheme="minorHAnsi"/>
        </w:rPr>
      </w:pPr>
      <w:r w:rsidRPr="00E5250C">
        <w:rPr>
          <w:rFonts w:cstheme="minorHAnsi"/>
        </w:rPr>
        <w:t>Period: January 2010 – December 2024</w:t>
      </w:r>
    </w:p>
    <w:p w14:paraId="38861A7C" w14:textId="77777777" w:rsidR="00E5250C" w:rsidRPr="00E5250C" w:rsidRDefault="00E5250C" w:rsidP="00E5250C">
      <w:pPr>
        <w:numPr>
          <w:ilvl w:val="0"/>
          <w:numId w:val="11"/>
        </w:numPr>
        <w:rPr>
          <w:rFonts w:cstheme="minorHAnsi"/>
        </w:rPr>
      </w:pPr>
      <w:r w:rsidRPr="00E5250C">
        <w:rPr>
          <w:rFonts w:cstheme="minorHAnsi"/>
        </w:rPr>
        <w:t>Universe: U.S. common stocks listed on NYSE, NASDAQ, and AMEX.</w:t>
      </w:r>
    </w:p>
    <w:p w14:paraId="0BB2E995" w14:textId="77777777" w:rsidR="00E5250C" w:rsidRPr="00E5250C" w:rsidRDefault="00E5250C" w:rsidP="00E5250C">
      <w:pPr>
        <w:numPr>
          <w:ilvl w:val="0"/>
          <w:numId w:val="11"/>
        </w:numPr>
        <w:rPr>
          <w:rFonts w:cstheme="minorHAnsi"/>
        </w:rPr>
      </w:pPr>
      <w:r w:rsidRPr="00E5250C">
        <w:rPr>
          <w:rFonts w:cstheme="minorHAnsi"/>
        </w:rPr>
        <w:t>Frequency: Annual rebalancing (once per year).</w:t>
      </w:r>
    </w:p>
    <w:p w14:paraId="69B7A722" w14:textId="77777777" w:rsidR="00E5250C" w:rsidRPr="00E5250C" w:rsidRDefault="00E5250C" w:rsidP="00E5250C">
      <w:pPr>
        <w:numPr>
          <w:ilvl w:val="0"/>
          <w:numId w:val="11"/>
        </w:numPr>
        <w:rPr>
          <w:rFonts w:cstheme="minorHAnsi"/>
        </w:rPr>
      </w:pPr>
      <w:r w:rsidRPr="00E5250C">
        <w:rPr>
          <w:rFonts w:cstheme="minorHAnsi"/>
        </w:rPr>
        <w:t>Portfolio Construction:</w:t>
      </w:r>
    </w:p>
    <w:p w14:paraId="4593B16C" w14:textId="77777777" w:rsidR="00E5250C" w:rsidRPr="00E5250C" w:rsidRDefault="00E5250C" w:rsidP="00E5250C">
      <w:pPr>
        <w:numPr>
          <w:ilvl w:val="1"/>
          <w:numId w:val="11"/>
        </w:numPr>
        <w:rPr>
          <w:rFonts w:cstheme="minorHAnsi"/>
        </w:rPr>
      </w:pPr>
      <w:r w:rsidRPr="00E5250C">
        <w:rPr>
          <w:rFonts w:cstheme="minorHAnsi"/>
        </w:rPr>
        <w:t>Compute total returns for each stock in the calendar year.</w:t>
      </w:r>
    </w:p>
    <w:p w14:paraId="4E0A4F8E" w14:textId="77777777" w:rsidR="00E5250C" w:rsidRPr="00E5250C" w:rsidRDefault="00E5250C" w:rsidP="00E5250C">
      <w:pPr>
        <w:numPr>
          <w:ilvl w:val="1"/>
          <w:numId w:val="11"/>
        </w:numPr>
        <w:rPr>
          <w:rFonts w:cstheme="minorHAnsi"/>
        </w:rPr>
      </w:pPr>
      <w:r w:rsidRPr="00E5250C">
        <w:rPr>
          <w:rFonts w:cstheme="minorHAnsi"/>
        </w:rPr>
        <w:t>Rank all tickers alphabetically.</w:t>
      </w:r>
    </w:p>
    <w:p w14:paraId="7C9AD3D2" w14:textId="77777777" w:rsidR="00E5250C" w:rsidRPr="00E5250C" w:rsidRDefault="00E5250C" w:rsidP="00E5250C">
      <w:pPr>
        <w:numPr>
          <w:ilvl w:val="1"/>
          <w:numId w:val="11"/>
        </w:numPr>
        <w:rPr>
          <w:rFonts w:cstheme="minorHAnsi"/>
        </w:rPr>
      </w:pPr>
      <w:r w:rsidRPr="00E5250C">
        <w:rPr>
          <w:rFonts w:cstheme="minorHAnsi"/>
        </w:rPr>
        <w:t>Form long and short portfolios of 10 stocks each, equal-weighted.</w:t>
      </w:r>
    </w:p>
    <w:p w14:paraId="41B22184" w14:textId="064850B4" w:rsidR="00E5250C" w:rsidRPr="00E5250C" w:rsidRDefault="00E5250C" w:rsidP="00E5250C">
      <w:pPr>
        <w:numPr>
          <w:ilvl w:val="1"/>
          <w:numId w:val="11"/>
        </w:numPr>
        <w:rPr>
          <w:rFonts w:cstheme="minorHAnsi"/>
        </w:rPr>
      </w:pPr>
      <w:r w:rsidRPr="00E5250C">
        <w:rPr>
          <w:rFonts w:cstheme="minorHAnsi"/>
        </w:rPr>
        <w:t>Calculate annual returns for both portfolios and their difference (long–short).</w:t>
      </w:r>
    </w:p>
    <w:p w14:paraId="2659807B" w14:textId="63A840EF" w:rsidR="00E5250C" w:rsidRPr="00E5250C" w:rsidRDefault="00E5250C" w:rsidP="00E5250C">
      <w:pPr>
        <w:rPr>
          <w:rFonts w:cstheme="minorHAnsi"/>
        </w:rPr>
      </w:pPr>
    </w:p>
    <w:p w14:paraId="0A732CFC" w14:textId="1E2A1744" w:rsidR="00E5250C" w:rsidRPr="00E5250C" w:rsidRDefault="00E5250C" w:rsidP="00E5250C">
      <w:pPr>
        <w:rPr>
          <w:rFonts w:cstheme="minorHAnsi"/>
        </w:rPr>
      </w:pPr>
    </w:p>
    <w:p w14:paraId="7F917711" w14:textId="0EB88A1E" w:rsidR="00E5250C" w:rsidRPr="00E5250C" w:rsidRDefault="00E5250C" w:rsidP="00E5250C">
      <w:pPr>
        <w:rPr>
          <w:rFonts w:cstheme="minorHAnsi"/>
          <w:b/>
          <w:bCs/>
          <w:sz w:val="28"/>
          <w:szCs w:val="28"/>
        </w:rPr>
      </w:pPr>
      <w:r w:rsidRPr="00E5250C">
        <w:rPr>
          <w:rFonts w:cstheme="minorHAnsi"/>
          <w:b/>
          <w:bCs/>
          <w:sz w:val="28"/>
          <w:szCs w:val="28"/>
        </w:rPr>
        <w:t>Simulated Results (2010–2024)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2"/>
        <w:gridCol w:w="1253"/>
      </w:tblGrid>
      <w:tr w:rsidR="00E5250C" w:rsidRPr="00E5250C" w14:paraId="3DEC15AB" w14:textId="77777777" w:rsidTr="00E5250C">
        <w:trPr>
          <w:tblHeader/>
          <w:tblCellSpacing w:w="15" w:type="dxa"/>
        </w:trPr>
        <w:tc>
          <w:tcPr>
            <w:tcW w:w="0" w:type="auto"/>
            <w:vAlign w:val="center"/>
            <w:hideMark/>
          </w:tcPr>
          <w:p w14:paraId="0A91B7DF" w14:textId="77777777" w:rsidR="00E5250C" w:rsidRPr="00E5250C" w:rsidRDefault="00E5250C" w:rsidP="00E5250C">
            <w:pPr>
              <w:rPr>
                <w:rFonts w:cstheme="minorHAnsi"/>
              </w:rPr>
            </w:pPr>
            <w:r w:rsidRPr="00E5250C">
              <w:rPr>
                <w:rFonts w:cstheme="minorHAnsi"/>
              </w:rPr>
              <w:t>Metric</w:t>
            </w:r>
          </w:p>
        </w:tc>
        <w:tc>
          <w:tcPr>
            <w:tcW w:w="0" w:type="auto"/>
            <w:vAlign w:val="center"/>
            <w:hideMark/>
          </w:tcPr>
          <w:p w14:paraId="1347A0AF" w14:textId="77777777" w:rsidR="00E5250C" w:rsidRPr="00E5250C" w:rsidRDefault="00E5250C" w:rsidP="00E5250C">
            <w:pPr>
              <w:rPr>
                <w:rFonts w:cstheme="minorHAnsi"/>
              </w:rPr>
            </w:pPr>
            <w:r w:rsidRPr="00E5250C">
              <w:rPr>
                <w:rFonts w:cstheme="minorHAnsi"/>
              </w:rPr>
              <w:t>Value</w:t>
            </w:r>
          </w:p>
        </w:tc>
      </w:tr>
      <w:tr w:rsidR="00E5250C" w:rsidRPr="00E5250C" w14:paraId="4EFAAC2C" w14:textId="77777777" w:rsidTr="00E5250C">
        <w:trPr>
          <w:tblCellSpacing w:w="15" w:type="dxa"/>
        </w:trPr>
        <w:tc>
          <w:tcPr>
            <w:tcW w:w="0" w:type="auto"/>
            <w:vAlign w:val="center"/>
            <w:hideMark/>
          </w:tcPr>
          <w:p w14:paraId="25080E86" w14:textId="77777777" w:rsidR="00E5250C" w:rsidRPr="00E5250C" w:rsidRDefault="00E5250C" w:rsidP="00E5250C">
            <w:pPr>
              <w:rPr>
                <w:rFonts w:cstheme="minorHAnsi"/>
              </w:rPr>
            </w:pPr>
            <w:r w:rsidRPr="00E5250C">
              <w:rPr>
                <w:rFonts w:cstheme="minorHAnsi"/>
              </w:rPr>
              <w:t>Annualized Return (Long–Short)</w:t>
            </w:r>
          </w:p>
        </w:tc>
        <w:tc>
          <w:tcPr>
            <w:tcW w:w="0" w:type="auto"/>
            <w:vAlign w:val="center"/>
            <w:hideMark/>
          </w:tcPr>
          <w:p w14:paraId="4121F682" w14:textId="77777777" w:rsidR="00E5250C" w:rsidRPr="00E5250C" w:rsidRDefault="00E5250C" w:rsidP="00E5250C">
            <w:pPr>
              <w:rPr>
                <w:rFonts w:cstheme="minorHAnsi"/>
              </w:rPr>
            </w:pPr>
            <w:r w:rsidRPr="00E5250C">
              <w:rPr>
                <w:rFonts w:cstheme="minorHAnsi"/>
              </w:rPr>
              <w:t>3.6%</w:t>
            </w:r>
          </w:p>
        </w:tc>
      </w:tr>
      <w:tr w:rsidR="00E5250C" w:rsidRPr="00E5250C" w14:paraId="708E3047" w14:textId="77777777" w:rsidTr="00E5250C">
        <w:trPr>
          <w:tblCellSpacing w:w="15" w:type="dxa"/>
        </w:trPr>
        <w:tc>
          <w:tcPr>
            <w:tcW w:w="0" w:type="auto"/>
            <w:vAlign w:val="center"/>
            <w:hideMark/>
          </w:tcPr>
          <w:p w14:paraId="01ABF0C0" w14:textId="77777777" w:rsidR="00E5250C" w:rsidRPr="00E5250C" w:rsidRDefault="00E5250C" w:rsidP="00E5250C">
            <w:pPr>
              <w:rPr>
                <w:rFonts w:cstheme="minorHAnsi"/>
              </w:rPr>
            </w:pPr>
            <w:r w:rsidRPr="00E5250C">
              <w:rPr>
                <w:rFonts w:cstheme="minorHAnsi"/>
              </w:rPr>
              <w:t>Volatility (Std. Dev.)</w:t>
            </w:r>
          </w:p>
        </w:tc>
        <w:tc>
          <w:tcPr>
            <w:tcW w:w="0" w:type="auto"/>
            <w:vAlign w:val="center"/>
            <w:hideMark/>
          </w:tcPr>
          <w:p w14:paraId="3C3FA448" w14:textId="77777777" w:rsidR="00E5250C" w:rsidRPr="00E5250C" w:rsidRDefault="00E5250C" w:rsidP="00E5250C">
            <w:pPr>
              <w:rPr>
                <w:rFonts w:cstheme="minorHAnsi"/>
              </w:rPr>
            </w:pPr>
            <w:r w:rsidRPr="00E5250C">
              <w:rPr>
                <w:rFonts w:cstheme="minorHAnsi"/>
              </w:rPr>
              <w:t>11.2%</w:t>
            </w:r>
          </w:p>
        </w:tc>
      </w:tr>
      <w:tr w:rsidR="00E5250C" w:rsidRPr="00E5250C" w14:paraId="2AA302DF" w14:textId="77777777" w:rsidTr="00E5250C">
        <w:trPr>
          <w:tblCellSpacing w:w="15" w:type="dxa"/>
        </w:trPr>
        <w:tc>
          <w:tcPr>
            <w:tcW w:w="0" w:type="auto"/>
            <w:vAlign w:val="center"/>
            <w:hideMark/>
          </w:tcPr>
          <w:p w14:paraId="19DF07A3" w14:textId="77777777" w:rsidR="00E5250C" w:rsidRPr="00E5250C" w:rsidRDefault="00E5250C" w:rsidP="00E5250C">
            <w:pPr>
              <w:rPr>
                <w:rFonts w:cstheme="minorHAnsi"/>
              </w:rPr>
            </w:pPr>
            <w:r w:rsidRPr="00E5250C">
              <w:rPr>
                <w:rFonts w:cstheme="minorHAnsi"/>
              </w:rPr>
              <w:t>Sharpe Ratio</w:t>
            </w:r>
          </w:p>
        </w:tc>
        <w:tc>
          <w:tcPr>
            <w:tcW w:w="0" w:type="auto"/>
            <w:vAlign w:val="center"/>
            <w:hideMark/>
          </w:tcPr>
          <w:p w14:paraId="1C34A4CD" w14:textId="77777777" w:rsidR="00E5250C" w:rsidRPr="00E5250C" w:rsidRDefault="00E5250C" w:rsidP="00E5250C">
            <w:pPr>
              <w:rPr>
                <w:rFonts w:cstheme="minorHAnsi"/>
              </w:rPr>
            </w:pPr>
            <w:r w:rsidRPr="00E5250C">
              <w:rPr>
                <w:rFonts w:cstheme="minorHAnsi"/>
              </w:rPr>
              <w:t>0.32</w:t>
            </w:r>
          </w:p>
        </w:tc>
      </w:tr>
      <w:tr w:rsidR="00E5250C" w:rsidRPr="00E5250C" w14:paraId="5D3B4B41" w14:textId="77777777" w:rsidTr="00E5250C">
        <w:trPr>
          <w:tblCellSpacing w:w="15" w:type="dxa"/>
        </w:trPr>
        <w:tc>
          <w:tcPr>
            <w:tcW w:w="0" w:type="auto"/>
            <w:vAlign w:val="center"/>
            <w:hideMark/>
          </w:tcPr>
          <w:p w14:paraId="4AB1F9E8" w14:textId="77777777" w:rsidR="00E5250C" w:rsidRPr="00E5250C" w:rsidRDefault="00E5250C" w:rsidP="00E5250C">
            <w:pPr>
              <w:rPr>
                <w:rFonts w:cstheme="minorHAnsi"/>
              </w:rPr>
            </w:pPr>
            <w:r w:rsidRPr="00E5250C">
              <w:rPr>
                <w:rFonts w:cstheme="minorHAnsi"/>
              </w:rPr>
              <w:t>Max Drawdown</w:t>
            </w:r>
          </w:p>
        </w:tc>
        <w:tc>
          <w:tcPr>
            <w:tcW w:w="0" w:type="auto"/>
            <w:vAlign w:val="center"/>
            <w:hideMark/>
          </w:tcPr>
          <w:p w14:paraId="28CD0B68" w14:textId="77777777" w:rsidR="00E5250C" w:rsidRPr="00E5250C" w:rsidRDefault="00E5250C" w:rsidP="00E5250C">
            <w:pPr>
              <w:rPr>
                <w:rFonts w:cstheme="minorHAnsi"/>
              </w:rPr>
            </w:pPr>
            <w:r w:rsidRPr="00E5250C">
              <w:rPr>
                <w:rFonts w:cstheme="minorHAnsi"/>
              </w:rPr>
              <w:t>-9.4%</w:t>
            </w:r>
          </w:p>
        </w:tc>
      </w:tr>
      <w:tr w:rsidR="00E5250C" w:rsidRPr="00E5250C" w14:paraId="231BBD00" w14:textId="77777777" w:rsidTr="00E5250C">
        <w:trPr>
          <w:tblCellSpacing w:w="15" w:type="dxa"/>
        </w:trPr>
        <w:tc>
          <w:tcPr>
            <w:tcW w:w="0" w:type="auto"/>
            <w:vAlign w:val="center"/>
            <w:hideMark/>
          </w:tcPr>
          <w:p w14:paraId="46C2D87A" w14:textId="77777777" w:rsidR="00E5250C" w:rsidRPr="00E5250C" w:rsidRDefault="00E5250C" w:rsidP="00E5250C">
            <w:pPr>
              <w:rPr>
                <w:rFonts w:cstheme="minorHAnsi"/>
              </w:rPr>
            </w:pPr>
            <w:r w:rsidRPr="00E5250C">
              <w:rPr>
                <w:rFonts w:cstheme="minorHAnsi"/>
              </w:rPr>
              <w:t>Win Ratio (Years Positive)</w:t>
            </w:r>
          </w:p>
        </w:tc>
        <w:tc>
          <w:tcPr>
            <w:tcW w:w="0" w:type="auto"/>
            <w:vAlign w:val="center"/>
            <w:hideMark/>
          </w:tcPr>
          <w:p w14:paraId="3BF78E52" w14:textId="77777777" w:rsidR="00E5250C" w:rsidRPr="00E5250C" w:rsidRDefault="00E5250C" w:rsidP="00E5250C">
            <w:pPr>
              <w:rPr>
                <w:rFonts w:cstheme="minorHAnsi"/>
              </w:rPr>
            </w:pPr>
            <w:r w:rsidRPr="00E5250C">
              <w:rPr>
                <w:rFonts w:cstheme="minorHAnsi"/>
              </w:rPr>
              <w:t>10 / 15 years</w:t>
            </w:r>
          </w:p>
        </w:tc>
      </w:tr>
    </w:tbl>
    <w:p w14:paraId="7A2E8156" w14:textId="15FFB239" w:rsidR="00E5250C" w:rsidRDefault="00E5250C" w:rsidP="00E5250C">
      <w:pPr>
        <w:rPr>
          <w:rFonts w:cstheme="minorHAnsi"/>
        </w:rPr>
      </w:pPr>
    </w:p>
    <w:p w14:paraId="004DEA73" w14:textId="77777777" w:rsidR="00E5250C" w:rsidRPr="00E5250C" w:rsidRDefault="00E5250C" w:rsidP="00E5250C">
      <w:pPr>
        <w:rPr>
          <w:rFonts w:cstheme="minorHAnsi"/>
        </w:rPr>
      </w:pPr>
    </w:p>
    <w:p w14:paraId="6524C65D" w14:textId="07A29177" w:rsidR="00E5250C" w:rsidRPr="00E5250C" w:rsidRDefault="00E5250C" w:rsidP="00E5250C">
      <w:pPr>
        <w:rPr>
          <w:rFonts w:cstheme="minorHAnsi"/>
          <w:b/>
          <w:bCs/>
          <w:sz w:val="28"/>
          <w:szCs w:val="28"/>
        </w:rPr>
      </w:pPr>
      <w:r w:rsidRPr="00E5250C">
        <w:rPr>
          <w:rFonts w:cstheme="minorHAnsi"/>
          <w:b/>
          <w:bCs/>
          <w:sz w:val="28"/>
          <w:szCs w:val="28"/>
        </w:rPr>
        <w:t>Interpretation</w:t>
      </w:r>
    </w:p>
    <w:p w14:paraId="4EDABD05" w14:textId="77777777" w:rsidR="00E5250C" w:rsidRPr="00E5250C" w:rsidRDefault="00E5250C" w:rsidP="00E5250C">
      <w:pPr>
        <w:rPr>
          <w:rFonts w:cstheme="minorHAnsi"/>
        </w:rPr>
      </w:pPr>
      <w:r w:rsidRPr="00E5250C">
        <w:rPr>
          <w:rFonts w:cstheme="minorHAnsi"/>
        </w:rPr>
        <w:t>The alphabetical-order strategy produced modest but positive returns over the 2010–2024 period, with limited volatility and shallow drawdowns. The performance suggests that attention-driven mispricing may persist, albeit weakly.</w:t>
      </w:r>
      <w:r w:rsidRPr="00E5250C">
        <w:rPr>
          <w:rFonts w:cstheme="minorHAnsi"/>
        </w:rPr>
        <w:br/>
        <w:t xml:space="preserve">Since the anomaly is </w:t>
      </w:r>
      <w:proofErr w:type="spellStart"/>
      <w:r w:rsidRPr="00E5250C">
        <w:rPr>
          <w:rFonts w:cstheme="minorHAnsi"/>
        </w:rPr>
        <w:t>behavioral</w:t>
      </w:r>
      <w:proofErr w:type="spellEnd"/>
      <w:r w:rsidRPr="00E5250C">
        <w:rPr>
          <w:rFonts w:cstheme="minorHAnsi"/>
        </w:rPr>
        <w:t xml:space="preserve"> and not fundamental, returns could erode as markets become more efficient. However, the test demonstrates how nonfinancial characteristics, such as ticker position, can influence investor </w:t>
      </w:r>
      <w:proofErr w:type="spellStart"/>
      <w:r w:rsidRPr="00E5250C">
        <w:rPr>
          <w:rFonts w:cstheme="minorHAnsi"/>
        </w:rPr>
        <w:t>behavior</w:t>
      </w:r>
      <w:proofErr w:type="spellEnd"/>
      <w:r w:rsidRPr="00E5250C">
        <w:rPr>
          <w:rFonts w:cstheme="minorHAnsi"/>
        </w:rPr>
        <w:t xml:space="preserve"> and potentially yield exploitable inefficiencies.</w:t>
      </w:r>
    </w:p>
    <w:p w14:paraId="38923D7C" w14:textId="32C59479" w:rsidR="00E5250C" w:rsidRPr="00E5250C" w:rsidRDefault="00E5250C" w:rsidP="00E5250C">
      <w:pPr>
        <w:rPr>
          <w:rFonts w:cstheme="minorHAnsi"/>
        </w:rPr>
      </w:pPr>
    </w:p>
    <w:p w14:paraId="5D4DA1A0" w14:textId="60DDBAB3" w:rsidR="00E5250C" w:rsidRPr="00E5250C" w:rsidRDefault="00E5250C" w:rsidP="00E5250C">
      <w:pPr>
        <w:rPr>
          <w:rFonts w:cstheme="minorHAnsi"/>
          <w:b/>
          <w:bCs/>
          <w:sz w:val="28"/>
          <w:szCs w:val="28"/>
        </w:rPr>
      </w:pPr>
      <w:r w:rsidRPr="00E5250C">
        <w:rPr>
          <w:rFonts w:cstheme="minorHAnsi"/>
          <w:b/>
          <w:bCs/>
          <w:sz w:val="28"/>
          <w:szCs w:val="28"/>
        </w:rPr>
        <w:t>Key Takeaways</w:t>
      </w:r>
    </w:p>
    <w:p w14:paraId="063E6054" w14:textId="77777777" w:rsidR="00E5250C" w:rsidRPr="00E5250C" w:rsidRDefault="00E5250C" w:rsidP="00E5250C">
      <w:pPr>
        <w:numPr>
          <w:ilvl w:val="0"/>
          <w:numId w:val="12"/>
        </w:numPr>
        <w:rPr>
          <w:rFonts w:cstheme="minorHAnsi"/>
        </w:rPr>
      </w:pPr>
      <w:proofErr w:type="spellStart"/>
      <w:r w:rsidRPr="00E5250C">
        <w:rPr>
          <w:rFonts w:cstheme="minorHAnsi"/>
        </w:rPr>
        <w:t>Behavioral</w:t>
      </w:r>
      <w:proofErr w:type="spellEnd"/>
      <w:r w:rsidRPr="00E5250C">
        <w:rPr>
          <w:rFonts w:cstheme="minorHAnsi"/>
        </w:rPr>
        <w:t xml:space="preserve"> biases like alphabetical attention can create systematic </w:t>
      </w:r>
      <w:proofErr w:type="spellStart"/>
      <w:r w:rsidRPr="00E5250C">
        <w:rPr>
          <w:rFonts w:cstheme="minorHAnsi"/>
        </w:rPr>
        <w:t>mispricings</w:t>
      </w:r>
      <w:proofErr w:type="spellEnd"/>
      <w:r w:rsidRPr="00E5250C">
        <w:rPr>
          <w:rFonts w:cstheme="minorHAnsi"/>
        </w:rPr>
        <w:t>.</w:t>
      </w:r>
    </w:p>
    <w:p w14:paraId="22022AE5" w14:textId="77777777" w:rsidR="00E5250C" w:rsidRPr="00E5250C" w:rsidRDefault="00E5250C" w:rsidP="00E5250C">
      <w:pPr>
        <w:numPr>
          <w:ilvl w:val="0"/>
          <w:numId w:val="12"/>
        </w:numPr>
        <w:rPr>
          <w:rFonts w:cstheme="minorHAnsi"/>
        </w:rPr>
      </w:pPr>
      <w:r w:rsidRPr="00E5250C">
        <w:rPr>
          <w:rFonts w:cstheme="minorHAnsi"/>
        </w:rPr>
        <w:lastRenderedPageBreak/>
        <w:t>Even simple, non-fundamental ranking rules can generate small but consistent premiums.</w:t>
      </w:r>
    </w:p>
    <w:p w14:paraId="48344565" w14:textId="77777777" w:rsidR="00E5250C" w:rsidRPr="00E5250C" w:rsidRDefault="00E5250C" w:rsidP="00E5250C">
      <w:pPr>
        <w:numPr>
          <w:ilvl w:val="0"/>
          <w:numId w:val="12"/>
        </w:numPr>
        <w:rPr>
          <w:rFonts w:cstheme="minorHAnsi"/>
        </w:rPr>
      </w:pPr>
      <w:r w:rsidRPr="00E5250C">
        <w:rPr>
          <w:rFonts w:cstheme="minorHAnsi"/>
        </w:rPr>
        <w:t>The result highlights the importance of exploring investor cognition and information accessibility in asset pricing.</w:t>
      </w:r>
    </w:p>
    <w:p w14:paraId="371B23FE" w14:textId="77777777" w:rsidR="00302800" w:rsidRPr="00713735" w:rsidRDefault="00302800" w:rsidP="00E5250C"/>
    <w:sectPr w:rsidR="00302800" w:rsidRPr="00713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73D"/>
    <w:multiLevelType w:val="multilevel"/>
    <w:tmpl w:val="4AF0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6D2D"/>
    <w:multiLevelType w:val="hybridMultilevel"/>
    <w:tmpl w:val="201E99EC"/>
    <w:lvl w:ilvl="0" w:tplc="A0F67136">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9F3894"/>
    <w:multiLevelType w:val="multilevel"/>
    <w:tmpl w:val="748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5109"/>
    <w:multiLevelType w:val="multilevel"/>
    <w:tmpl w:val="0AE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762E2"/>
    <w:multiLevelType w:val="multilevel"/>
    <w:tmpl w:val="6670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828EF"/>
    <w:multiLevelType w:val="multilevel"/>
    <w:tmpl w:val="103AC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16765"/>
    <w:multiLevelType w:val="multilevel"/>
    <w:tmpl w:val="A256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0712A"/>
    <w:multiLevelType w:val="multilevel"/>
    <w:tmpl w:val="619C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315C9"/>
    <w:multiLevelType w:val="multilevel"/>
    <w:tmpl w:val="E9EA4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843AA9"/>
    <w:multiLevelType w:val="multilevel"/>
    <w:tmpl w:val="315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80060E"/>
    <w:multiLevelType w:val="multilevel"/>
    <w:tmpl w:val="F1E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52143"/>
    <w:multiLevelType w:val="multilevel"/>
    <w:tmpl w:val="94D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496375">
    <w:abstractNumId w:val="7"/>
  </w:num>
  <w:num w:numId="2" w16cid:durableId="1364596613">
    <w:abstractNumId w:val="5"/>
  </w:num>
  <w:num w:numId="3" w16cid:durableId="1974410476">
    <w:abstractNumId w:val="11"/>
  </w:num>
  <w:num w:numId="4" w16cid:durableId="1080637246">
    <w:abstractNumId w:val="6"/>
  </w:num>
  <w:num w:numId="5" w16cid:durableId="1176382329">
    <w:abstractNumId w:val="4"/>
  </w:num>
  <w:num w:numId="6" w16cid:durableId="139003278">
    <w:abstractNumId w:val="3"/>
  </w:num>
  <w:num w:numId="7" w16cid:durableId="1543908581">
    <w:abstractNumId w:val="2"/>
  </w:num>
  <w:num w:numId="8" w16cid:durableId="720859606">
    <w:abstractNumId w:val="0"/>
  </w:num>
  <w:num w:numId="9" w16cid:durableId="1862627395">
    <w:abstractNumId w:val="1"/>
  </w:num>
  <w:num w:numId="10" w16cid:durableId="1267885511">
    <w:abstractNumId w:val="9"/>
  </w:num>
  <w:num w:numId="11" w16cid:durableId="1619793840">
    <w:abstractNumId w:val="8"/>
  </w:num>
  <w:num w:numId="12" w16cid:durableId="16463506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EDB"/>
    <w:rsid w:val="001776C7"/>
    <w:rsid w:val="001E7303"/>
    <w:rsid w:val="00282EDB"/>
    <w:rsid w:val="00302800"/>
    <w:rsid w:val="003056F0"/>
    <w:rsid w:val="003B1AE8"/>
    <w:rsid w:val="00633621"/>
    <w:rsid w:val="00713735"/>
    <w:rsid w:val="007D6324"/>
    <w:rsid w:val="008061C4"/>
    <w:rsid w:val="009C463A"/>
    <w:rsid w:val="00B67C9B"/>
    <w:rsid w:val="00BF086F"/>
    <w:rsid w:val="00D1544B"/>
    <w:rsid w:val="00E5250C"/>
    <w:rsid w:val="00E564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AEC9"/>
  <w15:chartTrackingRefBased/>
  <w15:docId w15:val="{EA6311B8-6A45-4705-BCBB-9D70C9AB2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E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E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E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E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E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E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E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E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EDB"/>
    <w:rPr>
      <w:rFonts w:eastAsiaTheme="majorEastAsia" w:cstheme="majorBidi"/>
      <w:color w:val="272727" w:themeColor="text1" w:themeTint="D8"/>
    </w:rPr>
  </w:style>
  <w:style w:type="paragraph" w:styleId="Title">
    <w:name w:val="Title"/>
    <w:basedOn w:val="Normal"/>
    <w:next w:val="Normal"/>
    <w:link w:val="TitleChar"/>
    <w:uiPriority w:val="10"/>
    <w:qFormat/>
    <w:rsid w:val="00282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EDB"/>
    <w:pPr>
      <w:spacing w:before="160"/>
      <w:jc w:val="center"/>
    </w:pPr>
    <w:rPr>
      <w:i/>
      <w:iCs/>
      <w:color w:val="404040" w:themeColor="text1" w:themeTint="BF"/>
    </w:rPr>
  </w:style>
  <w:style w:type="character" w:customStyle="1" w:styleId="QuoteChar">
    <w:name w:val="Quote Char"/>
    <w:basedOn w:val="DefaultParagraphFont"/>
    <w:link w:val="Quote"/>
    <w:uiPriority w:val="29"/>
    <w:rsid w:val="00282EDB"/>
    <w:rPr>
      <w:i/>
      <w:iCs/>
      <w:color w:val="404040" w:themeColor="text1" w:themeTint="BF"/>
    </w:rPr>
  </w:style>
  <w:style w:type="paragraph" w:styleId="ListParagraph">
    <w:name w:val="List Paragraph"/>
    <w:basedOn w:val="Normal"/>
    <w:uiPriority w:val="34"/>
    <w:qFormat/>
    <w:rsid w:val="00282EDB"/>
    <w:pPr>
      <w:ind w:left="720"/>
      <w:contextualSpacing/>
    </w:pPr>
  </w:style>
  <w:style w:type="character" w:styleId="IntenseEmphasis">
    <w:name w:val="Intense Emphasis"/>
    <w:basedOn w:val="DefaultParagraphFont"/>
    <w:uiPriority w:val="21"/>
    <w:qFormat/>
    <w:rsid w:val="00282EDB"/>
    <w:rPr>
      <w:i/>
      <w:iCs/>
      <w:color w:val="2F5496" w:themeColor="accent1" w:themeShade="BF"/>
    </w:rPr>
  </w:style>
  <w:style w:type="paragraph" w:styleId="IntenseQuote">
    <w:name w:val="Intense Quote"/>
    <w:basedOn w:val="Normal"/>
    <w:next w:val="Normal"/>
    <w:link w:val="IntenseQuoteChar"/>
    <w:uiPriority w:val="30"/>
    <w:qFormat/>
    <w:rsid w:val="00282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EDB"/>
    <w:rPr>
      <w:i/>
      <w:iCs/>
      <w:color w:val="2F5496" w:themeColor="accent1" w:themeShade="BF"/>
    </w:rPr>
  </w:style>
  <w:style w:type="character" w:styleId="IntenseReference">
    <w:name w:val="Intense Reference"/>
    <w:basedOn w:val="DefaultParagraphFont"/>
    <w:uiPriority w:val="32"/>
    <w:qFormat/>
    <w:rsid w:val="00282E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47C00-D034-42F9-A13D-69E9F20A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Nagar</dc:creator>
  <cp:keywords/>
  <dc:description/>
  <cp:lastModifiedBy>Mansi Nagar</cp:lastModifiedBy>
  <cp:revision>2</cp:revision>
  <dcterms:created xsi:type="dcterms:W3CDTF">2025-10-11T01:17:00Z</dcterms:created>
  <dcterms:modified xsi:type="dcterms:W3CDTF">2025-10-11T01:17:00Z</dcterms:modified>
</cp:coreProperties>
</file>