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DCE430A" wp14:textId="77777777">
      <w:pPr>
        <w:spacing w:after="40"/>
        <w:jc w:val="center"/>
      </w:pPr>
      <w:r w:rsidRPr="2C5BD03F" w:rsidR="2C5BD03F">
        <w:rPr>
          <w:b w:val="1"/>
          <w:bCs w:val="1"/>
          <w:sz w:val="32"/>
          <w:szCs w:val="32"/>
        </w:rPr>
        <w:t>Digital Education Access in Rural India</w:t>
      </w:r>
    </w:p>
    <w:p xmlns:wp14="http://schemas.microsoft.com/office/word/2010/wordml" w:rsidP="2C5BD03F" w14:paraId="25A71D13" wp14:textId="16FD1BFB">
      <w:pPr>
        <w:spacing w:after="40"/>
        <w:jc w:val="center"/>
      </w:pPr>
      <w:r w:rsidRPr="2C5BD03F" w:rsidR="2C5BD03F">
        <w:rPr>
          <w:sz w:val="22"/>
          <w:szCs w:val="22"/>
          <w:lang w:val="en-US"/>
        </w:rPr>
        <w:t xml:space="preserve"> </w:t>
      </w:r>
      <w:r w:rsidRPr="2C5BD03F" w:rsidR="2C5BD03F">
        <w:rPr>
          <w:sz w:val="22"/>
          <w:szCs w:val="22"/>
          <w:lang w:val="en-US"/>
        </w:rPr>
        <w:t>InAmigos</w:t>
      </w:r>
      <w:r w:rsidRPr="2C5BD03F" w:rsidR="2C5BD03F">
        <w:rPr>
          <w:sz w:val="22"/>
          <w:szCs w:val="22"/>
          <w:lang w:val="en-US"/>
        </w:rPr>
        <w:t xml:space="preserve"> Foundation – AI Data Analysis Report Task-2</w:t>
      </w:r>
    </w:p>
    <w:p xmlns:wp14="http://schemas.microsoft.com/office/word/2010/wordml" w14:paraId="6C5874B3" wp14:textId="77777777">
      <w:pPr>
        <w:pStyle w:val="Heading1"/>
      </w:pPr>
      <w:r>
        <w:t xml:space="preserve">1. Overview</w:t>
      </w:r>
    </w:p>
    <w:p xmlns:wp14="http://schemas.microsoft.com/office/word/2010/wordml" w14:paraId="26B99101" wp14:textId="77777777">
      <w:pPr>
        <w:spacing w:after="130" w:line="290" w:lineRule="auto"/>
        <w:jc w:val="both"/>
      </w:pPr>
      <w:r w:rsidRPr="2C5BD03F" w:rsidR="2C5BD03F">
        <w:rPr>
          <w:sz w:val="23"/>
          <w:szCs w:val="23"/>
          <w:lang w:val="en-US"/>
        </w:rPr>
        <w:t>India has seen one of the fastest technology adoption rates in the world over the past few years, but this growth has not been evenly shared between cities and villages. This report looks at the current state of digital education access in rural India, the major trends shaping it, the data behind it, and what can practically be done to close the remaining gaps. The research for this report was gathered and cross-checked using AI-powered web search and summarization tools, drawing on government data (NSSO, NFHS-5), the ASER 2024 survey, and reports published by NGOs working in this space.</w:t>
      </w:r>
    </w:p>
    <w:p xmlns:wp14="http://schemas.microsoft.com/office/word/2010/wordml" w14:paraId="56BE8D64" wp14:textId="77777777">
      <w:pPr>
        <w:pStyle w:val="Heading1"/>
      </w:pPr>
      <w:r>
        <w:t xml:space="preserve">2. Key Insights and Findings</w:t>
      </w:r>
    </w:p>
    <w:p xmlns:wp14="http://schemas.microsoft.com/office/word/2010/wordml" w14:paraId="10155D23" wp14:textId="6BEF6079">
      <w:pPr>
        <w:pStyle w:val="ListParagraph"/>
        <w:numPr>
          <w:ilvl w:val="0"/>
          <w:numId w:val="2"/>
        </w:numPr>
        <w:spacing w:after="80" w:line="280" w:lineRule="auto"/>
        <w:rPr/>
      </w:pPr>
      <w:r w:rsidRPr="2C5BD03F" w:rsidR="2C5BD03F">
        <w:rPr>
          <w:sz w:val="23"/>
          <w:szCs w:val="23"/>
          <w:lang w:val="en-GB"/>
        </w:rPr>
        <w:t>Smartphone ownership in rural households has grown sharply from around 36% in 2018 to about 84% in 2024  but internet access (24%) and computer ownership (just 4%) have not kept pace (NSSO/ASER data).</w:t>
      </w:r>
    </w:p>
    <w:p xmlns:wp14="http://schemas.microsoft.com/office/word/2010/wordml" w14:paraId="756513DA" wp14:textId="77777777">
      <w:pPr>
        <w:pStyle w:val="ListParagraph"/>
        <w:numPr>
          <w:ilvl w:val="0"/>
          <w:numId w:val="2"/>
        </w:numPr>
        <w:spacing w:after="80" w:line="280" w:lineRule="auto"/>
        <w:rPr/>
      </w:pPr>
      <w:r w:rsidRPr="2C5BD03F" w:rsidR="2C5BD03F">
        <w:rPr>
          <w:sz w:val="23"/>
          <w:szCs w:val="23"/>
          <w:lang w:val="en-US"/>
        </w:rPr>
        <w:t>Having a smartphone does not mean it is used for studying. ASER 2024 found that 82% of rural teens (14–16 years) know how to use a smartphone, but only 57% had actually used one for educational purposes in the past week, compared to 76% who used it for social media.</w:t>
      </w:r>
    </w:p>
    <w:p xmlns:wp14="http://schemas.microsoft.com/office/word/2010/wordml" w14:paraId="4256F39F" wp14:textId="2EC75A19">
      <w:pPr>
        <w:pStyle w:val="ListParagraph"/>
        <w:numPr>
          <w:ilvl w:val="0"/>
          <w:numId w:val="2"/>
        </w:numPr>
        <w:spacing w:after="80" w:line="280" w:lineRule="auto"/>
        <w:rPr/>
      </w:pPr>
      <w:r w:rsidRPr="2C5BD03F" w:rsidR="2C5BD03F">
        <w:rPr>
          <w:sz w:val="23"/>
          <w:szCs w:val="23"/>
          <w:lang w:val="en-US"/>
        </w:rPr>
        <w:t xml:space="preserve">Learning outcomes are recovering well, especially in government schools. Class 3 reading </w:t>
      </w:r>
      <w:r w:rsidRPr="2C5BD03F" w:rsidR="2C5BD03F">
        <w:rPr>
          <w:sz w:val="23"/>
          <w:szCs w:val="23"/>
          <w:lang w:val="en-US"/>
        </w:rPr>
        <w:t>proficiency</w:t>
      </w:r>
      <w:r w:rsidRPr="2C5BD03F" w:rsidR="2C5BD03F">
        <w:rPr>
          <w:sz w:val="23"/>
          <w:szCs w:val="23"/>
          <w:lang w:val="en-US"/>
        </w:rPr>
        <w:t xml:space="preserve"> 27.1% in 2024 from 20.5% in 2022, with government schools doing better than even their pre-pandemic levels a trend partly credited to NEP 2020's focus on foundational literacy.</w:t>
      </w:r>
    </w:p>
    <w:p xmlns:wp14="http://schemas.microsoft.com/office/word/2010/wordml" w14:paraId="2BA0E248" wp14:textId="77777777">
      <w:pPr>
        <w:pStyle w:val="ListParagraph"/>
        <w:numPr>
          <w:ilvl w:val="0"/>
          <w:numId w:val="2"/>
        </w:numPr>
        <w:spacing w:after="80" w:line="280" w:lineRule="auto"/>
        <w:rPr/>
      </w:pPr>
      <w:r w:rsidRPr="2C5BD03F" w:rsidR="2C5BD03F">
        <w:rPr>
          <w:sz w:val="23"/>
          <w:szCs w:val="23"/>
          <w:lang w:val="en-US"/>
        </w:rPr>
        <w:t>There is a clear gender gap in digital access: NFHS-5 data shows men are nearly twice as likely as women to use the internet (49% vs 25%), which adds to existing disadvantages faced by rural women and girls.</w:t>
      </w:r>
    </w:p>
    <w:p xmlns:wp14="http://schemas.microsoft.com/office/word/2010/wordml" w14:paraId="5428D8D5" wp14:textId="77777777">
      <w:pPr>
        <w:pStyle w:val="ListParagraph"/>
        <w:numPr>
          <w:ilvl w:val="0"/>
          <w:numId w:val="2"/>
        </w:numPr>
        <w:spacing w:after="80" w:line="280" w:lineRule="auto"/>
        <w:rPr/>
      </w:pPr>
      <w:r w:rsidRPr="2C5BD03F" w:rsidR="2C5BD03F">
        <w:rPr>
          <w:sz w:val="23"/>
          <w:szCs w:val="23"/>
          <w:lang w:val="en-US"/>
        </w:rPr>
        <w:t>For most rural children, “digital learning” in practice means YouTube, WhatsApp, or Google Search rather than dedicated educational apps, which suggests that familiarity and low cost matter more to families than branded edtech products.</w:t>
      </w:r>
    </w:p>
    <w:p xmlns:wp14="http://schemas.microsoft.com/office/word/2010/wordml" w14:paraId="2CB0ECDD" wp14:textId="77777777">
      <w:pPr>
        <w:pStyle w:val="Heading1"/>
      </w:pPr>
      <w:r>
        <w:t xml:space="preserve">3. Current Trends</w:t>
      </w:r>
    </w:p>
    <w:p xmlns:wp14="http://schemas.microsoft.com/office/word/2010/wordml" w14:paraId="1CE4E493" wp14:textId="77777777">
      <w:pPr>
        <w:pStyle w:val="ListParagraph"/>
        <w:numPr>
          <w:ilvl w:val="0"/>
          <w:numId w:val="2"/>
        </w:numPr>
        <w:spacing w:after="80" w:line="280" w:lineRule="auto"/>
        <w:rPr/>
      </w:pPr>
      <w:r w:rsidRPr="2C5BD03F" w:rsidR="2C5BD03F">
        <w:rPr>
          <w:sz w:val="23"/>
          <w:szCs w:val="23"/>
          <w:lang w:val="en-US"/>
        </w:rPr>
        <w:t>Infrastructure is expanding steadily: the BharatNet project has connected over 2.15 lakh of India's roughly 2.5 lakh Gram Panchayats with optical fibre, and the country crossed 1 billion broadband subscriptions in late 2025. The PM-WANI scheme has also added a large number of low-cost Wi-Fi hotspots through local shops.</w:t>
      </w:r>
    </w:p>
    <w:p xmlns:wp14="http://schemas.microsoft.com/office/word/2010/wordml" w14:paraId="54F8E7E1" wp14:textId="77777777">
      <w:pPr>
        <w:pStyle w:val="ListParagraph"/>
        <w:numPr>
          <w:ilvl w:val="0"/>
          <w:numId w:val="2"/>
        </w:numPr>
        <w:spacing w:after="80" w:line="280"/>
        <w:rPr/>
      </w:pPr>
      <w:r w:rsidRPr="2C5BD03F" w:rsidR="2C5BD03F">
        <w:rPr>
          <w:sz w:val="23"/>
          <w:szCs w:val="23"/>
        </w:rPr>
        <w:t>Mobile data has become far cheaper, dropping by about 96% since 2014, which makes basic connectivity much more affordable even in places where infrastructure is limited.</w:t>
      </w:r>
    </w:p>
    <w:p xmlns:wp14="http://schemas.microsoft.com/office/word/2010/wordml" w14:paraId="269C52CF" wp14:textId="77777777">
      <w:pPr>
        <w:pStyle w:val="ListParagraph"/>
        <w:numPr>
          <w:ilvl w:val="0"/>
          <w:numId w:val="2"/>
        </w:numPr>
        <w:spacing w:after="80" w:line="280"/>
      </w:pPr>
      <w:r>
        <w:rPr>
          <w:sz w:val="23"/>
          <w:szCs w:val="23"/>
        </w:rPr>
        <w:t xml:space="preserve">There is growing interest in AI-based tutoring and translation tools that let students learn or write in their own local languages, which directly addresses India's linguistic diversity.</w:t>
      </w:r>
    </w:p>
    <w:p xmlns:wp14="http://schemas.microsoft.com/office/word/2010/wordml" w14:paraId="0681D0E3" wp14:textId="476873BC">
      <w:pPr>
        <w:pStyle w:val="ListParagraph"/>
        <w:numPr>
          <w:ilvl w:val="0"/>
          <w:numId w:val="2"/>
        </w:numPr>
        <w:spacing w:after="80" w:line="280" w:lineRule="auto"/>
        <w:rPr/>
      </w:pPr>
      <w:r w:rsidRPr="2C5BD03F" w:rsidR="2C5BD03F">
        <w:rPr>
          <w:sz w:val="23"/>
          <w:szCs w:val="23"/>
          <w:lang w:val="en-US"/>
        </w:rPr>
        <w:t xml:space="preserve">NGOs are increasingly </w:t>
      </w:r>
      <w:r w:rsidRPr="2C5BD03F" w:rsidR="2C5BD03F">
        <w:rPr>
          <w:sz w:val="23"/>
          <w:szCs w:val="23"/>
          <w:lang w:val="en-US"/>
        </w:rPr>
        <w:t>favouring</w:t>
      </w:r>
      <w:r w:rsidRPr="2C5BD03F" w:rsidR="2C5BD03F">
        <w:rPr>
          <w:sz w:val="23"/>
          <w:szCs w:val="23"/>
          <w:lang w:val="en-US"/>
        </w:rPr>
        <w:t xml:space="preserve"> low-cost, offline-friendly solutions  such as solar-powered tablets and community learning </w:t>
      </w:r>
      <w:r w:rsidRPr="2C5BD03F" w:rsidR="2C5BD03F">
        <w:rPr>
          <w:sz w:val="23"/>
          <w:szCs w:val="23"/>
          <w:lang w:val="en-US"/>
        </w:rPr>
        <w:t>centres</w:t>
      </w:r>
      <w:r w:rsidRPr="2C5BD03F" w:rsidR="2C5BD03F">
        <w:rPr>
          <w:sz w:val="23"/>
          <w:szCs w:val="23"/>
          <w:lang w:val="en-US"/>
        </w:rPr>
        <w:t xml:space="preserve"> with local-language content  rather than expensive “smart classroom” setups that assume constant power and broadband.</w:t>
      </w:r>
    </w:p>
    <w:p xmlns:wp14="http://schemas.microsoft.com/office/word/2010/wordml" w14:paraId="3A7ABB72" wp14:textId="77777777">
      <w:pPr>
        <w:pStyle w:val="Heading1"/>
      </w:pPr>
      <w:r>
        <w:t xml:space="preserve">4. Challenges and Opportunities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2C5BD03F" w14:paraId="004996FE" wp14:textId="77777777">
        <w:trPr>
          <w:trHeight w:val="540"/>
        </w:trPr>
        <w:tc>
          <w:tcPr>
            <w:tcW w:w="468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2F2F2"/>
            <w:tcMar>
              <w:top w:w="80" w:type="dxa"/>
              <w:left w:w="120" w:type="dxa"/>
              <w:bottom w:w="80" w:type="dxa"/>
              <w:right w:w="120" w:type="dxa"/>
            </w:tcMar>
          </w:tcPr>
          <w:p w14:paraId="4778478F" wp14:textId="77777777">
            <w:r>
              <w:rPr>
                <w:b/>
                <w:bCs/>
                <w:sz w:val="24"/>
                <w:szCs w:val="24"/>
              </w:rPr>
              <w:t xml:space="preserve">Challenges</w:t>
            </w:r>
          </w:p>
        </w:tc>
        <w:tc>
          <w:tcPr>
            <w:tcW w:w="468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2F2F2"/>
            <w:tcMar>
              <w:top w:w="80" w:type="dxa"/>
              <w:left w:w="120" w:type="dxa"/>
              <w:bottom w:w="80" w:type="dxa"/>
              <w:right w:w="120" w:type="dxa"/>
            </w:tcMar>
          </w:tcPr>
          <w:p w14:paraId="353B9EC7" wp14:textId="77777777">
            <w:r>
              <w:rPr>
                <w:b/>
                <w:bCs/>
                <w:sz w:val="24"/>
                <w:szCs w:val="24"/>
              </w:rPr>
              <w:t xml:space="preserve">Opportunities</w:t>
            </w:r>
          </w:p>
        </w:tc>
      </w:tr>
      <w:tr xmlns:wp14="http://schemas.microsoft.com/office/word/2010/wordml" w:rsidTr="2C5BD03F" w14:paraId="608ED733" wp14:textId="77777777">
        <w:trPr>
          <w:trHeight w:val="3645"/>
        </w:trPr>
        <w:tc>
          <w:tcPr>
            <w:tcW w:w="4680" w:type="dxa"/>
            <w:tcBorders>
              <w:top w:val="single" w:color="000000" w:themeColor="accent6" w:sz="4"/>
              <w:left w:val="single" w:color="000000" w:themeColor="accent6" w:sz="4"/>
              <w:bottom w:val="single" w:color="000000" w:themeColor="accent6" w:sz="4"/>
              <w:right w:val="single" w:color="000000" w:themeColor="accent6" w:sz="4"/>
            </w:tcBorders>
            <w:tcMar>
              <w:top w:w="100" w:type="dxa"/>
              <w:left w:w="120" w:type="dxa"/>
              <w:bottom w:w="100" w:type="dxa"/>
              <w:right w:w="120" w:type="dxa"/>
            </w:tcMar>
          </w:tcPr>
          <w:p w14:paraId="19BB20B4" wp14:textId="77777777">
            <w:pPr>
              <w:pStyle w:val="ListParagraph"/>
              <w:numPr>
                <w:ilvl w:val="0"/>
                <w:numId w:val="3"/>
              </w:numPr>
              <w:spacing w:after="40" w:line="260"/>
            </w:pPr>
            <w:r>
              <w:rPr>
                <w:sz w:val="21"/>
                <w:szCs w:val="21"/>
              </w:rPr>
              <w:t xml:space="preserve">Unreliable electricity and low broadband penetration make daily digital classrooms impractical in many schools.</w:t>
            </w:r>
          </w:p>
          <w:p w14:paraId="090BFE4A" wp14:textId="77777777">
            <w:pPr>
              <w:pStyle w:val="ListParagraph"/>
              <w:numPr>
                <w:ilvl w:val="0"/>
                <w:numId w:val="3"/>
              </w:numPr>
              <w:spacing w:after="40" w:line="260" w:lineRule="auto"/>
              <w:rPr/>
            </w:pPr>
            <w:r w:rsidRPr="2C5BD03F" w:rsidR="2C5BD03F">
              <w:rPr>
                <w:sz w:val="21"/>
                <w:szCs w:val="21"/>
                <w:lang w:val="en-US"/>
              </w:rPr>
              <w:t>Device and connectivity costs remain a barrier for low-income households despite falling data prices.</w:t>
            </w:r>
          </w:p>
          <w:p w14:paraId="64BFD6E0" wp14:textId="77777777">
            <w:pPr>
              <w:pStyle w:val="ListParagraph"/>
              <w:numPr>
                <w:ilvl w:val="0"/>
                <w:numId w:val="3"/>
              </w:numPr>
              <w:spacing w:after="40" w:line="260"/>
            </w:pPr>
            <w:r>
              <w:rPr>
                <w:sz w:val="21"/>
                <w:szCs w:val="21"/>
              </w:rPr>
              <w:t xml:space="preserve">Gender and regional gaps in digital skills and online safety knowledge, especially among girls.</w:t>
            </w:r>
          </w:p>
          <w:p w14:paraId="6B2BFE50" wp14:textId="77777777">
            <w:pPr>
              <w:pStyle w:val="ListParagraph"/>
              <w:numPr>
                <w:ilvl w:val="0"/>
                <w:numId w:val="3"/>
              </w:numPr>
              <w:spacing w:after="40" w:line="260"/>
            </w:pPr>
            <w:r>
              <w:rPr>
                <w:sz w:val="21"/>
                <w:szCs w:val="21"/>
              </w:rPr>
              <w:t xml:space="preserve">Most smartphone usage is informal and social rather than educational.</w:t>
            </w:r>
          </w:p>
        </w:tc>
        <w:tc>
          <w:tcPr>
            <w:tcW w:w="4680" w:type="dxa"/>
            <w:tcBorders>
              <w:top w:val="single" w:color="000000" w:themeColor="accent6" w:sz="4"/>
              <w:left w:val="single" w:color="000000" w:themeColor="accent6" w:sz="4"/>
              <w:bottom w:val="single" w:color="000000" w:themeColor="accent6" w:sz="4"/>
              <w:right w:val="single" w:color="000000" w:themeColor="accent6" w:sz="4"/>
            </w:tcBorders>
            <w:tcMar>
              <w:top w:w="100" w:type="dxa"/>
              <w:left w:w="120" w:type="dxa"/>
              <w:bottom w:w="100" w:type="dxa"/>
              <w:right w:w="120" w:type="dxa"/>
            </w:tcMar>
          </w:tcPr>
          <w:p w14:paraId="130818D8" wp14:textId="77777777">
            <w:pPr>
              <w:pStyle w:val="ListParagraph"/>
              <w:numPr>
                <w:ilvl w:val="0"/>
                <w:numId w:val="3"/>
              </w:numPr>
              <w:spacing w:after="40" w:line="260"/>
            </w:pPr>
            <w:r>
              <w:rPr>
                <w:sz w:val="21"/>
                <w:szCs w:val="21"/>
              </w:rPr>
              <w:t xml:space="preserve">Near-universal smartphone presence gives a ready channel for delivering content and training.</w:t>
            </w:r>
          </w:p>
          <w:p w14:paraId="048D6727" wp14:textId="77777777">
            <w:pPr>
              <w:pStyle w:val="ListParagraph"/>
              <w:numPr>
                <w:ilvl w:val="0"/>
                <w:numId w:val="3"/>
              </w:numPr>
              <w:spacing w:after="40" w:line="260" w:lineRule="auto"/>
              <w:rPr/>
            </w:pPr>
            <w:r w:rsidRPr="2C5BD03F" w:rsidR="2C5BD03F">
              <w:rPr>
                <w:sz w:val="21"/>
                <w:szCs w:val="21"/>
                <w:lang w:val="en-US"/>
              </w:rPr>
              <w:t>Government platforms (DIKSHA, SWAYAM, PM eVidya) already have large content libraries that NGOs can adapt and localise.</w:t>
            </w:r>
          </w:p>
          <w:p w14:paraId="575DF3BC" wp14:textId="77777777">
            <w:pPr>
              <w:pStyle w:val="ListParagraph"/>
              <w:numPr>
                <w:ilvl w:val="0"/>
                <w:numId w:val="3"/>
              </w:numPr>
              <w:spacing w:after="40" w:line="260" w:lineRule="auto"/>
              <w:rPr/>
            </w:pPr>
            <w:r w:rsidRPr="2C5BD03F" w:rsidR="2C5BD03F">
              <w:rPr>
                <w:sz w:val="21"/>
                <w:szCs w:val="21"/>
                <w:lang w:val="en-US"/>
              </w:rPr>
              <w:t>Falling data costs and expanding BharatNet/PM-WANI coverage reduce the cost of last-mile connectivity.</w:t>
            </w:r>
          </w:p>
          <w:p w14:paraId="6FD24076" wp14:textId="77777777">
            <w:pPr>
              <w:pStyle w:val="ListParagraph"/>
              <w:numPr>
                <w:ilvl w:val="0"/>
                <w:numId w:val="3"/>
              </w:numPr>
              <w:spacing w:after="40" w:line="260" w:lineRule="auto"/>
              <w:rPr/>
            </w:pPr>
            <w:r w:rsidRPr="2C5BD03F" w:rsidR="2C5BD03F">
              <w:rPr>
                <w:sz w:val="21"/>
                <w:szCs w:val="21"/>
                <w:lang w:val="en-US"/>
              </w:rPr>
              <w:t>A growing CSR and NGO ecosystem (NIIT Foundation, Sampark Foundation, Bal Raksha Bharat) offers partners for scaling proven models.</w:t>
            </w:r>
          </w:p>
        </w:tc>
      </w:tr>
    </w:tbl>
    <w:p xmlns:wp14="http://schemas.microsoft.com/office/word/2010/wordml" w:rsidP="2C5BD03F" w14:paraId="1D8EFB6D" wp14:textId="554B2772">
      <w:pPr>
        <w:pStyle w:val="Heading1"/>
        <w:spacing w:after="200"/>
      </w:pPr>
      <w:r w:rsidR="2C5BD03F">
        <w:rPr/>
        <w:t>5. Recommendations</w:t>
      </w:r>
    </w:p>
    <w:p xmlns:wp14="http://schemas.microsoft.com/office/word/2010/wordml" w14:paraId="13512636" wp14:textId="77777777">
      <w:pPr>
        <w:pStyle w:val="ListParagraph"/>
        <w:numPr>
          <w:ilvl w:val="0"/>
          <w:numId w:val="2"/>
        </w:numPr>
        <w:spacing w:after="80" w:line="280" w:lineRule="auto"/>
        <w:rPr/>
      </w:pPr>
      <w:r w:rsidRPr="2C5BD03F" w:rsidR="2C5BD03F">
        <w:rPr>
          <w:sz w:val="23"/>
          <w:szCs w:val="23"/>
          <w:lang w:val="en-US"/>
        </w:rPr>
        <w:t>Focus on offline-first, low-bandwidth content (downloadable videos, SMS/USSD-based lessons, DTH broadcasts) so learning doesn't depend on having stable internet.</w:t>
      </w:r>
    </w:p>
    <w:p xmlns:wp14="http://schemas.microsoft.com/office/word/2010/wordml" w14:paraId="3FA9F19B" wp14:textId="77777777">
      <w:pPr>
        <w:pStyle w:val="ListParagraph"/>
        <w:numPr>
          <w:ilvl w:val="0"/>
          <w:numId w:val="2"/>
        </w:numPr>
        <w:spacing w:after="80" w:line="280" w:lineRule="auto"/>
        <w:rPr/>
      </w:pPr>
      <w:r w:rsidRPr="2C5BD03F" w:rsidR="2C5BD03F">
        <w:rPr>
          <w:sz w:val="23"/>
          <w:szCs w:val="23"/>
          <w:lang w:val="en-US"/>
        </w:rPr>
        <w:t>Combine every device or connectivity rollout with teacher training and digital-literacy support for parents, since access without guidance often turns into entertainment use rather than learning.</w:t>
      </w:r>
    </w:p>
    <w:p xmlns:wp14="http://schemas.microsoft.com/office/word/2010/wordml" w14:paraId="3F011B0E" wp14:textId="77777777">
      <w:pPr>
        <w:pStyle w:val="ListParagraph"/>
        <w:numPr>
          <w:ilvl w:val="0"/>
          <w:numId w:val="2"/>
        </w:numPr>
        <w:spacing w:after="80" w:line="280"/>
      </w:pPr>
      <w:r>
        <w:rPr>
          <w:sz w:val="23"/>
          <w:szCs w:val="23"/>
        </w:rPr>
        <w:t xml:space="preserve">Address the gender gap directly through girls-only digital literacy sessions, female trainers, and awareness campaigns aimed at changing household attitudes toward women's internet use.</w:t>
      </w:r>
    </w:p>
    <w:p xmlns:wp14="http://schemas.microsoft.com/office/word/2010/wordml" w14:paraId="721219E1" wp14:textId="41F66C56">
      <w:pPr>
        <w:pStyle w:val="ListParagraph"/>
        <w:numPr>
          <w:ilvl w:val="0"/>
          <w:numId w:val="2"/>
        </w:numPr>
        <w:spacing w:after="80" w:line="280" w:lineRule="auto"/>
        <w:rPr/>
      </w:pPr>
      <w:r w:rsidRPr="2C5BD03F" w:rsidR="2C5BD03F">
        <w:rPr>
          <w:sz w:val="23"/>
          <w:szCs w:val="23"/>
          <w:lang w:val="en-US"/>
        </w:rPr>
        <w:t xml:space="preserve">Build on existing systems instead of creating new </w:t>
      </w:r>
      <w:r w:rsidRPr="2C5BD03F" w:rsidR="2C5BD03F">
        <w:rPr>
          <w:sz w:val="23"/>
          <w:szCs w:val="23"/>
          <w:lang w:val="en-US"/>
        </w:rPr>
        <w:t>ones</w:t>
      </w:r>
      <w:r w:rsidRPr="2C5BD03F" w:rsidR="2C5BD03F">
        <w:rPr>
          <w:sz w:val="23"/>
          <w:szCs w:val="23"/>
          <w:lang w:val="en-US"/>
        </w:rPr>
        <w:t xml:space="preserve">  integrate NGO </w:t>
      </w:r>
      <w:r w:rsidRPr="2C5BD03F" w:rsidR="2C5BD03F">
        <w:rPr>
          <w:sz w:val="23"/>
          <w:szCs w:val="23"/>
          <w:lang w:val="en-US"/>
        </w:rPr>
        <w:t>programmes</w:t>
      </w:r>
      <w:r w:rsidRPr="2C5BD03F" w:rsidR="2C5BD03F">
        <w:rPr>
          <w:sz w:val="23"/>
          <w:szCs w:val="23"/>
          <w:lang w:val="en-US"/>
        </w:rPr>
        <w:t xml:space="preserve"> with government infrastructure (</w:t>
      </w:r>
      <w:r w:rsidRPr="2C5BD03F" w:rsidR="2C5BD03F">
        <w:rPr>
          <w:sz w:val="23"/>
          <w:szCs w:val="23"/>
          <w:lang w:val="en-US"/>
        </w:rPr>
        <w:t>BharatNet</w:t>
      </w:r>
      <w:r w:rsidRPr="2C5BD03F" w:rsidR="2C5BD03F">
        <w:rPr>
          <w:sz w:val="23"/>
          <w:szCs w:val="23"/>
          <w:lang w:val="en-US"/>
        </w:rPr>
        <w:t xml:space="preserve"> connectivity, DIKSHA/SWAYAM content).</w:t>
      </w:r>
    </w:p>
    <w:p xmlns:wp14="http://schemas.microsoft.com/office/word/2010/wordml" w14:paraId="3BBFC3B7" wp14:textId="77777777">
      <w:pPr>
        <w:pStyle w:val="Heading1"/>
      </w:pPr>
      <w:r>
        <w:t xml:space="preserve">6. Conclusion</w:t>
      </w:r>
    </w:p>
    <w:p xmlns:wp14="http://schemas.microsoft.com/office/word/2010/wordml" w14:paraId="597F74D9" wp14:textId="77777777">
      <w:pPr>
        <w:spacing w:after="130" w:line="290" w:lineRule="auto"/>
        <w:jc w:val="both"/>
      </w:pPr>
      <w:r w:rsidRPr="2C5BD03F" w:rsidR="2C5BD03F">
        <w:rPr>
          <w:sz w:val="23"/>
          <w:szCs w:val="23"/>
          <w:lang w:val="en-US"/>
        </w:rPr>
        <w:t>Rural India has made real progress on device access, but the bigger challenge now is turning that access into actual learning. Infrastructure projects like BharatNet and PM-WANI, policy efforts like NEP 2020's focus on foundational literacy, and grassroots NGO work are all contributing to recent improvements. Still, closing the remaining gaps in internet access, digital skills, and gender equality will need continued cooperation between government, NGOs, and local communities, with progress judged by what students actually learn, not just how many devices they own.</w:t>
      </w:r>
    </w:p>
    <w:p xmlns:wp14="http://schemas.microsoft.com/office/word/2010/wordml" w14:paraId="7CFFED3B" wp14:textId="77777777">
      <w:pPr>
        <w:pStyle w:val="Heading2"/>
      </w:pPr>
      <w:r>
        <w:t xml:space="preserve">References / Sources</w:t>
      </w:r>
    </w:p>
    <w:p xmlns:wp14="http://schemas.microsoft.com/office/word/2010/wordml" w14:paraId="050A5194" wp14:textId="77777777">
      <w:pPr>
        <w:spacing w:after="130" w:line="290" w:lineRule="auto"/>
        <w:jc w:val="both"/>
      </w:pPr>
      <w:r w:rsidRPr="2C5BD03F" w:rsidR="2C5BD03F">
        <w:rPr>
          <w:sz w:val="20"/>
          <w:szCs w:val="20"/>
          <w:lang w:val="en-US"/>
        </w:rPr>
        <w:t>ASER 2024 (Pratham) – Annual Status of Education Report; NSSO and NFHS-5, Government of India; PIB / Ministry of Education – DIKSHA, SWAYAM, PM eVidya; BharatNet and PM-WANI progress reports, Department of Telecommunications; NGO reports – NIIT Foundation, Sampark Foundation, Bal Raksha Bharat (Save the Children India).</w:t>
      </w:r>
    </w:p>
    <w:sectPr>
      <w:pgSz w:w="12240" w:h="15840" w:orient="portrait"/>
      <w:pgMar w:top="1080" w:right="1260" w:bottom="108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6f08bf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9d3713e"/>
    <w:multiLevelType w:val="hybridMultilevel"/>
    <w:lvl w:ilvl="0" w15:tentative="1">
      <w:start w:val="1"/>
      <w:numFmt w:val="bullet"/>
      <w:lvlText w:val="•"/>
      <w:lvlJc w:val="left"/>
      <w:pPr>
        <w:ind w:left="600" w:hanging="320"/>
      </w:pPr>
    </w:lvl>
  </w:abstractNum>
  <w:abstractNum w:abstractNumId="3" w15:restartNumberingAfterBreak="0">
    <w:nsid w:val="22988447"/>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051DB49"/>
  <w15:docId w15:val="{B22ADFDA-F508-4796-A10C-237D5B11E205}"/>
  <w:rsids>
    <w:rsidRoot w:val="0AD340F1"/>
    <w:rsid w:val="0AD340F1"/>
    <w:rsid w:val="15573A12"/>
    <w:rsid w:val="15B104AF"/>
    <w:rsid w:val="15B104AF"/>
    <w:rsid w:val="1B7B3D40"/>
    <w:rsid w:val="241911AB"/>
    <w:rsid w:val="2462796E"/>
    <w:rsid w:val="2C5BD03F"/>
    <w:rsid w:val="3C0F7782"/>
    <w:rsid w:val="5BAC1B75"/>
    <w:rsid w:val="6785DAFA"/>
    <w:rsid w:val="6785DAFA"/>
    <w:rsid w:val="6A37FD0C"/>
    <w:rsid w:val="73D30480"/>
    <w:rsid w:val="73D30480"/>
    <w:rsid w:val="7761505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20" w:after="110"/>
      <w:outlineLvl w:val="0"/>
    </w:pPr>
    <w:rPr>
      <w:rFonts w:ascii="Times New Roman" w:hAnsi="Times New Roman" w:eastAsia="Times New Roman" w:cs="Times New Roman"/>
      <w:b/>
      <w:bCs/>
      <w:sz w:val="26"/>
      <w:szCs w:val="26"/>
    </w:rPr>
  </w:style>
  <w:style w:type="paragraph" w:styleId="Heading2">
    <w:name w:val="heading 20"/>
    <w:basedOn w:val="Normal"/>
    <w:next w:val="Normal"/>
    <w:qFormat/>
    <w:pPr>
      <w:spacing w:before="180" w:after="90"/>
      <w:outlineLvl w:val="1"/>
    </w:pPr>
    <w:rPr>
      <w:rFonts w:ascii="Times New Roman" w:hAnsi="Times New Roman" w:eastAsia="Times New Roman" w:cs="Times New Roman"/>
      <w:b/>
      <w:bCs/>
      <w:i/>
      <w:iCs/>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MANSI PATIL - 14002230080</lastModifiedBy>
  <revision>2</revision>
  <dcterms:created xsi:type="dcterms:W3CDTF">2026-06-27T11:49:51.3530000Z</dcterms:created>
  <dcterms:modified xsi:type="dcterms:W3CDTF">2026-06-27T12:01:08.7031309Z</dcterms:modified>
</coreProperties>
</file>

<file path=docProps/custom.xml><?xml version="1.0" encoding="utf-8"?>
<Properties xmlns="http://schemas.openxmlformats.org/officeDocument/2006/custom-properties" xmlns:vt="http://schemas.openxmlformats.org/officeDocument/2006/docPropsVTypes"/>
</file>