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KALAMY-001</w:t>
        <w:br/>
        <w:t>Software Requirements Specification (SRS)</w:t>
        <w:br/>
        <w:t>Master Document</w:t>
      </w:r>
    </w:p>
    <w:p>
      <w:pPr>
        <w:pStyle w:val="Heading2"/>
      </w:pPr>
      <w:r>
        <w:t>حالة الوثيقة</w:t>
      </w:r>
    </w:p>
    <w:p>
      <w:r>
        <w:t>هذه هي النسخة الأساسية الجاهزة لبدء التصميم والتحليل الفني للإصدار الأول (MVP) من برنامج كلامي. تشكل المرجع الرسمي الذي سيبنى عليه التصميم وقاعدة البيانات وواجهات API.</w:t>
      </w:r>
    </w:p>
    <w:p>
      <w:pPr>
        <w:pStyle w:val="Heading2"/>
      </w:pPr>
      <w:r>
        <w:t>1. أهداف المنتج</w:t>
      </w:r>
    </w:p>
    <w:p>
      <w:pPr>
        <w:pStyle w:val="ListBullet"/>
      </w:pPr>
      <w:r>
        <w:t>منصة علاج رقمي للتلعثم.</w:t>
      </w:r>
    </w:p>
    <w:p>
      <w:pPr>
        <w:pStyle w:val="ListBullet"/>
      </w:pPr>
      <w:r>
        <w:t>إدارة رحلة المستفيد كاملة.</w:t>
      </w:r>
    </w:p>
    <w:p>
      <w:pPr>
        <w:pStyle w:val="ListBullet"/>
      </w:pPr>
      <w:r>
        <w:t>دعم العلاج الحضوري وعن بعد.</w:t>
      </w:r>
    </w:p>
    <w:p>
      <w:pPr>
        <w:pStyle w:val="ListBullet"/>
      </w:pPr>
      <w:r>
        <w:t>قياس النتائج السريرية.</w:t>
      </w:r>
    </w:p>
    <w:p>
      <w:pPr>
        <w:pStyle w:val="Heading2"/>
      </w:pPr>
      <w:r>
        <w:t>2. المستخدمون</w:t>
      </w:r>
    </w:p>
    <w:p>
      <w:pPr>
        <w:pStyle w:val="ListBullet"/>
      </w:pPr>
      <w:r>
        <w:t>المستفيد</w:t>
      </w:r>
    </w:p>
    <w:p>
      <w:pPr>
        <w:pStyle w:val="ListBullet"/>
      </w:pPr>
      <w:r>
        <w:t>ولي الأمر</w:t>
      </w:r>
    </w:p>
    <w:p>
      <w:pPr>
        <w:pStyle w:val="ListBullet"/>
      </w:pPr>
      <w:r>
        <w:t>الأخصائي</w:t>
      </w:r>
    </w:p>
    <w:p>
      <w:pPr>
        <w:pStyle w:val="ListBullet"/>
      </w:pPr>
      <w:r>
        <w:t>المشرف السريري</w:t>
      </w:r>
    </w:p>
    <w:p>
      <w:pPr>
        <w:pStyle w:val="ListBullet"/>
      </w:pPr>
      <w:r>
        <w:t>مدير النظام</w:t>
      </w:r>
    </w:p>
    <w:p>
      <w:pPr>
        <w:pStyle w:val="Heading2"/>
      </w:pPr>
      <w:r>
        <w:t>3. الوحدات الرئيسية</w:t>
      </w:r>
    </w:p>
    <w:p>
      <w:pPr>
        <w:pStyle w:val="ListBullet"/>
      </w:pPr>
      <w:r>
        <w:t>الحسابات</w:t>
      </w:r>
    </w:p>
    <w:p>
      <w:pPr>
        <w:pStyle w:val="ListBullet"/>
      </w:pPr>
      <w:r>
        <w:t>الملف السريري</w:t>
      </w:r>
    </w:p>
    <w:p>
      <w:pPr>
        <w:pStyle w:val="ListBullet"/>
      </w:pPr>
      <w:r>
        <w:t>التقييم</w:t>
      </w:r>
    </w:p>
    <w:p>
      <w:pPr>
        <w:pStyle w:val="ListBullet"/>
      </w:pPr>
      <w:r>
        <w:t>الخطة العلاجية</w:t>
      </w:r>
    </w:p>
    <w:p>
      <w:pPr>
        <w:pStyle w:val="ListBullet"/>
      </w:pPr>
      <w:r>
        <w:t>التمارين</w:t>
      </w:r>
    </w:p>
    <w:p>
      <w:pPr>
        <w:pStyle w:val="ListBullet"/>
      </w:pPr>
      <w:r>
        <w:t>الجلسات</w:t>
      </w:r>
    </w:p>
    <w:p>
      <w:pPr>
        <w:pStyle w:val="ListBullet"/>
      </w:pPr>
      <w:r>
        <w:t>التقارير</w:t>
      </w:r>
    </w:p>
    <w:p>
      <w:pPr>
        <w:pStyle w:val="ListBullet"/>
      </w:pPr>
      <w:r>
        <w:t>الإدارة</w:t>
      </w:r>
    </w:p>
    <w:p>
      <w:pPr>
        <w:pStyle w:val="Heading2"/>
      </w:pPr>
      <w:r>
        <w:t>4. المتطلبات الوظيفية</w:t>
      </w:r>
    </w:p>
    <w:p>
      <w:pPr>
        <w:pStyle w:val="ListBullet"/>
      </w:pPr>
      <w:r>
        <w:t>FR-001 إنشاء حساب</w:t>
      </w:r>
    </w:p>
    <w:p>
      <w:pPr>
        <w:pStyle w:val="ListBullet"/>
      </w:pPr>
      <w:r>
        <w:t>FR-002 تسجيل الدخول</w:t>
      </w:r>
    </w:p>
    <w:p>
      <w:pPr>
        <w:pStyle w:val="ListBullet"/>
      </w:pPr>
      <w:r>
        <w:t>FR-003 ملف المستفيد</w:t>
      </w:r>
    </w:p>
    <w:p>
      <w:pPr>
        <w:pStyle w:val="ListBullet"/>
      </w:pPr>
      <w:r>
        <w:t>FR-004 التقييم</w:t>
      </w:r>
    </w:p>
    <w:p>
      <w:pPr>
        <w:pStyle w:val="ListBullet"/>
      </w:pPr>
      <w:r>
        <w:t>FR-005 الخطة العلاجية</w:t>
      </w:r>
    </w:p>
    <w:p>
      <w:pPr>
        <w:pStyle w:val="ListBullet"/>
      </w:pPr>
      <w:r>
        <w:t>FR-006 مكتبة التمارين</w:t>
      </w:r>
    </w:p>
    <w:p>
      <w:pPr>
        <w:pStyle w:val="ListBullet"/>
      </w:pPr>
      <w:r>
        <w:t>FR-007 تنفيذ التمارين</w:t>
      </w:r>
    </w:p>
    <w:p>
      <w:pPr>
        <w:pStyle w:val="ListBullet"/>
      </w:pPr>
      <w:r>
        <w:t>FR-008 الجلسات</w:t>
      </w:r>
    </w:p>
    <w:p>
      <w:pPr>
        <w:pStyle w:val="ListBullet"/>
      </w:pPr>
      <w:r>
        <w:t>FR-009 متابعة التقدم</w:t>
      </w:r>
    </w:p>
    <w:p>
      <w:pPr>
        <w:pStyle w:val="ListBullet"/>
      </w:pPr>
      <w:r>
        <w:t>FR-010 التقارير</w:t>
      </w:r>
    </w:p>
    <w:p>
      <w:pPr>
        <w:pStyle w:val="ListBullet"/>
      </w:pPr>
      <w:r>
        <w:t>FR-011 لوحة الأخصائي</w:t>
      </w:r>
    </w:p>
    <w:p>
      <w:pPr>
        <w:pStyle w:val="ListBullet"/>
      </w:pPr>
      <w:r>
        <w:t>FR-012 الإدارة</w:t>
      </w:r>
    </w:p>
    <w:p>
      <w:pPr>
        <w:pStyle w:val="Heading2"/>
      </w:pPr>
      <w:r>
        <w:t>5. المتطلبات غير الوظيفية</w:t>
      </w:r>
    </w:p>
    <w:p>
      <w:pPr>
        <w:pStyle w:val="ListBullet"/>
      </w:pPr>
      <w:r>
        <w:t>أمان</w:t>
      </w:r>
    </w:p>
    <w:p>
      <w:pPr>
        <w:pStyle w:val="ListBullet"/>
      </w:pPr>
      <w:r>
        <w:t>أداء</w:t>
      </w:r>
    </w:p>
    <w:p>
      <w:pPr>
        <w:pStyle w:val="ListBullet"/>
      </w:pPr>
      <w:r>
        <w:t>قابلية التوسع</w:t>
      </w:r>
    </w:p>
    <w:p>
      <w:pPr>
        <w:pStyle w:val="ListBullet"/>
      </w:pPr>
      <w:r>
        <w:t>النسخ الاحتياطي</w:t>
      </w:r>
    </w:p>
    <w:p>
      <w:pPr>
        <w:pStyle w:val="ListBullet"/>
      </w:pPr>
      <w:r>
        <w:t>سجل تدقيق</w:t>
      </w:r>
    </w:p>
    <w:p>
      <w:pPr>
        <w:pStyle w:val="ListBullet"/>
      </w:pPr>
      <w:r>
        <w:t>إمكانية الوصول</w:t>
      </w:r>
    </w:p>
    <w:p>
      <w:pPr>
        <w:pStyle w:val="Heading2"/>
      </w:pPr>
      <w:r>
        <w:t>6. مخرجات الوثيقة</w:t>
      </w:r>
    </w:p>
    <w:p>
      <w:pPr>
        <w:pStyle w:val="ListBullet"/>
      </w:pPr>
      <w:r>
        <w:t>تعتمد هذه الوثيقة كأساس للتصميم.</w:t>
      </w:r>
    </w:p>
    <w:p>
      <w:pPr>
        <w:pStyle w:val="ListBullet"/>
      </w:pPr>
      <w:r>
        <w:t>أي تفصيل إضافي ينتقل إلى الوثائق التالية: Screen Specification, Database Dictionary, API Specification.</w:t>
      </w:r>
    </w:p>
    <w:p>
      <w:pPr>
        <w:pStyle w:val="Heading2"/>
      </w:pPr>
      <w:r>
        <w:t>اعتماد الوثيقة</w:t>
      </w:r>
    </w:p>
    <w:p>
      <w:r>
        <w:t>هذه الوثيقة مناسبة لبدء تحليل التصميم وتقسيم المشروع إلى وحدات عمل. أما التنفيذ البرمجي الكامل فيعتمد كذلك على الوثائق التالية: KALAMY-002 (Screen Specification)، KALAMY-003 (Database Dictionary)، KALAMY-004 (API Specification).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