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</w:r>
    </w:p>
    <w:p>
      <w:pPr>
        <w:pStyle w:val="Heading2"/>
      </w:pPr>
      <w:r>
        <w:t>الجزء الخامس: المتطلبات غير الوظيفية ومعايير الجودة</w:t>
      </w:r>
    </w:p>
    <w:p>
      <w:pPr>
        <w:pStyle w:val="Heading3"/>
      </w:pPr>
      <w:r>
        <w:t>1. الأداء</w:t>
      </w:r>
    </w:p>
    <w:p>
      <w:pPr>
        <w:pStyle w:val="ListBullet"/>
      </w:pPr>
      <w:r>
        <w:t>زمن استجابة معظم العمليات أقل من ثانيتين.</w:t>
      </w:r>
    </w:p>
    <w:p>
      <w:pPr>
        <w:pStyle w:val="ListBullet"/>
      </w:pPr>
      <w:r>
        <w:t>دعم المستخدمين المتزامنين وفق خطة السعة.</w:t>
      </w:r>
    </w:p>
    <w:p>
      <w:pPr>
        <w:pStyle w:val="ListBullet"/>
      </w:pPr>
      <w:r>
        <w:t>حفظ العمليات دون فقدان البيانات.</w:t>
      </w:r>
    </w:p>
    <w:p>
      <w:pPr>
        <w:pStyle w:val="Heading3"/>
      </w:pPr>
      <w:r>
        <w:t>2. الأمان</w:t>
      </w:r>
    </w:p>
    <w:p>
      <w:pPr>
        <w:pStyle w:val="ListBullet"/>
      </w:pPr>
      <w:r>
        <w:t>تشفير البيانات أثناء النقل والتخزين.</w:t>
      </w:r>
    </w:p>
    <w:p>
      <w:pPr>
        <w:pStyle w:val="ListBullet"/>
      </w:pPr>
      <w:r>
        <w:t>مصادقة آمنة.</w:t>
      </w:r>
    </w:p>
    <w:p>
      <w:pPr>
        <w:pStyle w:val="ListBullet"/>
      </w:pPr>
      <w:r>
        <w:t>صلاحيات حسب الدور.</w:t>
      </w:r>
    </w:p>
    <w:p>
      <w:pPr>
        <w:pStyle w:val="ListBullet"/>
      </w:pPr>
      <w:r>
        <w:t>سجل تدقيق لجميع العمليات الحساسة.</w:t>
      </w:r>
    </w:p>
    <w:p>
      <w:pPr>
        <w:pStyle w:val="Heading3"/>
      </w:pPr>
      <w:r>
        <w:t>3. التوفر والاستمرارية</w:t>
      </w:r>
    </w:p>
    <w:p>
      <w:pPr>
        <w:pStyle w:val="ListBullet"/>
      </w:pPr>
      <w:r>
        <w:t>استهداف توفر 99.9%.</w:t>
      </w:r>
    </w:p>
    <w:p>
      <w:pPr>
        <w:pStyle w:val="ListBullet"/>
      </w:pPr>
      <w:r>
        <w:t>نسخ احتياطي دوري.</w:t>
      </w:r>
    </w:p>
    <w:p>
      <w:pPr>
        <w:pStyle w:val="ListBullet"/>
      </w:pPr>
      <w:r>
        <w:t>خطة استعادة عند الطوارئ.</w:t>
      </w:r>
    </w:p>
    <w:p>
      <w:pPr>
        <w:pStyle w:val="Heading3"/>
      </w:pPr>
      <w:r>
        <w:t>4. سهولة الاستخدام</w:t>
      </w:r>
    </w:p>
    <w:p>
      <w:pPr>
        <w:pStyle w:val="ListBullet"/>
      </w:pPr>
      <w:r>
        <w:t>واجهة عربية أولاً مع دعم الإنجليزية.</w:t>
      </w:r>
    </w:p>
    <w:p>
      <w:pPr>
        <w:pStyle w:val="ListBullet"/>
      </w:pPr>
      <w:r>
        <w:t>تصميم متوافق مع الهواتف والأجهزة اللوحية والويب.</w:t>
      </w:r>
    </w:p>
    <w:p>
      <w:pPr>
        <w:pStyle w:val="ListBullet"/>
      </w:pPr>
      <w:r>
        <w:t>الالتزام بمبادئ إمكانية الوصول.</w:t>
      </w:r>
    </w:p>
    <w:p>
      <w:pPr>
        <w:pStyle w:val="Heading3"/>
      </w:pPr>
      <w:r>
        <w:t>5. الخصوصية</w:t>
      </w:r>
    </w:p>
    <w:p>
      <w:pPr>
        <w:pStyle w:val="ListBullet"/>
      </w:pPr>
      <w:r>
        <w:t>حماية البيانات الصحية.</w:t>
      </w:r>
    </w:p>
    <w:p>
      <w:pPr>
        <w:pStyle w:val="ListBullet"/>
      </w:pPr>
      <w:r>
        <w:t>تسجيل موافقات المستخدم عند الحاجة.</w:t>
      </w:r>
    </w:p>
    <w:p>
      <w:pPr>
        <w:pStyle w:val="ListBullet"/>
      </w:pPr>
      <w:r>
        <w:t>تقييد الوصول للبيانات حسب الصلاحيات.</w:t>
      </w:r>
    </w:p>
    <w:p>
      <w:pPr>
        <w:pStyle w:val="Heading3"/>
      </w:pPr>
      <w:r>
        <w:t>6. الجودة</w:t>
      </w:r>
    </w:p>
    <w:p>
      <w:pPr>
        <w:pStyle w:val="ListBullet"/>
      </w:pPr>
      <w:r>
        <w:t>اختبارات وحدة وتكامل وقبول.</w:t>
      </w:r>
    </w:p>
    <w:p>
      <w:pPr>
        <w:pStyle w:val="ListBullet"/>
      </w:pPr>
      <w:r>
        <w:t>مراجعة الكود.</w:t>
      </w:r>
    </w:p>
    <w:p>
      <w:pPr>
        <w:pStyle w:val="ListBullet"/>
      </w:pPr>
      <w:r>
        <w:t>مراجعة سريرية للوظائف العلاجية.</w:t>
      </w:r>
    </w:p>
    <w:p>
      <w:pPr>
        <w:pStyle w:val="Heading3"/>
      </w:pPr>
      <w:r>
        <w:t>7. معايير القبول</w:t>
      </w:r>
    </w:p>
    <w:p>
      <w:pPr>
        <w:pStyle w:val="ListBullet"/>
      </w:pPr>
      <w:r>
        <w:t>نجاح جميع الاختبارات الحرجة.</w:t>
      </w:r>
    </w:p>
    <w:p>
      <w:pPr>
        <w:pStyle w:val="ListBullet"/>
      </w:pPr>
      <w:r>
        <w:t>عدم وجود أخطاء حرجة قبل الإطلاق.</w:t>
      </w:r>
    </w:p>
    <w:p>
      <w:pPr>
        <w:pStyle w:val="ListBullet"/>
      </w:pPr>
      <w:r>
        <w:t>اعتماد المالك والأخصائي والمبرمج.</w:t>
      </w:r>
    </w:p>
    <w:p>
      <w:pPr>
        <w:pStyle w:val="Heading3"/>
      </w:pPr>
      <w:r>
        <w:t>8. خطة التسليم</w:t>
      </w:r>
    </w:p>
    <w:p>
      <w:pPr>
        <w:pStyle w:val="ListBullet"/>
      </w:pPr>
      <w:r>
        <w:t>تسليم التصميم.</w:t>
      </w:r>
    </w:p>
    <w:p>
      <w:pPr>
        <w:pStyle w:val="ListBullet"/>
      </w:pPr>
      <w:r>
        <w:t>تسليم البرمجة.</w:t>
      </w:r>
    </w:p>
    <w:p>
      <w:pPr>
        <w:pStyle w:val="ListBullet"/>
      </w:pPr>
      <w:r>
        <w:t>الاختبارات.</w:t>
      </w:r>
    </w:p>
    <w:p>
      <w:pPr>
        <w:pStyle w:val="ListBullet"/>
      </w:pPr>
      <w:r>
        <w:t>الإطلاق التجريبي.</w:t>
      </w:r>
    </w:p>
    <w:p>
      <w:pPr>
        <w:pStyle w:val="ListBullet"/>
      </w:pPr>
      <w:r>
        <w:t>الإطلاق الرسمي.</w:t>
      </w:r>
    </w:p>
    <w:p>
      <w:pPr>
        <w:pStyle w:val="Heading3"/>
      </w:pPr>
      <w:r>
        <w:t>الملحق</w:t>
      </w:r>
    </w:p>
    <w:p>
      <w:r>
        <w:t>تمثل الأجزاء الخمسة من وثيقة KALAMY-001 المرجع التنفيذي الأساسي للإصدار الأول من المنصة، وتعد أساساً لبدء التصميم والبرمجة مع إمكانية التوسع لاحقاً في الوثائق التفصيلية.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