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KALAMY-CLINICAL-002</w:t>
      </w:r>
    </w:p>
    <w:p>
      <w:pPr>
        <w:pStyle w:val="Heading2"/>
        <w:jc w:val="center"/>
      </w:pPr>
      <w:r>
        <w:t>الفصل الثاني: معايير التقييم والتشخيص</w:t>
      </w:r>
    </w:p>
    <w:p>
      <w:pPr>
        <w:pStyle w:val="Heading2"/>
      </w:pPr>
      <w:r>
        <w:t>1. أهداف التقييم</w:t>
      </w:r>
    </w:p>
    <w:p>
      <w:r>
        <w:t>يهدف التقييم إلى تحديد طبيعة اضطراب الطلاقة، وقياس شدته، وفهم العوامل المؤثرة عليه، وبناء خطة علاجية فردية قابلة للقياس.</w:t>
      </w:r>
    </w:p>
    <w:p>
      <w:pPr>
        <w:pStyle w:val="Heading2"/>
      </w:pPr>
      <w:r>
        <w:t>2. محاور التقييم</w:t>
      </w:r>
    </w:p>
    <w:p>
      <w:pPr>
        <w:pStyle w:val="ListBullet"/>
      </w:pPr>
      <w:r>
        <w:t>البيانات الديموغرافية والتاريخ المرضي.</w:t>
      </w:r>
    </w:p>
    <w:p>
      <w:pPr>
        <w:pStyle w:val="ListBullet"/>
      </w:pPr>
      <w:r>
        <w:t>بداية التلعثم ومساره الزمني.</w:t>
      </w:r>
    </w:p>
    <w:p>
      <w:pPr>
        <w:pStyle w:val="ListBullet"/>
      </w:pPr>
      <w:r>
        <w:t>التاريخ العائلي.</w:t>
      </w:r>
    </w:p>
    <w:p>
      <w:pPr>
        <w:pStyle w:val="ListBullet"/>
      </w:pPr>
      <w:r>
        <w:t>البيئة المدرسية أو المهنية.</w:t>
      </w:r>
    </w:p>
    <w:p>
      <w:pPr>
        <w:pStyle w:val="ListBullet"/>
      </w:pPr>
      <w:r>
        <w:t>المواقف الأكثر صعوبة في التواصل.</w:t>
      </w:r>
    </w:p>
    <w:p>
      <w:pPr>
        <w:pStyle w:val="ListBullet"/>
      </w:pPr>
      <w:r>
        <w:t>السلوكيات الثانوية والتجنب.</w:t>
      </w:r>
    </w:p>
    <w:p>
      <w:pPr>
        <w:pStyle w:val="ListBullet"/>
      </w:pPr>
      <w:r>
        <w:t>الأثر النفسي والاجتماعي.</w:t>
      </w:r>
    </w:p>
    <w:p>
      <w:pPr>
        <w:pStyle w:val="ListBullet"/>
      </w:pPr>
      <w:r>
        <w:t>العوامل الطبية والسمعية واللغوية ذات العلاقة.</w:t>
      </w:r>
    </w:p>
    <w:p>
      <w:pPr>
        <w:pStyle w:val="Heading2"/>
      </w:pPr>
      <w:r>
        <w:t>3. أدوات التقييم المقترحة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الأداة</w:t>
            </w:r>
          </w:p>
        </w:tc>
        <w:tc>
          <w:tcPr>
            <w:tcW w:type="dxa" w:w="4320"/>
          </w:tcPr>
          <w:p>
            <w:r>
              <w:t>الغرض</w:t>
            </w:r>
          </w:p>
        </w:tc>
      </w:tr>
      <w:tr>
        <w:tc>
          <w:tcPr>
            <w:tcW w:type="dxa" w:w="4320"/>
          </w:tcPr>
          <w:p>
            <w:r>
              <w:t>المقابلة السريرية</w:t>
            </w:r>
          </w:p>
        </w:tc>
        <w:tc>
          <w:tcPr>
            <w:tcW w:type="dxa" w:w="4320"/>
          </w:tcPr>
          <w:p>
            <w:r>
              <w:t>جمع التاريخ المرضي وتحديد الاحتياجات.</w:t>
            </w:r>
          </w:p>
        </w:tc>
      </w:tr>
      <w:tr>
        <w:tc>
          <w:tcPr>
            <w:tcW w:type="dxa" w:w="4320"/>
          </w:tcPr>
          <w:p>
            <w:r>
              <w:t>استبيان المستفيد/ولي الأمر</w:t>
            </w:r>
          </w:p>
        </w:tc>
        <w:tc>
          <w:tcPr>
            <w:tcW w:type="dxa" w:w="4320"/>
          </w:tcPr>
          <w:p>
            <w:r>
              <w:t>قياس أثر التلعثم على الحياة اليومية.</w:t>
            </w:r>
          </w:p>
        </w:tc>
      </w:tr>
      <w:tr>
        <w:tc>
          <w:tcPr>
            <w:tcW w:type="dxa" w:w="4320"/>
          </w:tcPr>
          <w:p>
            <w:r>
              <w:t>عينة كلام</w:t>
            </w:r>
          </w:p>
        </w:tc>
        <w:tc>
          <w:tcPr>
            <w:tcW w:type="dxa" w:w="4320"/>
          </w:tcPr>
          <w:p>
            <w:r>
              <w:t>تحليل الطلاقة في مواقف مختلفة.</w:t>
            </w:r>
          </w:p>
        </w:tc>
      </w:tr>
      <w:tr>
        <w:tc>
          <w:tcPr>
            <w:tcW w:type="dxa" w:w="4320"/>
          </w:tcPr>
          <w:p>
            <w:r>
              <w:t>مقاييس الشدة</w:t>
            </w:r>
          </w:p>
        </w:tc>
        <w:tc>
          <w:tcPr>
            <w:tcW w:type="dxa" w:w="4320"/>
          </w:tcPr>
          <w:p>
            <w:r>
              <w:t>قياس خط الأساس ومتابعة التحسن.</w:t>
            </w:r>
          </w:p>
        </w:tc>
      </w:tr>
      <w:tr>
        <w:tc>
          <w:tcPr>
            <w:tcW w:type="dxa" w:w="4320"/>
          </w:tcPr>
          <w:p>
            <w:r>
              <w:t>الملاحظة السريرية</w:t>
            </w:r>
          </w:p>
        </w:tc>
        <w:tc>
          <w:tcPr>
            <w:tcW w:type="dxa" w:w="4320"/>
          </w:tcPr>
          <w:p>
            <w:r>
              <w:t>تحديد السلوكيات الثانوية والعوامل البيئية.</w:t>
            </w:r>
          </w:p>
        </w:tc>
      </w:tr>
    </w:tbl>
    <w:p>
      <w:pPr>
        <w:pStyle w:val="Heading2"/>
      </w:pPr>
      <w:r>
        <w:t>4. مخرجات التقييم</w:t>
      </w:r>
    </w:p>
    <w:p>
      <w:pPr>
        <w:pStyle w:val="ListBullet"/>
      </w:pPr>
      <w:r>
        <w:t>تحديد مستوى الشدة.</w:t>
      </w:r>
    </w:p>
    <w:p>
      <w:pPr>
        <w:pStyle w:val="ListBullet"/>
      </w:pPr>
      <w:r>
        <w:t>تحديد الأهداف العلاجية الأولية.</w:t>
      </w:r>
    </w:p>
    <w:p>
      <w:pPr>
        <w:pStyle w:val="ListBullet"/>
      </w:pPr>
      <w:r>
        <w:t>تحديد المرحلة العلاجية المناسبة.</w:t>
      </w:r>
    </w:p>
    <w:p>
      <w:pPr>
        <w:pStyle w:val="ListBullet"/>
      </w:pPr>
      <w:r>
        <w:t>تحديد مؤشرات القياس الأساسية (Baseline).</w:t>
      </w:r>
    </w:p>
    <w:p>
      <w:pPr>
        <w:pStyle w:val="ListBullet"/>
      </w:pPr>
      <w:r>
        <w:t>توصيات للأسرة أو المستفيد.</w:t>
      </w:r>
    </w:p>
    <w:p>
      <w:pPr>
        <w:pStyle w:val="Heading2"/>
      </w:pPr>
      <w:r>
        <w:t>5. معايير الجودة</w:t>
      </w:r>
    </w:p>
    <w:p>
      <w:pPr>
        <w:pStyle w:val="ListBullet"/>
      </w:pPr>
      <w:r>
        <w:t>إكمال جميع عناصر التقييم الإلزامية.</w:t>
      </w:r>
    </w:p>
    <w:p>
      <w:pPr>
        <w:pStyle w:val="ListBullet"/>
      </w:pPr>
      <w:r>
        <w:t>توثيق النتائج داخل النظام.</w:t>
      </w:r>
    </w:p>
    <w:p>
      <w:pPr>
        <w:pStyle w:val="ListBullet"/>
      </w:pPr>
      <w:r>
        <w:t>اعتماد التقييم من الأخصائي.</w:t>
      </w:r>
    </w:p>
    <w:p>
      <w:pPr>
        <w:pStyle w:val="ListBullet"/>
      </w:pPr>
      <w:r>
        <w:t>إمكانية مقارنة النتائج في الزيارات اللاحقة.</w:t>
      </w:r>
    </w:p>
    <w:p>
      <w:pPr>
        <w:pStyle w:val="Heading2"/>
      </w:pPr>
      <w:r>
        <w:t>6. القرار السريري</w:t>
      </w:r>
    </w:p>
    <w:p>
      <w:r>
        <w:t>لا يبدأ البرنامج العلاجي إلا بعد اكتمال التقييم واعتماد الخطة العلاجية الأولية. ويُعاد التقييم عند حدوث تغير جوهري في الحالة أو عند نقاط المراجعة المحددة.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