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KALAMY-CP-101</w:t>
      </w:r>
    </w:p>
    <w:p>
      <w:pPr>
        <w:pStyle w:val="Heading2"/>
        <w:jc w:val="center"/>
      </w:pPr>
      <w:r>
        <w:t>المرحلة الأولى: التهيئة والتوعية</w:t>
        <w:br/>
        <w:t>الإصدار التنفيذي الموسع</w:t>
      </w:r>
    </w:p>
    <w:p>
      <w:r>
        <w:t>هذه الوثيقة تمثل النسخة الموسعة للمرحلة الأولى من البروتوكول العلاجي لبرنامج كلامي. وهي مصممة لتكون أساساً لبناء النظام الرقمي وربط الجوانب السريرية بالشاشات وقواعد العمل.</w:t>
      </w:r>
    </w:p>
    <w:p>
      <w:pPr>
        <w:pStyle w:val="Heading2"/>
      </w:pPr>
      <w:r>
        <w:t>1. الرؤية</w:t>
      </w:r>
    </w:p>
    <w:p>
      <w:r>
        <w:t>تهيئة المستفيد وأسرته وأخصائي التخاطب لبدء رحلة علاجية قائمة على الأدلة والقياس.</w:t>
      </w:r>
    </w:p>
    <w:p>
      <w:pPr>
        <w:pStyle w:val="Heading2"/>
      </w:pPr>
      <w:r>
        <w:t>2. أهداف المرحلة</w:t>
      </w:r>
    </w:p>
    <w:p>
      <w:pPr>
        <w:pStyle w:val="ListBullet"/>
      </w:pPr>
      <w:r>
        <w:t>• بناء التحالف العلاجي.</w:t>
      </w:r>
    </w:p>
    <w:p>
      <w:pPr>
        <w:pStyle w:val="ListBullet"/>
      </w:pPr>
      <w:r>
        <w:t>• رفع الوعي.</w:t>
      </w:r>
    </w:p>
    <w:p>
      <w:pPr>
        <w:pStyle w:val="ListBullet"/>
      </w:pPr>
      <w:r>
        <w:t>• تحديد خط الأساس.</w:t>
      </w:r>
    </w:p>
    <w:p>
      <w:pPr>
        <w:pStyle w:val="ListBullet"/>
      </w:pPr>
      <w:r>
        <w:t>• رفع الدافعية.</w:t>
      </w:r>
    </w:p>
    <w:p>
      <w:pPr>
        <w:pStyle w:val="ListBullet"/>
      </w:pPr>
      <w:r>
        <w:t>• إعداد الأسرة.</w:t>
      </w:r>
    </w:p>
    <w:p>
      <w:pPr>
        <w:pStyle w:val="ListBullet"/>
      </w:pPr>
      <w:r>
        <w:t>• اعتماد خطة البداية.</w:t>
      </w:r>
    </w:p>
    <w:p>
      <w:pPr>
        <w:pStyle w:val="Heading2"/>
      </w:pPr>
      <w:r>
        <w:t>3. معايير الدخول</w:t>
      </w:r>
    </w:p>
    <w:p>
      <w:r>
        <w:t>وجود تقييم أولي مكتمل، موافقة المستفيد أو ولي الأمر، عدم وجود موانع تحول دون بدء البرنامج.</w:t>
      </w:r>
    </w:p>
    <w:p>
      <w:pPr>
        <w:pStyle w:val="Heading2"/>
      </w:pPr>
      <w:r>
        <w:t>4. معايير الاستبعاد المؤقت</w:t>
      </w:r>
    </w:p>
    <w:p>
      <w:r>
        <w:t>الحالات الطبية أو النفسية غير المستقرة، الحاجة إلى تقييمات إضافية، أو عدم اكتمال البيانات.</w:t>
      </w:r>
    </w:p>
    <w:p>
      <w:pPr>
        <w:pStyle w:val="Heading2"/>
      </w:pPr>
      <w:r>
        <w:t>5. رحلة المستفيد</w:t>
      </w:r>
    </w:p>
    <w:p>
      <w:pPr>
        <w:pStyle w:val="ListBullet"/>
      </w:pPr>
      <w:r>
        <w:t>إنشاء الحساب → استكمال الملف → مشاهدة المحتوى التثقيفي → الإجابة عن الاستبيانات → تسجيل عينة كلام → مراجعة الأخصائي → اعتماد الجاهزية.</w:t>
      </w:r>
    </w:p>
    <w:p>
      <w:pPr>
        <w:pStyle w:val="Heading2"/>
      </w:pPr>
      <w:r>
        <w:t>6. رحلة ولي الأمر</w:t>
      </w:r>
    </w:p>
    <w:p>
      <w:r>
        <w:t>استكمال المحتوى التثقيفي، قراءة الإرشادات، تنفيذ الواجبات المنزلية، متابعة الالتزام.</w:t>
      </w:r>
    </w:p>
    <w:p>
      <w:pPr>
        <w:pStyle w:val="Heading2"/>
      </w:pPr>
      <w:r>
        <w:t>7. رحلة الأخصائي</w:t>
      </w:r>
    </w:p>
    <w:p>
      <w:r>
        <w:t>مراجعة البيانات، اعتماد التقييم، تحديد درجة الجاهزية، إنشاء خطة المرحلة الأولى، تحديد موعد المراجعة.</w:t>
      </w:r>
    </w:p>
    <w:p>
      <w:pPr>
        <w:pStyle w:val="Heading2"/>
      </w:pPr>
      <w:r>
        <w:t>8. المحتوى التثقيفي</w:t>
      </w:r>
    </w:p>
    <w:p>
      <w:r>
        <w:t>يشمل تعريف التلعثم، المفاهيم الخاطئة، دور الأسرة، أهمية الممارسة، آلية البرنامج، والتوقعات الواقعية.</w:t>
      </w:r>
    </w:p>
    <w:p>
      <w:pPr>
        <w:pStyle w:val="Heading2"/>
      </w:pPr>
      <w:r>
        <w:t>9. الجلسات المقترحة</w:t>
      </w:r>
    </w:p>
    <w:p>
      <w:pPr>
        <w:pStyle w:val="ListBullet"/>
      </w:pPr>
      <w:r>
        <w:t>الجلسة 1: التعارف وبناء الثقة.</w:t>
      </w:r>
    </w:p>
    <w:p>
      <w:pPr>
        <w:pStyle w:val="ListBullet"/>
      </w:pPr>
      <w:r>
        <w:t>الجلسة 2: فهم التلعثم.</w:t>
      </w:r>
    </w:p>
    <w:p>
      <w:pPr>
        <w:pStyle w:val="ListBullet"/>
      </w:pPr>
      <w:r>
        <w:t>الجلسة 3: تحديد الأهداف.</w:t>
      </w:r>
    </w:p>
    <w:p>
      <w:pPr>
        <w:pStyle w:val="ListBullet"/>
      </w:pPr>
      <w:r>
        <w:t>الجلسة 4: مراجعة الجاهزية.</w:t>
      </w:r>
    </w:p>
    <w:p>
      <w:pPr>
        <w:pStyle w:val="Heading2"/>
      </w:pPr>
      <w:r>
        <w:t>10. الواجبات المنزلية</w:t>
      </w:r>
    </w:p>
    <w:p>
      <w:r>
        <w:t>مشاهدة المواد التعليمية، تسجيل مواقف الكلام، الإجابة عن أسئلة الانعكاس الذاتي، الالتزام بالتذكيرات.</w:t>
      </w:r>
    </w:p>
    <w:p>
      <w:pPr>
        <w:pStyle w:val="Heading2"/>
      </w:pPr>
      <w:r>
        <w:t>11. مؤشرات الأداء</w:t>
      </w:r>
    </w:p>
    <w:p>
      <w:r>
        <w:t>الالتزام، إكمال المحتوى، درجة الجاهزية، حضور الجلسات، رضا المستفيد.</w:t>
      </w:r>
    </w:p>
    <w:p>
      <w:pPr>
        <w:pStyle w:val="Heading2"/>
      </w:pPr>
      <w:r>
        <w:t>12. قواعد العمل</w:t>
      </w:r>
    </w:p>
    <w:p>
      <w:pPr>
        <w:pStyle w:val="ListBullet"/>
      </w:pPr>
      <w:r>
        <w:t>عدم الانتقال للمرحلة التالية قبل تحقيق معايير الجاهزية واعتماد الأخصائي.</w:t>
      </w:r>
    </w:p>
    <w:p>
      <w:pPr>
        <w:pStyle w:val="Heading2"/>
      </w:pPr>
      <w:r>
        <w:t>13. محرك القرار السريري</w:t>
      </w:r>
    </w:p>
    <w:p>
      <w:r>
        <w:t>يحسب درجة الجاهزية ويقترح الاستمرار أو إعادة بعض الأنشطة أو اعتماد الانتقال مع بقاء القرار النهائي للأخصائي.</w:t>
      </w:r>
    </w:p>
    <w:p>
      <w:pPr>
        <w:pStyle w:val="Heading2"/>
      </w:pPr>
      <w:r>
        <w:t>14. متطلبات النظام</w:t>
      </w:r>
    </w:p>
    <w:p>
      <w:r>
        <w:t>شاشة الجاهزية، لوحة متابعة، إشعارات، تقارير، سجل نشاط، صلاحيات.</w:t>
      </w:r>
    </w:p>
    <w:p>
      <w:pPr>
        <w:pStyle w:val="Heading2"/>
      </w:pPr>
      <w:r>
        <w:t>15. حالات الاختبار</w:t>
      </w:r>
    </w:p>
    <w:p>
      <w:r>
        <w:t>التحقق من منع الانتقال عند عدم اكتمال المتطلبات، إصدار التنبيهات، حفظ نتائج الجاهزية.</w:t>
      </w:r>
    </w:p>
    <w:p>
      <w:pPr>
        <w:pStyle w:val="Heading2"/>
      </w:pPr>
      <w:r>
        <w:t>16. معايير الجودة</w:t>
      </w:r>
    </w:p>
    <w:p>
      <w:r>
        <w:t>توثيق كامل، مراجعة دورية، تتبع جميع القرارات السريرية، حفظ السجل التاريخي.</w:t>
      </w:r>
    </w:p>
    <w:p>
      <w:pPr>
        <w:pStyle w:val="Heading2"/>
      </w:pPr>
      <w:r>
        <w:t>ملاحظة تنفيذية</w:t>
      </w:r>
    </w:p>
    <w:p>
      <w:r>
        <w:t>هذه الوثيقة الموسعة ليست النسخة النهائية الكاملة ذات 100–150 صفحة. إعداد تلك النسخة يتطلب إنتاج كتاب كامل يتجاوز حدود رسالة واحدة، مع جداول تفصيلية ورسومات ومراجع ومئات قواعد العمل.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