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KALAMY-001</w:t>
        <w:br/>
        <w:t>Software Requirements Specification (SRS)</w:t>
        <w:br/>
        <w:t>SRS-001 – Introduction &amp; Product Definition</w:t>
      </w:r>
    </w:p>
    <w:p>
      <w:pPr>
        <w:pStyle w:val="Heading2"/>
      </w:pPr>
      <w:r>
        <w:t>1. الغرض من الوثيقة</w:t>
      </w:r>
    </w:p>
    <w:p>
      <w:r>
        <w:t>تُعد هذه الوثيقة المرجع الرسمي لمتطلبات برنامج كلامي. وهي موجهة لفريق إدارة المشروع، ومصممي UX/UI، ومطوري Frontend وBackend، ومهندسي الجودة والاختبارات.</w:t>
      </w:r>
    </w:p>
    <w:p>
      <w:pPr>
        <w:pStyle w:val="Heading2"/>
      </w:pPr>
      <w:r>
        <w:t>2. أهداف المنتج</w:t>
      </w:r>
    </w:p>
    <w:p>
      <w:pPr>
        <w:pStyle w:val="ListBullet"/>
      </w:pPr>
      <w:r>
        <w:t>توفير منصة رقمية متكاملة لعلاج التلعثم.</w:t>
      </w:r>
    </w:p>
    <w:p>
      <w:pPr>
        <w:pStyle w:val="ListBullet"/>
      </w:pPr>
      <w:r>
        <w:t>إدارة رحلة المستفيد من التسجيل حتى إنهاء البرنامج.</w:t>
      </w:r>
    </w:p>
    <w:p>
      <w:pPr>
        <w:pStyle w:val="ListBullet"/>
      </w:pPr>
      <w:r>
        <w:t>دعم العلاج الحضوري والعلاج عن بعد.</w:t>
      </w:r>
    </w:p>
    <w:p>
      <w:pPr>
        <w:pStyle w:val="ListBullet"/>
      </w:pPr>
      <w:r>
        <w:t>تمكين الأخصائي من متابعة النتائج واتخاذ القرار السريري.</w:t>
      </w:r>
    </w:p>
    <w:p>
      <w:pPr>
        <w:pStyle w:val="ListBullet"/>
      </w:pPr>
      <w:r>
        <w:t>إصدار تقارير قابلة للقياس.</w:t>
      </w:r>
    </w:p>
    <w:p>
      <w:pPr>
        <w:pStyle w:val="Heading2"/>
      </w:pPr>
      <w:r>
        <w:t>3. نطاق الإصدار الأول (MVP)</w:t>
      </w:r>
    </w:p>
    <w:p>
      <w:pPr>
        <w:pStyle w:val="ListBullet"/>
      </w:pPr>
      <w:r>
        <w:t>إدارة الحسابات.</w:t>
      </w:r>
    </w:p>
    <w:p>
      <w:pPr>
        <w:pStyle w:val="ListBullet"/>
      </w:pPr>
      <w:r>
        <w:t>الملف السريري.</w:t>
      </w:r>
    </w:p>
    <w:p>
      <w:pPr>
        <w:pStyle w:val="ListBullet"/>
      </w:pPr>
      <w:r>
        <w:t>التقييم الأولي.</w:t>
      </w:r>
    </w:p>
    <w:p>
      <w:pPr>
        <w:pStyle w:val="ListBullet"/>
      </w:pPr>
      <w:r>
        <w:t>الخطة العلاجية.</w:t>
      </w:r>
    </w:p>
    <w:p>
      <w:pPr>
        <w:pStyle w:val="ListBullet"/>
      </w:pPr>
      <w:r>
        <w:t>التمارين الرقمية.</w:t>
      </w:r>
    </w:p>
    <w:p>
      <w:pPr>
        <w:pStyle w:val="ListBullet"/>
      </w:pPr>
      <w:r>
        <w:t>الجلسات العلاجية.</w:t>
      </w:r>
    </w:p>
    <w:p>
      <w:pPr>
        <w:pStyle w:val="ListBullet"/>
      </w:pPr>
      <w:r>
        <w:t>التقارير.</w:t>
      </w:r>
    </w:p>
    <w:p>
      <w:pPr>
        <w:pStyle w:val="ListBullet"/>
      </w:pPr>
      <w:r>
        <w:t>الإشعارات.</w:t>
      </w:r>
    </w:p>
    <w:p>
      <w:pPr>
        <w:pStyle w:val="ListBullet"/>
      </w:pPr>
      <w:r>
        <w:t>لوحة الأخصائي.</w:t>
      </w:r>
    </w:p>
    <w:p>
      <w:pPr>
        <w:pStyle w:val="ListBullet"/>
      </w:pPr>
      <w:r>
        <w:t>لوحة الإدارة.</w:t>
      </w:r>
    </w:p>
    <w:p>
      <w:pPr>
        <w:pStyle w:val="Heading2"/>
      </w:pPr>
      <w:r>
        <w:t>4. أصحاب المصلحة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الفئة</w:t>
            </w:r>
          </w:p>
        </w:tc>
        <w:tc>
          <w:tcPr>
            <w:tcW w:type="dxa" w:w="2880"/>
          </w:tcPr>
          <w:p>
            <w:r>
              <w:t>الدور</w:t>
            </w:r>
          </w:p>
        </w:tc>
        <w:tc>
          <w:tcPr>
            <w:tcW w:type="dxa" w:w="2880"/>
          </w:tcPr>
          <w:p>
            <w:r>
              <w:t>الهدف</w:t>
            </w:r>
          </w:p>
        </w:tc>
      </w:tr>
      <w:tr>
        <w:tc>
          <w:tcPr>
            <w:tcW w:type="dxa" w:w="2880"/>
          </w:tcPr>
          <w:p>
            <w:r>
              <w:t>المستفيد</w:t>
            </w:r>
          </w:p>
        </w:tc>
        <w:tc>
          <w:tcPr>
            <w:tcW w:type="dxa" w:w="2880"/>
          </w:tcPr>
          <w:p>
            <w:r>
              <w:t>استخدام البرنامج</w:t>
            </w:r>
          </w:p>
        </w:tc>
        <w:tc>
          <w:tcPr>
            <w:tcW w:type="dxa" w:w="2880"/>
          </w:tcPr>
          <w:p>
            <w:r>
              <w:t>تحسين الطلاقة</w:t>
            </w:r>
          </w:p>
        </w:tc>
      </w:tr>
      <w:tr>
        <w:tc>
          <w:tcPr>
            <w:tcW w:type="dxa" w:w="2880"/>
          </w:tcPr>
          <w:p>
            <w:r>
              <w:t>ولي الأمر</w:t>
            </w:r>
          </w:p>
        </w:tc>
        <w:tc>
          <w:tcPr>
            <w:tcW w:type="dxa" w:w="2880"/>
          </w:tcPr>
          <w:p>
            <w:r>
              <w:t>المتابعة</w:t>
            </w:r>
          </w:p>
        </w:tc>
        <w:tc>
          <w:tcPr>
            <w:tcW w:type="dxa" w:w="2880"/>
          </w:tcPr>
          <w:p>
            <w:r>
              <w:t>دعم الالتزام</w:t>
            </w:r>
          </w:p>
        </w:tc>
      </w:tr>
      <w:tr>
        <w:tc>
          <w:tcPr>
            <w:tcW w:type="dxa" w:w="2880"/>
          </w:tcPr>
          <w:p>
            <w:r>
              <w:t>الأخصائي</w:t>
            </w:r>
          </w:p>
        </w:tc>
        <w:tc>
          <w:tcPr>
            <w:tcW w:type="dxa" w:w="2880"/>
          </w:tcPr>
          <w:p>
            <w:r>
              <w:t>العلاج</w:t>
            </w:r>
          </w:p>
        </w:tc>
        <w:tc>
          <w:tcPr>
            <w:tcW w:type="dxa" w:w="2880"/>
          </w:tcPr>
          <w:p>
            <w:r>
              <w:t>إدارة الخطة</w:t>
            </w:r>
          </w:p>
        </w:tc>
      </w:tr>
      <w:tr>
        <w:tc>
          <w:tcPr>
            <w:tcW w:type="dxa" w:w="2880"/>
          </w:tcPr>
          <w:p>
            <w:r>
              <w:t>المشرف</w:t>
            </w:r>
          </w:p>
        </w:tc>
        <w:tc>
          <w:tcPr>
            <w:tcW w:type="dxa" w:w="2880"/>
          </w:tcPr>
          <w:p>
            <w:r>
              <w:t>الجودة</w:t>
            </w:r>
          </w:p>
        </w:tc>
        <w:tc>
          <w:tcPr>
            <w:tcW w:type="dxa" w:w="2880"/>
          </w:tcPr>
          <w:p>
            <w:r>
              <w:t>الإشراف السريري</w:t>
            </w:r>
          </w:p>
        </w:tc>
      </w:tr>
      <w:tr>
        <w:tc>
          <w:tcPr>
            <w:tcW w:type="dxa" w:w="2880"/>
          </w:tcPr>
          <w:p>
            <w:r>
              <w:t>مدير النظام</w:t>
            </w:r>
          </w:p>
        </w:tc>
        <w:tc>
          <w:tcPr>
            <w:tcW w:type="dxa" w:w="2880"/>
          </w:tcPr>
          <w:p>
            <w:r>
              <w:t>الإدارة</w:t>
            </w:r>
          </w:p>
        </w:tc>
        <w:tc>
          <w:tcPr>
            <w:tcW w:type="dxa" w:w="2880"/>
          </w:tcPr>
          <w:p>
            <w:r>
              <w:t>تشغيل المنصة</w:t>
            </w:r>
          </w:p>
        </w:tc>
      </w:tr>
    </w:tbl>
    <w:p>
      <w:pPr>
        <w:pStyle w:val="Heading2"/>
      </w:pPr>
      <w:r>
        <w:t>5. الوحدات الرئيسية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الرمز</w:t>
            </w:r>
          </w:p>
        </w:tc>
        <w:tc>
          <w:tcPr>
            <w:tcW w:type="dxa" w:w="4320"/>
          </w:tcPr>
          <w:p>
            <w:r>
              <w:t>الوحدة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إدارة الحسابات</w:t>
            </w:r>
          </w:p>
        </w:tc>
      </w:tr>
      <w:tr>
        <w:tc>
          <w:tcPr>
            <w:tcW w:type="dxa" w:w="4320"/>
          </w:tcPr>
          <w:p>
            <w:r>
              <w:t>PAT</w:t>
            </w:r>
          </w:p>
        </w:tc>
        <w:tc>
          <w:tcPr>
            <w:tcW w:type="dxa" w:w="4320"/>
          </w:tcPr>
          <w:p>
            <w:r>
              <w:t>الملف السريري</w:t>
            </w:r>
          </w:p>
        </w:tc>
      </w:tr>
      <w:tr>
        <w:tc>
          <w:tcPr>
            <w:tcW w:type="dxa" w:w="4320"/>
          </w:tcPr>
          <w:p>
            <w:r>
              <w:t>ASM</w:t>
            </w:r>
          </w:p>
        </w:tc>
        <w:tc>
          <w:tcPr>
            <w:tcW w:type="dxa" w:w="4320"/>
          </w:tcPr>
          <w:p>
            <w:r>
              <w:t>التقييم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الخطة العلاجية</w:t>
            </w:r>
          </w:p>
        </w:tc>
      </w:tr>
      <w:tr>
        <w:tc>
          <w:tcPr>
            <w:tcW w:type="dxa" w:w="4320"/>
          </w:tcPr>
          <w:p>
            <w:r>
              <w:t>EX</w:t>
            </w:r>
          </w:p>
        </w:tc>
        <w:tc>
          <w:tcPr>
            <w:tcW w:type="dxa" w:w="4320"/>
          </w:tcPr>
          <w:p>
            <w:r>
              <w:t>التمارين</w:t>
            </w:r>
          </w:p>
        </w:tc>
      </w:tr>
      <w:tr>
        <w:tc>
          <w:tcPr>
            <w:tcW w:type="dxa" w:w="4320"/>
          </w:tcPr>
          <w:p>
            <w:r>
              <w:t>SES</w:t>
            </w:r>
          </w:p>
        </w:tc>
        <w:tc>
          <w:tcPr>
            <w:tcW w:type="dxa" w:w="4320"/>
          </w:tcPr>
          <w:p>
            <w:r>
              <w:t>الجلسات</w:t>
            </w:r>
          </w:p>
        </w:tc>
      </w:tr>
      <w:tr>
        <w:tc>
          <w:tcPr>
            <w:tcW w:type="dxa" w:w="4320"/>
          </w:tcPr>
          <w:p>
            <w:r>
              <w:t>PRO</w:t>
            </w:r>
          </w:p>
        </w:tc>
        <w:tc>
          <w:tcPr>
            <w:tcW w:type="dxa" w:w="4320"/>
          </w:tcPr>
          <w:p>
            <w:r>
              <w:t>التقدم</w:t>
            </w:r>
          </w:p>
        </w:tc>
      </w:tr>
      <w:tr>
        <w:tc>
          <w:tcPr>
            <w:tcW w:type="dxa" w:w="4320"/>
          </w:tcPr>
          <w:p>
            <w:r>
              <w:t>REP</w:t>
            </w:r>
          </w:p>
        </w:tc>
        <w:tc>
          <w:tcPr>
            <w:tcW w:type="dxa" w:w="4320"/>
          </w:tcPr>
          <w:p>
            <w:r>
              <w:t>التقارير</w:t>
            </w:r>
          </w:p>
        </w:tc>
      </w:tr>
      <w:tr>
        <w:tc>
          <w:tcPr>
            <w:tcW w:type="dxa" w:w="4320"/>
          </w:tcPr>
          <w:p>
            <w:r>
              <w:t>ADM</w:t>
            </w:r>
          </w:p>
        </w:tc>
        <w:tc>
          <w:tcPr>
            <w:tcW w:type="dxa" w:w="4320"/>
          </w:tcPr>
          <w:p>
            <w:r>
              <w:t>الإدارة</w:t>
            </w:r>
          </w:p>
        </w:tc>
      </w:tr>
    </w:tbl>
    <w:p>
      <w:pPr>
        <w:pStyle w:val="Heading2"/>
      </w:pPr>
      <w:r>
        <w:t>6. الافتراضات</w:t>
      </w:r>
    </w:p>
    <w:p>
      <w:pPr>
        <w:pStyle w:val="ListBullet"/>
      </w:pPr>
      <w:r>
        <w:t>المنصة تدعم الويب وiOS وAndroid.</w:t>
      </w:r>
    </w:p>
    <w:p>
      <w:pPr>
        <w:pStyle w:val="ListBullet"/>
      </w:pPr>
      <w:r>
        <w:t>اللغة العربية هي اللغة الأساسية مع إمكانية إضافة الإنجليزية.</w:t>
      </w:r>
    </w:p>
    <w:p>
      <w:pPr>
        <w:pStyle w:val="ListBullet"/>
      </w:pPr>
      <w:r>
        <w:t>جميع البيانات الصحية تخضع لصلاحيات الوصول.</w:t>
      </w:r>
    </w:p>
    <w:p>
      <w:pPr>
        <w:pStyle w:val="Heading2"/>
      </w:pPr>
      <w:r>
        <w:t>7. الوثائق المرجعية</w:t>
      </w:r>
    </w:p>
    <w:p>
      <w:pPr>
        <w:pStyle w:val="ListBullet"/>
      </w:pPr>
      <w:r>
        <w:t>KALAMY-002 Screen Specification</w:t>
      </w:r>
    </w:p>
    <w:p>
      <w:pPr>
        <w:pStyle w:val="ListBullet"/>
      </w:pPr>
      <w:r>
        <w:t>KALAMY-003 Database Dictionary</w:t>
      </w:r>
    </w:p>
    <w:p>
      <w:pPr>
        <w:pStyle w:val="ListBullet"/>
      </w:pPr>
      <w:r>
        <w:t>KALAMY-004 API Specification</w:t>
      </w:r>
    </w:p>
    <w:p>
      <w:pPr>
        <w:pStyle w:val="ListBullet"/>
      </w:pPr>
      <w:r>
        <w:t>KALAMY-005 UI Design System</w:t>
      </w:r>
    </w:p>
    <w:p>
      <w:pPr>
        <w:pStyle w:val="ListBullet"/>
      </w:pPr>
      <w:r>
        <w:t>KALAMY-006 Business Rules</w:t>
      </w:r>
    </w:p>
    <w:p>
      <w:pPr>
        <w:pStyle w:val="Heading2"/>
      </w:pPr>
      <w:r>
        <w:t>8. خطة استكمال SRS</w:t>
      </w:r>
    </w:p>
    <w:p>
      <w:r>
        <w:t>سيتم استكمال وثيقة SRS على ملفات متتابعة تغطي المتطلبات الوظيفية بالتفصيل، ثم دمجها في ملف واحد يمثل المرجع النهائي للتطوير.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