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SRS-002</w:t>
        <w:br/>
        <w:t>Vision &amp; Business Objectives</w:t>
      </w:r>
    </w:p>
    <w:p>
      <w:pPr>
        <w:pStyle w:val="Heading2"/>
      </w:pPr>
      <w:r>
        <w:t>1. الرؤية</w:t>
      </w:r>
    </w:p>
    <w:p>
      <w:r>
        <w:t>أن تكون منصة كلامي المرجع العربي الرائد للعلاج الرقمي لاضطرابات الطلاقة، مع تمكين الأخصائي من تقديم علاج قائم على البيانات والنتائج.</w:t>
      </w:r>
    </w:p>
    <w:p>
      <w:pPr>
        <w:pStyle w:val="Heading2"/>
      </w:pPr>
      <w:r>
        <w:t>2. الرسالة</w:t>
      </w:r>
    </w:p>
    <w:p>
      <w:r>
        <w:t>تقديم رحلة علاجية رقمية متكاملة وآمنة وسهلة الاستخدام تربط المستفيد وولي الأمر والأخصائي ضمن منصة واحدة.</w:t>
      </w:r>
    </w:p>
    <w:p>
      <w:pPr>
        <w:pStyle w:val="Heading2"/>
      </w:pPr>
      <w:r>
        <w:t>3. الأهداف الاستراتيجية</w:t>
      </w:r>
    </w:p>
    <w:p>
      <w:pPr>
        <w:pStyle w:val="ListBullet"/>
      </w:pPr>
      <w:r>
        <w:t>تحسين الوصول إلى العلاج داخل المملكة وخارجها.</w:t>
      </w:r>
    </w:p>
    <w:p>
      <w:pPr>
        <w:pStyle w:val="ListBullet"/>
      </w:pPr>
      <w:r>
        <w:t>توحيد البروتوكول العلاجي رقمياً.</w:t>
      </w:r>
    </w:p>
    <w:p>
      <w:pPr>
        <w:pStyle w:val="ListBullet"/>
      </w:pPr>
      <w:r>
        <w:t>رفع التزام المستفيد بالخطة العلاجية.</w:t>
      </w:r>
    </w:p>
    <w:p>
      <w:pPr>
        <w:pStyle w:val="ListBullet"/>
      </w:pPr>
      <w:r>
        <w:t>قياس النتائج السريرية بمؤشرات واضحة.</w:t>
      </w:r>
    </w:p>
    <w:p>
      <w:pPr>
        <w:pStyle w:val="ListBullet"/>
      </w:pPr>
      <w:r>
        <w:t>توفير تقارير تدعم القرار السريري والإداري.</w:t>
      </w:r>
    </w:p>
    <w:p>
      <w:pPr>
        <w:pStyle w:val="Heading2"/>
      </w:pPr>
      <w:r>
        <w:t>4. مؤشرات النجاح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المؤشر</w:t>
            </w:r>
          </w:p>
        </w:tc>
        <w:tc>
          <w:tcPr>
            <w:tcW w:type="dxa" w:w="2880"/>
          </w:tcPr>
          <w:p>
            <w:r>
              <w:t>الهدف</w:t>
            </w:r>
          </w:p>
        </w:tc>
        <w:tc>
          <w:tcPr>
            <w:tcW w:type="dxa" w:w="2880"/>
          </w:tcPr>
          <w:p>
            <w:r>
              <w:t>الملاحظات</w:t>
            </w:r>
          </w:p>
        </w:tc>
      </w:tr>
      <w:tr>
        <w:tc>
          <w:tcPr>
            <w:tcW w:type="dxa" w:w="2880"/>
          </w:tcPr>
          <w:p>
            <w:r>
              <w:t>إكمال التسجيل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من بدأ التسجيل</w:t>
            </w:r>
          </w:p>
        </w:tc>
      </w:tr>
      <w:tr>
        <w:tc>
          <w:tcPr>
            <w:tcW w:type="dxa" w:w="2880"/>
          </w:tcPr>
          <w:p>
            <w:r>
              <w:t>الالتزام بالتمارين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شهرياً</w:t>
            </w:r>
          </w:p>
        </w:tc>
      </w:tr>
      <w:tr>
        <w:tc>
          <w:tcPr>
            <w:tcW w:type="dxa" w:w="2880"/>
          </w:tcPr>
          <w:p>
            <w:r>
              <w:t>حضور الجلسات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وفق الجدول</w:t>
            </w:r>
          </w:p>
        </w:tc>
      </w:tr>
      <w:tr>
        <w:tc>
          <w:tcPr>
            <w:tcW w:type="dxa" w:w="2880"/>
          </w:tcPr>
          <w:p>
            <w:r>
              <w:t>رضا المستخدم</w:t>
            </w:r>
          </w:p>
        </w:tc>
        <w:tc>
          <w:tcPr>
            <w:tcW w:type="dxa" w:w="2880"/>
          </w:tcPr>
          <w:p>
            <w:r>
              <w:t>4.5/5</w:t>
            </w:r>
          </w:p>
        </w:tc>
        <w:tc>
          <w:tcPr>
            <w:tcW w:type="dxa" w:w="2880"/>
          </w:tcPr>
          <w:p>
            <w:r>
              <w:t>استبيانات</w:t>
            </w:r>
          </w:p>
        </w:tc>
      </w:tr>
      <w:tr>
        <w:tc>
          <w:tcPr>
            <w:tcW w:type="dxa" w:w="2880"/>
          </w:tcPr>
          <w:p>
            <w:r>
              <w:t>توافر النظام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>
              <w:t>تشغيلي</w:t>
            </w:r>
          </w:p>
        </w:tc>
      </w:tr>
    </w:tbl>
    <w:p>
      <w:pPr>
        <w:pStyle w:val="Heading2"/>
      </w:pPr>
      <w:r>
        <w:t>5. نطاق الإصدار الأول</w:t>
      </w:r>
    </w:p>
    <w:p>
      <w:pPr>
        <w:pStyle w:val="ListBullet"/>
      </w:pPr>
      <w:r>
        <w:t>تسجيل المستخدمين.</w:t>
      </w:r>
    </w:p>
    <w:p>
      <w:pPr>
        <w:pStyle w:val="ListBullet"/>
      </w:pPr>
      <w:r>
        <w:t>إدارة الحالات.</w:t>
      </w:r>
    </w:p>
    <w:p>
      <w:pPr>
        <w:pStyle w:val="ListBullet"/>
      </w:pPr>
      <w:r>
        <w:t>التقييم الأولي.</w:t>
      </w:r>
    </w:p>
    <w:p>
      <w:pPr>
        <w:pStyle w:val="ListBullet"/>
      </w:pPr>
      <w:r>
        <w:t>الخطة العلاجية.</w:t>
      </w:r>
    </w:p>
    <w:p>
      <w:pPr>
        <w:pStyle w:val="ListBullet"/>
      </w:pPr>
      <w:r>
        <w:t>التمارين والجلسات.</w:t>
      </w:r>
    </w:p>
    <w:p>
      <w:pPr>
        <w:pStyle w:val="ListBullet"/>
      </w:pPr>
      <w:r>
        <w:t>التقارير الأساسية.</w:t>
      </w:r>
    </w:p>
    <w:p>
      <w:pPr>
        <w:pStyle w:val="Heading2"/>
      </w:pPr>
      <w:r>
        <w:t>6. ما هو خارج نطاق الإصدار الأول</w:t>
      </w:r>
    </w:p>
    <w:p>
      <w:pPr>
        <w:pStyle w:val="ListBullet"/>
      </w:pPr>
      <w:r>
        <w:t>الذكاء الاصطناعي المتقدم.</w:t>
      </w:r>
    </w:p>
    <w:p>
      <w:pPr>
        <w:pStyle w:val="ListBullet"/>
      </w:pPr>
      <w:r>
        <w:t>التكامل مع الأجهزة الطبية.</w:t>
      </w:r>
    </w:p>
    <w:p>
      <w:pPr>
        <w:pStyle w:val="ListBullet"/>
      </w:pPr>
      <w:r>
        <w:t>التقارير البحثية المتقدمة.</w:t>
      </w:r>
    </w:p>
    <w:p>
      <w:pPr>
        <w:pStyle w:val="ListBullet"/>
      </w:pPr>
      <w:r>
        <w:t>التكامل مع أنظمة المستشفيات (HL7/FHIR) في المرحلة الأولى.</w:t>
      </w:r>
    </w:p>
    <w:p>
      <w:pPr>
        <w:pStyle w:val="Heading2"/>
      </w:pPr>
      <w:r>
        <w:t>7. المخاطر والافتراضات</w:t>
      </w:r>
    </w:p>
    <w:p>
      <w:pPr>
        <w:pStyle w:val="ListBullet"/>
      </w:pPr>
      <w:r>
        <w:t>توافر اتصال إنترنت مناسب للمستخدم.</w:t>
      </w:r>
    </w:p>
    <w:p>
      <w:pPr>
        <w:pStyle w:val="ListBullet"/>
      </w:pPr>
      <w:r>
        <w:t>اعتماد البروتوكول السريري قبل الإطلاق.</w:t>
      </w:r>
    </w:p>
    <w:p>
      <w:pPr>
        <w:pStyle w:val="ListBullet"/>
      </w:pPr>
      <w:r>
        <w:t>توفر فريق دعم وتشغيل بعد الإطلاق.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