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SRS-003</w:t>
        <w:br/>
        <w:t>User Personas &amp; Roles</w:t>
      </w:r>
    </w:p>
    <w:p>
      <w:pPr>
        <w:pStyle w:val="Heading2"/>
      </w:pPr>
      <w:r>
        <w:t>1. مقدمة</w:t>
      </w:r>
    </w:p>
    <w:p>
      <w:r>
        <w:t>يوضح هذا المستند جميع أنواع المستخدمين في منصة كلامي، وأهدافهم، وصلاحياتهم، وحالات الاستخدام الأساسية، ليكون مرجعاً لفريق التصميم والبرمجة.</w:t>
      </w:r>
    </w:p>
    <w:p>
      <w:pPr>
        <w:pStyle w:val="Heading2"/>
      </w:pPr>
      <w:r>
        <w:t>2. الشخصيات الرئيسية (Personas)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الدور</w:t>
            </w:r>
          </w:p>
        </w:tc>
        <w:tc>
          <w:tcPr>
            <w:tcW w:type="dxa" w:w="2880"/>
          </w:tcPr>
          <w:p>
            <w:r>
              <w:t>الهدف</w:t>
            </w:r>
          </w:p>
        </w:tc>
        <w:tc>
          <w:tcPr>
            <w:tcW w:type="dxa" w:w="2880"/>
          </w:tcPr>
          <w:p>
            <w:r>
              <w:t>المهام الرئيسية</w:t>
            </w:r>
          </w:p>
        </w:tc>
      </w:tr>
      <w:tr>
        <w:tc>
          <w:tcPr>
            <w:tcW w:type="dxa" w:w="2880"/>
          </w:tcPr>
          <w:p>
            <w:r>
              <w:t>المستفيد</w:t>
            </w:r>
          </w:p>
        </w:tc>
        <w:tc>
          <w:tcPr>
            <w:tcW w:type="dxa" w:w="2880"/>
          </w:tcPr>
          <w:p>
            <w:r>
              <w:t>تنفيذ الخطة العلاجية</w:t>
            </w:r>
          </w:p>
        </w:tc>
        <w:tc>
          <w:tcPr>
            <w:tcW w:type="dxa" w:w="2880"/>
          </w:tcPr>
          <w:p>
            <w:r>
              <w:t>الاطلاع على الخطة، أداء التمارين، حضور الجلسات، متابعة التقدم</w:t>
            </w:r>
          </w:p>
        </w:tc>
      </w:tr>
      <w:tr>
        <w:tc>
          <w:tcPr>
            <w:tcW w:type="dxa" w:w="2880"/>
          </w:tcPr>
          <w:p>
            <w:r>
              <w:t>ولي الأمر</w:t>
            </w:r>
          </w:p>
        </w:tc>
        <w:tc>
          <w:tcPr>
            <w:tcW w:type="dxa" w:w="2880"/>
          </w:tcPr>
          <w:p>
            <w:r>
              <w:t>متابعة الطفل</w:t>
            </w:r>
          </w:p>
        </w:tc>
        <w:tc>
          <w:tcPr>
            <w:tcW w:type="dxa" w:w="2880"/>
          </w:tcPr>
          <w:p>
            <w:r>
              <w:t>إدارة بيانات الطفل، متابعة الالتزام، استلام الإشعارات</w:t>
            </w:r>
          </w:p>
        </w:tc>
      </w:tr>
      <w:tr>
        <w:tc>
          <w:tcPr>
            <w:tcW w:type="dxa" w:w="2880"/>
          </w:tcPr>
          <w:p>
            <w:r>
              <w:t>أخصائي التخاطب</w:t>
            </w:r>
          </w:p>
        </w:tc>
        <w:tc>
          <w:tcPr>
            <w:tcW w:type="dxa" w:w="2880"/>
          </w:tcPr>
          <w:p>
            <w:r>
              <w:t>إدارة العلاج</w:t>
            </w:r>
          </w:p>
        </w:tc>
        <w:tc>
          <w:tcPr>
            <w:tcW w:type="dxa" w:w="2880"/>
          </w:tcPr>
          <w:p>
            <w:r>
              <w:t>التقييم، إنشاء الخطة، توثيق الجلسات، إصدار التقارير</w:t>
            </w:r>
          </w:p>
        </w:tc>
      </w:tr>
      <w:tr>
        <w:tc>
          <w:tcPr>
            <w:tcW w:type="dxa" w:w="2880"/>
          </w:tcPr>
          <w:p>
            <w:r>
              <w:t>المشرف السريري</w:t>
            </w:r>
          </w:p>
        </w:tc>
        <w:tc>
          <w:tcPr>
            <w:tcW w:type="dxa" w:w="2880"/>
          </w:tcPr>
          <w:p>
            <w:r>
              <w:t>ضمان الجودة</w:t>
            </w:r>
          </w:p>
        </w:tc>
        <w:tc>
          <w:tcPr>
            <w:tcW w:type="dxa" w:w="2880"/>
          </w:tcPr>
          <w:p>
            <w:r>
              <w:t>مراجعة الحالات، التدقيق السريري، متابعة مؤشرات الجودة</w:t>
            </w:r>
          </w:p>
        </w:tc>
      </w:tr>
      <w:tr>
        <w:tc>
          <w:tcPr>
            <w:tcW w:type="dxa" w:w="2880"/>
          </w:tcPr>
          <w:p>
            <w:r>
              <w:t>مدير النظام</w:t>
            </w:r>
          </w:p>
        </w:tc>
        <w:tc>
          <w:tcPr>
            <w:tcW w:type="dxa" w:w="2880"/>
          </w:tcPr>
          <w:p>
            <w:r>
              <w:t>إدارة المنصة</w:t>
            </w:r>
          </w:p>
        </w:tc>
        <w:tc>
          <w:tcPr>
            <w:tcW w:type="dxa" w:w="2880"/>
          </w:tcPr>
          <w:p>
            <w:r>
              <w:t>إدارة المستخدمين، الصلاحيات، الإعدادات، التقارير التشغيلية</w:t>
            </w:r>
          </w:p>
        </w:tc>
      </w:tr>
    </w:tbl>
    <w:p>
      <w:pPr>
        <w:pStyle w:val="Heading2"/>
      </w:pPr>
      <w:r>
        <w:t>3. مصفوفة الصلاحيات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الوظيفة</w:t>
            </w:r>
          </w:p>
        </w:tc>
        <w:tc>
          <w:tcPr>
            <w:tcW w:type="dxa" w:w="1440"/>
          </w:tcPr>
          <w:p>
            <w:r>
              <w:t>مستفيد</w:t>
            </w:r>
          </w:p>
        </w:tc>
        <w:tc>
          <w:tcPr>
            <w:tcW w:type="dxa" w:w="1440"/>
          </w:tcPr>
          <w:p>
            <w:r>
              <w:t>ولي أمر</w:t>
            </w:r>
          </w:p>
        </w:tc>
        <w:tc>
          <w:tcPr>
            <w:tcW w:type="dxa" w:w="1440"/>
          </w:tcPr>
          <w:p>
            <w:r>
              <w:t>أخصائي</w:t>
            </w:r>
          </w:p>
        </w:tc>
        <w:tc>
          <w:tcPr>
            <w:tcW w:type="dxa" w:w="1440"/>
          </w:tcPr>
          <w:p>
            <w:r>
              <w:t>مشرف</w:t>
            </w:r>
          </w:p>
        </w:tc>
        <w:tc>
          <w:tcPr>
            <w:tcW w:type="dxa" w:w="1440"/>
          </w:tcPr>
          <w:p>
            <w:r>
              <w:t>مدير</w:t>
            </w:r>
          </w:p>
        </w:tc>
      </w:tr>
      <w:tr>
        <w:tc>
          <w:tcPr>
            <w:tcW w:type="dxa" w:w="1440"/>
          </w:tcPr>
          <w:p>
            <w:r>
              <w:t>عرض الخطة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تعديل الخطة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إدارة المستخدمين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عرض التقارير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إدارة الإعدادات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✓</w:t>
            </w:r>
          </w:p>
        </w:tc>
      </w:tr>
    </w:tbl>
    <w:p>
      <w:pPr>
        <w:pStyle w:val="Heading2"/>
      </w:pPr>
      <w:r>
        <w:t>4. حالات الاستخدام الرئيسية</w:t>
      </w:r>
    </w:p>
    <w:p>
      <w:pPr>
        <w:pStyle w:val="ListBullet"/>
      </w:pPr>
      <w:r>
        <w:t>المستفيد يسجل حساباً ويبدأ الخطة العلاجية.</w:t>
      </w:r>
    </w:p>
    <w:p>
      <w:pPr>
        <w:pStyle w:val="ListBullet"/>
      </w:pPr>
      <w:r>
        <w:t>ولي الأمر يتابع تقدم الطفل ويتلقى الإشعارات.</w:t>
      </w:r>
    </w:p>
    <w:p>
      <w:pPr>
        <w:pStyle w:val="ListBullet"/>
      </w:pPr>
      <w:r>
        <w:t>الأخصائي يجري التقييم ويعتمد الخطة العلاجية.</w:t>
      </w:r>
    </w:p>
    <w:p>
      <w:pPr>
        <w:pStyle w:val="ListBullet"/>
      </w:pPr>
      <w:r>
        <w:t>المشرف يراجع جودة التطبيق السريري.</w:t>
      </w:r>
    </w:p>
    <w:p>
      <w:pPr>
        <w:pStyle w:val="ListBullet"/>
      </w:pPr>
      <w:r>
        <w:t>مدير النظام يدير المستخدمين والإعدادات.</w:t>
      </w:r>
    </w:p>
    <w:p>
      <w:pPr>
        <w:pStyle w:val="Heading2"/>
      </w:pPr>
      <w:r>
        <w:t>5. متطلبات أمنية</w:t>
      </w:r>
    </w:p>
    <w:p>
      <w:pPr>
        <w:pStyle w:val="ListBullet"/>
      </w:pPr>
      <w:r>
        <w:t>تطبيق مبدأ أقل صلاحية (Least Privilege).</w:t>
      </w:r>
    </w:p>
    <w:p>
      <w:pPr>
        <w:pStyle w:val="ListBullet"/>
      </w:pPr>
      <w:r>
        <w:t>تسجيل جميع العمليات الحساسة في سجل التدقيق.</w:t>
      </w:r>
    </w:p>
    <w:p>
      <w:pPr>
        <w:pStyle w:val="ListBullet"/>
      </w:pPr>
      <w:r>
        <w:t>التحقق من الصلاحيات قبل كل عملية.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