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A60FC" w14:textId="77777777" w:rsidR="00F91B96" w:rsidRPr="00F91B96" w:rsidRDefault="00F91B96" w:rsidP="00F91B96">
      <w:pPr>
        <w:rPr>
          <w:b/>
          <w:bCs/>
        </w:rPr>
      </w:pPr>
      <w:r w:rsidRPr="00F91B96">
        <w:rPr>
          <w:b/>
          <w:bCs/>
        </w:rPr>
        <w:t>What Term SOFR Is</w:t>
      </w:r>
    </w:p>
    <w:p w14:paraId="16D748A4" w14:textId="77777777" w:rsidR="00F91B96" w:rsidRPr="00F91B96" w:rsidRDefault="00F91B96" w:rsidP="00F91B96">
      <w:r w:rsidRPr="00F91B96">
        <w:t xml:space="preserve">Term SOFR is a </w:t>
      </w:r>
      <w:r w:rsidRPr="00F91B96">
        <w:rPr>
          <w:b/>
          <w:bCs/>
        </w:rPr>
        <w:t>forward-looking</w:t>
      </w:r>
      <w:r w:rsidRPr="00F91B96">
        <w:t xml:space="preserve"> interest rate — it tells you what the market expects overnight SOFR to average over the next 1, 3, 6, or 12 months. The official version is published daily by CME Group using intraday trade data. This notebook produces an approximation using publicly available end-of-day prices.</w:t>
      </w:r>
    </w:p>
    <w:p w14:paraId="5C0A6BAE" w14:textId="77777777" w:rsidR="00F91B96" w:rsidRPr="00F91B96" w:rsidRDefault="00F91B96" w:rsidP="00F91B96">
      <w:r w:rsidRPr="00F91B96">
        <w:pict w14:anchorId="050CB5D8">
          <v:rect id="_x0000_i1062" style="width:0;height:1.5pt" o:hralign="center" o:hrstd="t" o:hr="t" fillcolor="#a0a0a0" stroked="f"/>
        </w:pict>
      </w:r>
    </w:p>
    <w:p w14:paraId="16D1E395" w14:textId="77777777" w:rsidR="00F91B96" w:rsidRPr="00F91B96" w:rsidRDefault="00F91B96" w:rsidP="00F91B96">
      <w:pPr>
        <w:rPr>
          <w:b/>
          <w:bCs/>
        </w:rPr>
      </w:pPr>
      <w:r w:rsidRPr="00F91B96">
        <w:rPr>
          <w:b/>
          <w:bCs/>
        </w:rPr>
        <w:t>Step 1 — Fetch Futures Prices</w:t>
      </w:r>
    </w:p>
    <w:p w14:paraId="0D1477CA" w14:textId="77777777" w:rsidR="00F91B96" w:rsidRPr="00F91B96" w:rsidRDefault="00F91B96" w:rsidP="00F91B96">
      <w:r w:rsidRPr="00F91B96">
        <w:t xml:space="preserve">The notebook pulls settlement prices for </w:t>
      </w:r>
      <w:r w:rsidRPr="00F91B96">
        <w:rPr>
          <w:b/>
          <w:bCs/>
        </w:rPr>
        <w:t>CME SR1 futures</w:t>
      </w:r>
      <w:r w:rsidRPr="00F91B96">
        <w:t xml:space="preserve"> (1-month SOFR contracts) from Yahoo Finance. Each SR1 contract covers a single calendar month and is priced as:</w:t>
      </w:r>
    </w:p>
    <w:p w14:paraId="65443DBF" w14:textId="77777777" w:rsidR="00F91B96" w:rsidRPr="00F91B96" w:rsidRDefault="00F91B96" w:rsidP="00F91B96">
      <w:r w:rsidRPr="00F91B96">
        <w:rPr>
          <w:b/>
          <w:bCs/>
        </w:rPr>
        <w:t>Price = 100 − Expected Average SOFR Rate for that month</w:t>
      </w:r>
    </w:p>
    <w:p w14:paraId="0601BF87" w14:textId="77777777" w:rsidR="00F91B96" w:rsidRPr="00F91B96" w:rsidRDefault="00F91B96" w:rsidP="00F91B96">
      <w:proofErr w:type="gramStart"/>
      <w:r w:rsidRPr="00F91B96">
        <w:t>So</w:t>
      </w:r>
      <w:proofErr w:type="gramEnd"/>
      <w:r w:rsidRPr="00F91B96">
        <w:t xml:space="preserve"> a price of </w:t>
      </w:r>
      <w:r w:rsidRPr="00F91B96">
        <w:rPr>
          <w:b/>
          <w:bCs/>
        </w:rPr>
        <w:t>95.64</w:t>
      </w:r>
      <w:r w:rsidRPr="00F91B96">
        <w:t xml:space="preserve"> implies an expected rate of </w:t>
      </w:r>
      <w:r w:rsidRPr="00F91B96">
        <w:rPr>
          <w:b/>
          <w:bCs/>
        </w:rPr>
        <w:t>4.36%</w:t>
      </w:r>
      <w:r w:rsidRPr="00F91B96">
        <w:t xml:space="preserve"> for that month.</w:t>
      </w:r>
    </w:p>
    <w:p w14:paraId="0C1D4A2E" w14:textId="77777777" w:rsidR="00F91B96" w:rsidRPr="00F91B96" w:rsidRDefault="00F91B96" w:rsidP="00F91B96">
      <w:r w:rsidRPr="00F91B96">
        <w:t>The notebook fetches the next 14 monthly contracts, giving a forward view of roughly 14 months.</w:t>
      </w:r>
    </w:p>
    <w:p w14:paraId="5AB379A9" w14:textId="77777777" w:rsidR="00F91B96" w:rsidRPr="00F91B96" w:rsidRDefault="00F91B96" w:rsidP="00F91B96">
      <w:r w:rsidRPr="00F91B96">
        <w:pict w14:anchorId="53A8C2FC">
          <v:rect id="_x0000_i1063" style="width:0;height:1.5pt" o:hralign="center" o:hrstd="t" o:hr="t" fillcolor="#a0a0a0" stroked="f"/>
        </w:pict>
      </w:r>
    </w:p>
    <w:p w14:paraId="324F3604" w14:textId="77777777" w:rsidR="00F91B96" w:rsidRPr="00F91B96" w:rsidRDefault="00F91B96" w:rsidP="00F91B96">
      <w:pPr>
        <w:rPr>
          <w:b/>
          <w:bCs/>
        </w:rPr>
      </w:pPr>
      <w:r w:rsidRPr="00F91B96">
        <w:rPr>
          <w:b/>
          <w:bCs/>
        </w:rPr>
        <w:t>Step 2 — Build a Daily Forward Rate Curve</w:t>
      </w:r>
    </w:p>
    <w:p w14:paraId="23D80754" w14:textId="77777777" w:rsidR="00F91B96" w:rsidRPr="00F91B96" w:rsidRDefault="00F91B96" w:rsidP="00F91B96">
      <w:r w:rsidRPr="00F91B96">
        <w:t xml:space="preserve">Each futures contract's implied rate is spread across every calendar day in that </w:t>
      </w:r>
      <w:proofErr w:type="gramStart"/>
      <w:r w:rsidRPr="00F91B96">
        <w:t>contract's</w:t>
      </w:r>
      <w:proofErr w:type="gramEnd"/>
      <w:r w:rsidRPr="00F91B96">
        <w:t xml:space="preserve"> month. The result is a day-by-day schedule of expected overnight SOFR rates — for example:</w:t>
      </w:r>
    </w:p>
    <w:tbl>
      <w:tblPr>
        <w:tblW w:w="0" w:type="auto"/>
        <w:tblBorders>
          <w:top w:val="single" w:sz="6" w:space="0" w:color="454545"/>
          <w:left w:val="single" w:sz="6" w:space="0" w:color="454545"/>
          <w:bottom w:val="single" w:sz="6" w:space="0" w:color="454545"/>
          <w:right w:val="single" w:sz="6" w:space="0" w:color="454545"/>
        </w:tblBorders>
        <w:shd w:val="clear" w:color="auto" w:fill="060621"/>
        <w:tblCellMar>
          <w:top w:w="15" w:type="dxa"/>
          <w:left w:w="15" w:type="dxa"/>
          <w:bottom w:w="15" w:type="dxa"/>
          <w:right w:w="15" w:type="dxa"/>
        </w:tblCellMar>
        <w:tblLook w:val="04A0" w:firstRow="1" w:lastRow="0" w:firstColumn="1" w:lastColumn="0" w:noHBand="0" w:noVBand="1"/>
      </w:tblPr>
      <w:tblGrid>
        <w:gridCol w:w="613"/>
        <w:gridCol w:w="1331"/>
      </w:tblGrid>
      <w:tr w:rsidR="00F91B96" w:rsidRPr="00F91B96" w14:paraId="65137F18"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319DED1F" w14:textId="77777777" w:rsidR="00F91B96" w:rsidRPr="00F91B96" w:rsidRDefault="00F91B96" w:rsidP="00F91B96">
            <w:pPr>
              <w:rPr>
                <w:b/>
                <w:bCs/>
              </w:rPr>
            </w:pPr>
            <w:r w:rsidRPr="00F91B96">
              <w:rPr>
                <w:b/>
                <w:bCs/>
              </w:rPr>
              <w:t>Date</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129E7C4E" w14:textId="77777777" w:rsidR="00F91B96" w:rsidRPr="00F91B96" w:rsidRDefault="00F91B96" w:rsidP="00F91B96">
            <w:pPr>
              <w:rPr>
                <w:b/>
                <w:bCs/>
              </w:rPr>
            </w:pPr>
            <w:r w:rsidRPr="00F91B96">
              <w:rPr>
                <w:b/>
                <w:bCs/>
              </w:rPr>
              <w:t>Implied Rate</w:t>
            </w:r>
          </w:p>
        </w:tc>
      </w:tr>
      <w:tr w:rsidR="00F91B96" w:rsidRPr="00F91B96" w14:paraId="0828D408"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37FFB5DA" w14:textId="77777777" w:rsidR="00F91B96" w:rsidRPr="00F91B96" w:rsidRDefault="00F91B96" w:rsidP="00F91B96">
            <w:r w:rsidRPr="00F91B96">
              <w:t>May 1</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67F048E1" w14:textId="77777777" w:rsidR="00F91B96" w:rsidRPr="00F91B96" w:rsidRDefault="00F91B96" w:rsidP="00F91B96">
            <w:r w:rsidRPr="00F91B96">
              <w:t>4.36%</w:t>
            </w:r>
          </w:p>
        </w:tc>
      </w:tr>
      <w:tr w:rsidR="00F91B96" w:rsidRPr="00F91B96" w14:paraId="412B1311"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215AE6CA" w14:textId="77777777" w:rsidR="00F91B96" w:rsidRPr="00F91B96" w:rsidRDefault="00F91B96" w:rsidP="00F91B96">
            <w:r w:rsidRPr="00F91B96">
              <w:t>May 2</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3754897B" w14:textId="77777777" w:rsidR="00F91B96" w:rsidRPr="00F91B96" w:rsidRDefault="00F91B96" w:rsidP="00F91B96">
            <w:r w:rsidRPr="00F91B96">
              <w:t>4.36%</w:t>
            </w:r>
          </w:p>
        </w:tc>
      </w:tr>
      <w:tr w:rsidR="00F91B96" w:rsidRPr="00F91B96" w14:paraId="20165E39"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2C8755C8" w14:textId="77777777" w:rsidR="00F91B96" w:rsidRPr="00F91B96" w:rsidRDefault="00F91B96" w:rsidP="00F91B96">
            <w:r w:rsidRPr="00F91B96">
              <w:t>…</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5EF2B4FE" w14:textId="77777777" w:rsidR="00F91B96" w:rsidRPr="00F91B96" w:rsidRDefault="00F91B96" w:rsidP="00F91B96">
            <w:r w:rsidRPr="00F91B96">
              <w:t>…</w:t>
            </w:r>
          </w:p>
        </w:tc>
      </w:tr>
      <w:tr w:rsidR="00F91B96" w:rsidRPr="00F91B96" w14:paraId="66A1C5C2"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15298468" w14:textId="77777777" w:rsidR="00F91B96" w:rsidRPr="00F91B96" w:rsidRDefault="00F91B96" w:rsidP="00F91B96">
            <w:r w:rsidRPr="00F91B96">
              <w:t>Jun 1</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74C93922" w14:textId="77777777" w:rsidR="00F91B96" w:rsidRPr="00F91B96" w:rsidRDefault="00F91B96" w:rsidP="00F91B96">
            <w:r w:rsidRPr="00F91B96">
              <w:t>4.28%</w:t>
            </w:r>
          </w:p>
        </w:tc>
      </w:tr>
      <w:tr w:rsidR="00F91B96" w:rsidRPr="00F91B96" w14:paraId="6B3D042D"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672C9FC8" w14:textId="77777777" w:rsidR="00F91B96" w:rsidRPr="00F91B96" w:rsidRDefault="00F91B96" w:rsidP="00F91B96">
            <w:r w:rsidRPr="00F91B96">
              <w:t>Jun 2</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35FAA29C" w14:textId="77777777" w:rsidR="00F91B96" w:rsidRPr="00F91B96" w:rsidRDefault="00F91B96" w:rsidP="00F91B96">
            <w:r w:rsidRPr="00F91B96">
              <w:t>4.28%</w:t>
            </w:r>
          </w:p>
        </w:tc>
      </w:tr>
    </w:tbl>
    <w:p w14:paraId="1ED61375" w14:textId="77777777" w:rsidR="00F91B96" w:rsidRPr="00F91B96" w:rsidRDefault="00F91B96" w:rsidP="00F91B96">
      <w:r w:rsidRPr="00F91B96">
        <w:t>If the available contract data doesn't extend far enough to cover the 12-month tenor, the last known rate is carried forward flat.</w:t>
      </w:r>
    </w:p>
    <w:p w14:paraId="15B53291" w14:textId="77777777" w:rsidR="00F91B96" w:rsidRPr="00F91B96" w:rsidRDefault="00F91B96" w:rsidP="00F91B96">
      <w:r w:rsidRPr="00F91B96">
        <w:pict w14:anchorId="0C4D1B23">
          <v:rect id="_x0000_i1064" style="width:0;height:1.5pt" o:hralign="center" o:hrstd="t" o:hr="t" fillcolor="#a0a0a0" stroked="f"/>
        </w:pict>
      </w:r>
    </w:p>
    <w:p w14:paraId="6361ADF4" w14:textId="77777777" w:rsidR="00F91B96" w:rsidRPr="00F91B96" w:rsidRDefault="00F91B96" w:rsidP="00F91B96">
      <w:pPr>
        <w:rPr>
          <w:b/>
          <w:bCs/>
        </w:rPr>
      </w:pPr>
      <w:r w:rsidRPr="00F91B96">
        <w:rPr>
          <w:b/>
          <w:bCs/>
        </w:rPr>
        <w:t>Step 3 — Compound the Rates</w:t>
      </w:r>
    </w:p>
    <w:p w14:paraId="355B5C35" w14:textId="77777777" w:rsidR="00F91B96" w:rsidRPr="00F91B96" w:rsidRDefault="00F91B96" w:rsidP="00F91B96">
      <w:r w:rsidRPr="00F91B96">
        <w:t xml:space="preserve">To get a Term SOFR rate for a given tenor (e.g. 3-Month = 90 days), the notebook compounds the daily implied rates over that number of days using the </w:t>
      </w:r>
      <w:r w:rsidRPr="00F91B96">
        <w:rPr>
          <w:b/>
          <w:bCs/>
        </w:rPr>
        <w:t>Act/360</w:t>
      </w:r>
      <w:r w:rsidRPr="00F91B96">
        <w:t xml:space="preserve"> day-count convention — the same method used for actual SOFR:</w:t>
      </w:r>
    </w:p>
    <w:p w14:paraId="0CED2CAE" w14:textId="77777777" w:rsidR="00F91B96" w:rsidRPr="00F91B96" w:rsidRDefault="00F91B96" w:rsidP="00F91B96">
      <w:r w:rsidRPr="00F91B96">
        <w:t>Compound each day: multiply (1 + daily rate × 1/360) together for 90 days, subtract 1, then annualize back to a percentage.</w:t>
      </w:r>
    </w:p>
    <w:p w14:paraId="01D7D75F" w14:textId="77777777" w:rsidR="00F91B96" w:rsidRPr="00F91B96" w:rsidRDefault="00F91B96" w:rsidP="00F91B96">
      <w:r w:rsidRPr="00F91B96">
        <w:lastRenderedPageBreak/>
        <w:t>This mirrors how a floating-rate loan accrues interest day by day.</w:t>
      </w:r>
    </w:p>
    <w:p w14:paraId="506E07EA" w14:textId="77777777" w:rsidR="00F91B96" w:rsidRPr="00F91B96" w:rsidRDefault="00F91B96" w:rsidP="00F91B96">
      <w:r w:rsidRPr="00F91B96">
        <w:pict w14:anchorId="0516BC2D">
          <v:rect id="_x0000_i1065" style="width:0;height:1.5pt" o:hralign="center" o:hrstd="t" o:hr="t" fillcolor="#a0a0a0" stroked="f"/>
        </w:pict>
      </w:r>
    </w:p>
    <w:p w14:paraId="283282E3" w14:textId="77777777" w:rsidR="00F91B96" w:rsidRPr="00F91B96" w:rsidRDefault="00F91B96" w:rsidP="00F91B96">
      <w:pPr>
        <w:rPr>
          <w:b/>
          <w:bCs/>
        </w:rPr>
      </w:pPr>
      <w:r w:rsidRPr="00F91B96">
        <w:rPr>
          <w:b/>
          <w:bCs/>
        </w:rPr>
        <w:t>Step 4 — Output</w:t>
      </w:r>
    </w:p>
    <w:p w14:paraId="34D41801" w14:textId="77777777" w:rsidR="00F91B96" w:rsidRPr="00F91B96" w:rsidRDefault="00F91B96" w:rsidP="00F91B96">
      <w:r w:rsidRPr="00F91B96">
        <w:t>The four compounded results are labeled:</w:t>
      </w:r>
    </w:p>
    <w:p w14:paraId="47A9BA86" w14:textId="77777777" w:rsidR="00F91B96" w:rsidRPr="00F91B96" w:rsidRDefault="00F91B96" w:rsidP="00F91B96">
      <w:pPr>
        <w:numPr>
          <w:ilvl w:val="0"/>
          <w:numId w:val="1"/>
        </w:numPr>
      </w:pPr>
      <w:r w:rsidRPr="00F91B96">
        <w:rPr>
          <w:b/>
          <w:bCs/>
        </w:rPr>
        <w:t>1 Month</w:t>
      </w:r>
      <w:r w:rsidRPr="00F91B96">
        <w:t> — 30-day compound</w:t>
      </w:r>
    </w:p>
    <w:p w14:paraId="5565908D" w14:textId="77777777" w:rsidR="00F91B96" w:rsidRPr="00F91B96" w:rsidRDefault="00F91B96" w:rsidP="00F91B96">
      <w:pPr>
        <w:numPr>
          <w:ilvl w:val="0"/>
          <w:numId w:val="1"/>
        </w:numPr>
      </w:pPr>
      <w:r w:rsidRPr="00F91B96">
        <w:rPr>
          <w:b/>
          <w:bCs/>
        </w:rPr>
        <w:t>3 Month</w:t>
      </w:r>
      <w:r w:rsidRPr="00F91B96">
        <w:t> — 90-day compound</w:t>
      </w:r>
    </w:p>
    <w:p w14:paraId="34676450" w14:textId="77777777" w:rsidR="00F91B96" w:rsidRPr="00F91B96" w:rsidRDefault="00F91B96" w:rsidP="00F91B96">
      <w:pPr>
        <w:numPr>
          <w:ilvl w:val="0"/>
          <w:numId w:val="1"/>
        </w:numPr>
      </w:pPr>
      <w:r w:rsidRPr="00F91B96">
        <w:rPr>
          <w:b/>
          <w:bCs/>
        </w:rPr>
        <w:t>6 Month</w:t>
      </w:r>
      <w:r w:rsidRPr="00F91B96">
        <w:t> — 180-day compound</w:t>
      </w:r>
    </w:p>
    <w:p w14:paraId="7D802AE6" w14:textId="77777777" w:rsidR="00F91B96" w:rsidRPr="00F91B96" w:rsidRDefault="00F91B96" w:rsidP="00F91B96">
      <w:pPr>
        <w:numPr>
          <w:ilvl w:val="0"/>
          <w:numId w:val="1"/>
        </w:numPr>
      </w:pPr>
      <w:r w:rsidRPr="00F91B96">
        <w:rPr>
          <w:b/>
          <w:bCs/>
        </w:rPr>
        <w:t>12 Month</w:t>
      </w:r>
      <w:r w:rsidRPr="00F91B96">
        <w:t> — 360-day compound</w:t>
      </w:r>
    </w:p>
    <w:p w14:paraId="38FAB197" w14:textId="77777777" w:rsidR="00F91B96" w:rsidRPr="00F91B96" w:rsidRDefault="00F91B96" w:rsidP="00F91B96">
      <w:r w:rsidRPr="00F91B96">
        <w:t>These are written to the Domo dataset alongside official NY Fed overnight SOFR and 30/90/180-day backward-looking averages (from FRED) for comparison.</w:t>
      </w:r>
    </w:p>
    <w:p w14:paraId="047BC766" w14:textId="77777777" w:rsidR="00F91B96" w:rsidRPr="00F91B96" w:rsidRDefault="00F91B96" w:rsidP="00F91B96">
      <w:r w:rsidRPr="00F91B96">
        <w:pict w14:anchorId="543DAF23">
          <v:rect id="_x0000_i1066" style="width:0;height:1.5pt" o:hralign="center" o:hrstd="t" o:hr="t" fillcolor="#a0a0a0" stroked="f"/>
        </w:pict>
      </w:r>
    </w:p>
    <w:p w14:paraId="1B9D49DB" w14:textId="77777777" w:rsidR="00F91B96" w:rsidRPr="00F91B96" w:rsidRDefault="00F91B96" w:rsidP="00F91B96">
      <w:pPr>
        <w:rPr>
          <w:b/>
          <w:bCs/>
        </w:rPr>
      </w:pPr>
      <w:r w:rsidRPr="00F91B96">
        <w:rPr>
          <w:b/>
          <w:bCs/>
        </w:rPr>
        <w:t>Why It's an Approximation</w:t>
      </w:r>
    </w:p>
    <w:tbl>
      <w:tblPr>
        <w:tblW w:w="0" w:type="auto"/>
        <w:tblBorders>
          <w:top w:val="single" w:sz="6" w:space="0" w:color="454545"/>
          <w:left w:val="single" w:sz="6" w:space="0" w:color="454545"/>
          <w:bottom w:val="single" w:sz="6" w:space="0" w:color="454545"/>
          <w:right w:val="single" w:sz="6" w:space="0" w:color="454545"/>
        </w:tblBorders>
        <w:shd w:val="clear" w:color="auto" w:fill="060621"/>
        <w:tblCellMar>
          <w:top w:w="15" w:type="dxa"/>
          <w:left w:w="15" w:type="dxa"/>
          <w:bottom w:w="15" w:type="dxa"/>
          <w:right w:w="15" w:type="dxa"/>
        </w:tblCellMar>
        <w:tblLook w:val="04A0" w:firstRow="1" w:lastRow="0" w:firstColumn="1" w:lastColumn="0" w:noHBand="0" w:noVBand="1"/>
      </w:tblPr>
      <w:tblGrid>
        <w:gridCol w:w="1238"/>
        <w:gridCol w:w="2781"/>
        <w:gridCol w:w="2189"/>
      </w:tblGrid>
      <w:tr w:rsidR="00F91B96" w:rsidRPr="00F91B96" w14:paraId="35FD812C"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7C271A11" w14:textId="77777777" w:rsidR="00F91B96" w:rsidRPr="00F91B96" w:rsidRDefault="00F91B96" w:rsidP="00F91B96">
            <w:pPr>
              <w:rPr>
                <w:b/>
                <w:bCs/>
              </w:rPr>
            </w:pPr>
            <w:r w:rsidRPr="00F91B96">
              <w:rPr>
                <w:b/>
                <w:bCs/>
              </w:rPr>
              <w:t>Factor</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031FF145" w14:textId="77777777" w:rsidR="00F91B96" w:rsidRPr="00F91B96" w:rsidRDefault="00F91B96" w:rsidP="00F91B96">
            <w:pPr>
              <w:rPr>
                <w:b/>
                <w:bCs/>
              </w:rPr>
            </w:pPr>
            <w:r w:rsidRPr="00F91B96">
              <w:rPr>
                <w:b/>
                <w:bCs/>
              </w:rPr>
              <w:t>Official CME Term SOFR</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7B77978A" w14:textId="77777777" w:rsidR="00F91B96" w:rsidRPr="00F91B96" w:rsidRDefault="00F91B96" w:rsidP="00F91B96">
            <w:pPr>
              <w:rPr>
                <w:b/>
                <w:bCs/>
              </w:rPr>
            </w:pPr>
            <w:r w:rsidRPr="00F91B96">
              <w:rPr>
                <w:b/>
                <w:bCs/>
              </w:rPr>
              <w:t>This Notebook</w:t>
            </w:r>
          </w:p>
        </w:tc>
      </w:tr>
      <w:tr w:rsidR="00F91B96" w:rsidRPr="00F91B96" w14:paraId="41A7D324"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59513F16" w14:textId="77777777" w:rsidR="00F91B96" w:rsidRPr="00F91B96" w:rsidRDefault="00F91B96" w:rsidP="00F91B96">
            <w:r w:rsidRPr="00F91B96">
              <w:t>Price source</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1CEE217C" w14:textId="77777777" w:rsidR="00F91B96" w:rsidRPr="00F91B96" w:rsidRDefault="00F91B96" w:rsidP="00F91B96">
            <w:r w:rsidRPr="00F91B96">
              <w:t>Intraday VWAP</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76875A80" w14:textId="77777777" w:rsidR="00F91B96" w:rsidRPr="00F91B96" w:rsidRDefault="00F91B96" w:rsidP="00F91B96">
            <w:r w:rsidRPr="00F91B96">
              <w:t>End-of-day settlement</w:t>
            </w:r>
          </w:p>
        </w:tc>
      </w:tr>
      <w:tr w:rsidR="00F91B96" w:rsidRPr="00F91B96" w14:paraId="6D2B8844"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5E5BE29E" w14:textId="77777777" w:rsidR="00F91B96" w:rsidRPr="00F91B96" w:rsidRDefault="00F91B96" w:rsidP="00F91B96">
            <w:r w:rsidRPr="00F91B96">
              <w:t>Timing</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0611BFBD" w14:textId="77777777" w:rsidR="00F91B96" w:rsidRPr="00F91B96" w:rsidRDefault="00F91B96" w:rsidP="00F91B96">
            <w:r w:rsidRPr="00F91B96">
              <w:t>Published at market close</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71F55E32" w14:textId="77777777" w:rsidR="00F91B96" w:rsidRPr="00F91B96" w:rsidRDefault="00F91B96" w:rsidP="00F91B96">
            <w:r w:rsidRPr="00F91B96">
              <w:t>Calculated anytime</w:t>
            </w:r>
          </w:p>
        </w:tc>
      </w:tr>
      <w:tr w:rsidR="00F91B96" w:rsidRPr="00F91B96" w14:paraId="13823FF6"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3A178C51" w14:textId="77777777" w:rsidR="00F91B96" w:rsidRPr="00F91B96" w:rsidRDefault="00F91B96" w:rsidP="00F91B96">
            <w:r w:rsidRPr="00F91B96">
              <w:t>Day count</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346EE3C1" w14:textId="77777777" w:rsidR="00F91B96" w:rsidRPr="00F91B96" w:rsidRDefault="00F91B96" w:rsidP="00F91B96">
            <w:r w:rsidRPr="00F91B96">
              <w:t>Exact business-day calendar</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1D244546" w14:textId="77777777" w:rsidR="00F91B96" w:rsidRPr="00F91B96" w:rsidRDefault="00F91B96" w:rsidP="00F91B96">
            <w:r w:rsidRPr="00F91B96">
              <w:t>Simple calendar days</w:t>
            </w:r>
          </w:p>
        </w:tc>
      </w:tr>
      <w:tr w:rsidR="00F91B96" w:rsidRPr="00F91B96" w14:paraId="3ADA9583" w14:textId="77777777">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06DC7652" w14:textId="77777777" w:rsidR="00F91B96" w:rsidRPr="00F91B96" w:rsidRDefault="00F91B96" w:rsidP="00F91B96">
            <w:r w:rsidRPr="00F91B96">
              <w:t>Accuracy</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52B3D2DF" w14:textId="77777777" w:rsidR="00F91B96" w:rsidRPr="00F91B96" w:rsidRDefault="00F91B96" w:rsidP="00F91B96">
            <w:r w:rsidRPr="00F91B96">
              <w:t>Exact</w:t>
            </w:r>
          </w:p>
        </w:tc>
        <w:tc>
          <w:tcPr>
            <w:tcW w:w="0" w:type="auto"/>
            <w:tcBorders>
              <w:top w:val="single" w:sz="6" w:space="0" w:color="454545"/>
              <w:left w:val="single" w:sz="6" w:space="0" w:color="454545"/>
              <w:bottom w:val="single" w:sz="6" w:space="0" w:color="454545"/>
              <w:right w:val="single" w:sz="6" w:space="0" w:color="454545"/>
            </w:tcBorders>
            <w:shd w:val="clear" w:color="auto" w:fill="060621"/>
            <w:tcMar>
              <w:top w:w="30" w:type="dxa"/>
              <w:left w:w="30" w:type="dxa"/>
              <w:bottom w:w="30" w:type="dxa"/>
              <w:right w:w="30" w:type="dxa"/>
            </w:tcMar>
            <w:vAlign w:val="center"/>
            <w:hideMark/>
          </w:tcPr>
          <w:p w14:paraId="57AD9FDC" w14:textId="77777777" w:rsidR="00F91B96" w:rsidRPr="00F91B96" w:rsidRDefault="00F91B96" w:rsidP="00F91B96">
            <w:r w:rsidRPr="00F91B96">
              <w:t>~0.5–3 bps off</w:t>
            </w:r>
          </w:p>
        </w:tc>
      </w:tr>
    </w:tbl>
    <w:p w14:paraId="6EA68D37" w14:textId="77777777" w:rsidR="00F91B96" w:rsidRPr="00F91B96" w:rsidRDefault="00F91B96" w:rsidP="00F91B96">
      <w:r w:rsidRPr="00F91B96">
        <w:t>The approximation is suitable for budgeting, underwriting, and internal modelling — but should not be used as a contractual rate reference.</w:t>
      </w:r>
    </w:p>
    <w:p w14:paraId="370CF82A" w14:textId="77777777" w:rsidR="00BE0769" w:rsidRDefault="00BE0769"/>
    <w:sectPr w:rsidR="00BE0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A7809"/>
    <w:multiLevelType w:val="multilevel"/>
    <w:tmpl w:val="8F2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95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96"/>
    <w:rsid w:val="005A2A13"/>
    <w:rsid w:val="00BE0769"/>
    <w:rsid w:val="00D24912"/>
    <w:rsid w:val="00F07228"/>
    <w:rsid w:val="00F9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16401"/>
  <w15:chartTrackingRefBased/>
  <w15:docId w15:val="{13AE8278-C27D-48E2-8B8E-B437A8D8C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B96"/>
    <w:rPr>
      <w:rFonts w:eastAsiaTheme="majorEastAsia" w:cstheme="majorBidi"/>
      <w:color w:val="272727" w:themeColor="text1" w:themeTint="D8"/>
    </w:rPr>
  </w:style>
  <w:style w:type="paragraph" w:styleId="Title">
    <w:name w:val="Title"/>
    <w:basedOn w:val="Normal"/>
    <w:next w:val="Normal"/>
    <w:link w:val="TitleChar"/>
    <w:uiPriority w:val="10"/>
    <w:qFormat/>
    <w:rsid w:val="00F9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B96"/>
    <w:pPr>
      <w:spacing w:before="160"/>
      <w:jc w:val="center"/>
    </w:pPr>
    <w:rPr>
      <w:i/>
      <w:iCs/>
      <w:color w:val="404040" w:themeColor="text1" w:themeTint="BF"/>
    </w:rPr>
  </w:style>
  <w:style w:type="character" w:customStyle="1" w:styleId="QuoteChar">
    <w:name w:val="Quote Char"/>
    <w:basedOn w:val="DefaultParagraphFont"/>
    <w:link w:val="Quote"/>
    <w:uiPriority w:val="29"/>
    <w:rsid w:val="00F91B96"/>
    <w:rPr>
      <w:i/>
      <w:iCs/>
      <w:color w:val="404040" w:themeColor="text1" w:themeTint="BF"/>
    </w:rPr>
  </w:style>
  <w:style w:type="paragraph" w:styleId="ListParagraph">
    <w:name w:val="List Paragraph"/>
    <w:basedOn w:val="Normal"/>
    <w:uiPriority w:val="34"/>
    <w:qFormat/>
    <w:rsid w:val="00F91B96"/>
    <w:pPr>
      <w:ind w:left="720"/>
      <w:contextualSpacing/>
    </w:pPr>
  </w:style>
  <w:style w:type="character" w:styleId="IntenseEmphasis">
    <w:name w:val="Intense Emphasis"/>
    <w:basedOn w:val="DefaultParagraphFont"/>
    <w:uiPriority w:val="21"/>
    <w:qFormat/>
    <w:rsid w:val="00F91B96"/>
    <w:rPr>
      <w:i/>
      <w:iCs/>
      <w:color w:val="0F4761" w:themeColor="accent1" w:themeShade="BF"/>
    </w:rPr>
  </w:style>
  <w:style w:type="paragraph" w:styleId="IntenseQuote">
    <w:name w:val="Intense Quote"/>
    <w:basedOn w:val="Normal"/>
    <w:next w:val="Normal"/>
    <w:link w:val="IntenseQuoteChar"/>
    <w:uiPriority w:val="30"/>
    <w:qFormat/>
    <w:rsid w:val="00F9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B96"/>
    <w:rPr>
      <w:i/>
      <w:iCs/>
      <w:color w:val="0F4761" w:themeColor="accent1" w:themeShade="BF"/>
    </w:rPr>
  </w:style>
  <w:style w:type="character" w:styleId="IntenseReference">
    <w:name w:val="Intense Reference"/>
    <w:basedOn w:val="DefaultParagraphFont"/>
    <w:uiPriority w:val="32"/>
    <w:qFormat/>
    <w:rsid w:val="00F91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Nelson</dc:creator>
  <cp:keywords/>
  <dc:description/>
  <cp:lastModifiedBy>Sam Nelson</cp:lastModifiedBy>
  <cp:revision>1</cp:revision>
  <dcterms:created xsi:type="dcterms:W3CDTF">2026-04-29T17:10:00Z</dcterms:created>
  <dcterms:modified xsi:type="dcterms:W3CDTF">2026-04-29T17:12:00Z</dcterms:modified>
</cp:coreProperties>
</file>