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Phase 2: Model Evaluation Report</w:t>
      </w:r>
    </w:p>
    <w:p>
      <w:r>
        <w:t>Author: Mantas Valantinavicius</w:t>
      </w:r>
    </w:p>
    <w:p>
      <w:r>
        <w:t>Date: Auto-generated</w:t>
      </w:r>
    </w:p>
    <w:p>
      <w:pPr>
        <w:pStyle w:val="Heading1"/>
      </w:pPr>
      <w:r>
        <w:t>1. Project Overview</w:t>
      </w:r>
    </w:p>
    <w:p>
      <w:r>
        <w:t>This report summarizes the results of Phase 2 of the energy forecasting dashboard project. The objective was to train and compare multiple time-series forecasting models to predict hourly energy consumption. All modeling is performed using metric system inputs and outputs: energy in kilowatt-hours (kWh), temperature in degrees Celsius (°C), and time in hourly intervals.</w:t>
      </w:r>
    </w:p>
    <w:p>
      <w:pPr>
        <w:pStyle w:val="Heading1"/>
      </w:pPr>
      <w:r>
        <w:t>2. Methodology</w:t>
      </w:r>
    </w:p>
    <w:p>
      <w:r>
        <w:t>The synthetic dataset was enriched with temporal, cyclical, and lag-based features. Models were trained on 80% of the dataset and evaluated using RMSE, MAE, and MAPE, all expressed in kilowatt-hours (kWh). XGBoost was configured with 100 estimators and a maximum depth of 5. Prophet included daily and weekly seasonality. Linear Regression was used as a baseline model for comparison.</w:t>
      </w:r>
    </w:p>
    <w:p>
      <w:pPr>
        <w:pStyle w:val="Heading1"/>
      </w:pPr>
      <w:r>
        <w:t>3. Model Performance Summary</w:t>
      </w:r>
    </w:p>
    <w:tbl>
      <w:tblPr>
        <w:tblStyle w:val="LightGrid"/>
        <w:tblW w:type="auto" w:w="0"/>
        <w:tblLook w:firstColumn="1" w:firstRow="1" w:lastColumn="0" w:lastRow="0" w:noHBand="0" w:noVBand="1" w:val="04A0"/>
      </w:tblPr>
      <w:tblGrid>
        <w:gridCol w:w="2160"/>
        <w:gridCol w:w="2160"/>
        <w:gridCol w:w="2160"/>
        <w:gridCol w:w="2160"/>
      </w:tblGrid>
      <w:tr>
        <w:tc>
          <w:tcPr>
            <w:tcW w:type="dxa" w:w="2160"/>
          </w:tcPr>
          <w:p>
            <w:r>
              <w:t>model</w:t>
            </w:r>
          </w:p>
        </w:tc>
        <w:tc>
          <w:tcPr>
            <w:tcW w:type="dxa" w:w="2160"/>
          </w:tcPr>
          <w:p>
            <w:r>
              <w:t>RMSE</w:t>
            </w:r>
          </w:p>
        </w:tc>
        <w:tc>
          <w:tcPr>
            <w:tcW w:type="dxa" w:w="2160"/>
          </w:tcPr>
          <w:p>
            <w:r>
              <w:t>MAE</w:t>
            </w:r>
          </w:p>
        </w:tc>
        <w:tc>
          <w:tcPr>
            <w:tcW w:type="dxa" w:w="2160"/>
          </w:tcPr>
          <w:p>
            <w:r>
              <w:t>MAPE</w:t>
            </w:r>
          </w:p>
        </w:tc>
      </w:tr>
      <w:tr>
        <w:tc>
          <w:tcPr>
            <w:tcW w:type="dxa" w:w="2160"/>
          </w:tcPr>
          <w:p>
            <w:r>
              <w:t>Prophet</w:t>
            </w:r>
          </w:p>
        </w:tc>
        <w:tc>
          <w:tcPr>
            <w:tcW w:type="dxa" w:w="2160"/>
          </w:tcPr>
          <w:p>
            <w:r>
              <w:t>0.1036</w:t>
            </w:r>
          </w:p>
        </w:tc>
        <w:tc>
          <w:tcPr>
            <w:tcW w:type="dxa" w:w="2160"/>
          </w:tcPr>
          <w:p>
            <w:r>
              <w:t>0.0814</w:t>
            </w:r>
          </w:p>
        </w:tc>
        <w:tc>
          <w:tcPr>
            <w:tcW w:type="dxa" w:w="2160"/>
          </w:tcPr>
          <w:p>
            <w:r>
              <w:t>17.0442</w:t>
            </w:r>
          </w:p>
        </w:tc>
      </w:tr>
      <w:tr>
        <w:tc>
          <w:tcPr>
            <w:tcW w:type="dxa" w:w="2160"/>
          </w:tcPr>
          <w:p>
            <w:r>
              <w:t>XGBoost</w:t>
            </w:r>
          </w:p>
        </w:tc>
        <w:tc>
          <w:tcPr>
            <w:tcW w:type="dxa" w:w="2160"/>
          </w:tcPr>
          <w:p>
            <w:r>
              <w:t>0.0787</w:t>
            </w:r>
          </w:p>
        </w:tc>
        <w:tc>
          <w:tcPr>
            <w:tcW w:type="dxa" w:w="2160"/>
          </w:tcPr>
          <w:p>
            <w:r>
              <w:t>0.0595</w:t>
            </w:r>
          </w:p>
        </w:tc>
        <w:tc>
          <w:tcPr>
            <w:tcW w:type="dxa" w:w="2160"/>
          </w:tcPr>
          <w:p>
            <w:r>
              <w:t>12.3052</w:t>
            </w:r>
          </w:p>
        </w:tc>
      </w:tr>
      <w:tr>
        <w:tc>
          <w:tcPr>
            <w:tcW w:type="dxa" w:w="2160"/>
          </w:tcPr>
          <w:p>
            <w:r>
              <w:t>Linear</w:t>
            </w:r>
          </w:p>
        </w:tc>
        <w:tc>
          <w:tcPr>
            <w:tcW w:type="dxa" w:w="2160"/>
          </w:tcPr>
          <w:p>
            <w:r>
              <w:t>0.1125</w:t>
            </w:r>
          </w:p>
        </w:tc>
        <w:tc>
          <w:tcPr>
            <w:tcW w:type="dxa" w:w="2160"/>
          </w:tcPr>
          <w:p>
            <w:r>
              <w:t>0.0866</w:t>
            </w:r>
          </w:p>
        </w:tc>
        <w:tc>
          <w:tcPr>
            <w:tcW w:type="dxa" w:w="2160"/>
          </w:tcPr>
          <w:p>
            <w:r>
              <w:t>17.8052</w:t>
            </w:r>
          </w:p>
        </w:tc>
      </w:tr>
    </w:tbl>
    <w:p>
      <w:r>
        <w:t>Note: All error metrics (RMSE, MAE, MAPE) are reported in kilowatt-hours (kWh).</w:t>
      </w:r>
    </w:p>
    <w:p>
      <w:pPr>
        <w:pStyle w:val="Heading1"/>
      </w:pPr>
      <w:r>
        <w:t>4. Actual vs Predicted Plots</w:t>
      </w:r>
    </w:p>
    <w:p>
      <w:r>
        <w:t>Note: All vertical axes represent energy use in kilowatt-hours (kWh).</w:t>
      </w:r>
    </w:p>
    <w:p>
      <w:r>
        <w:drawing>
          <wp:inline xmlns:a="http://schemas.openxmlformats.org/drawingml/2006/main" xmlns:pic="http://schemas.openxmlformats.org/drawingml/2006/picture">
            <wp:extent cx="5486400" cy="2286000"/>
            <wp:docPr id="1" name="Picture 1"/>
            <wp:cNvGraphicFramePr>
              <a:graphicFrameLocks noChangeAspect="1"/>
            </wp:cNvGraphicFramePr>
            <a:graphic>
              <a:graphicData uri="http://schemas.openxmlformats.org/drawingml/2006/picture">
                <pic:pic>
                  <pic:nvPicPr>
                    <pic:cNvPr id="0" name="prophet_prediction_plot.png"/>
                    <pic:cNvPicPr/>
                  </pic:nvPicPr>
                  <pic:blipFill>
                    <a:blip r:embed="rId9"/>
                    <a:stretch>
                      <a:fillRect/>
                    </a:stretch>
                  </pic:blipFill>
                  <pic:spPr>
                    <a:xfrm>
                      <a:off x="0" y="0"/>
                      <a:ext cx="5486400" cy="2286000"/>
                    </a:xfrm>
                    <a:prstGeom prst="rect"/>
                  </pic:spPr>
                </pic:pic>
              </a:graphicData>
            </a:graphic>
          </wp:inline>
        </w:drawing>
      </w:r>
    </w:p>
    <w:p>
      <w:r>
        <w:t>Figure: Prophet model predictions</w:t>
      </w:r>
    </w:p>
    <w:p>
      <w:r>
        <w:drawing>
          <wp:inline xmlns:a="http://schemas.openxmlformats.org/drawingml/2006/main" xmlns:pic="http://schemas.openxmlformats.org/drawingml/2006/picture">
            <wp:extent cx="5486400" cy="2286000"/>
            <wp:docPr id="2" name="Picture 2"/>
            <wp:cNvGraphicFramePr>
              <a:graphicFrameLocks noChangeAspect="1"/>
            </wp:cNvGraphicFramePr>
            <a:graphic>
              <a:graphicData uri="http://schemas.openxmlformats.org/drawingml/2006/picture">
                <pic:pic>
                  <pic:nvPicPr>
                    <pic:cNvPr id="0" name="xgboost_prediction_plot.png"/>
                    <pic:cNvPicPr/>
                  </pic:nvPicPr>
                  <pic:blipFill>
                    <a:blip r:embed="rId10"/>
                    <a:stretch>
                      <a:fillRect/>
                    </a:stretch>
                  </pic:blipFill>
                  <pic:spPr>
                    <a:xfrm>
                      <a:off x="0" y="0"/>
                      <a:ext cx="5486400" cy="2286000"/>
                    </a:xfrm>
                    <a:prstGeom prst="rect"/>
                  </pic:spPr>
                </pic:pic>
              </a:graphicData>
            </a:graphic>
          </wp:inline>
        </w:drawing>
      </w:r>
    </w:p>
    <w:p>
      <w:r>
        <w:t>Figure: Xgboost model predictions</w:t>
      </w:r>
    </w:p>
    <w:p>
      <w:r>
        <w:drawing>
          <wp:inline xmlns:a="http://schemas.openxmlformats.org/drawingml/2006/main" xmlns:pic="http://schemas.openxmlformats.org/drawingml/2006/picture">
            <wp:extent cx="5486400" cy="2286000"/>
            <wp:docPr id="3" name="Picture 3"/>
            <wp:cNvGraphicFramePr>
              <a:graphicFrameLocks noChangeAspect="1"/>
            </wp:cNvGraphicFramePr>
            <a:graphic>
              <a:graphicData uri="http://schemas.openxmlformats.org/drawingml/2006/picture">
                <pic:pic>
                  <pic:nvPicPr>
                    <pic:cNvPr id="0" name="linear_prediction_plot.png"/>
                    <pic:cNvPicPr/>
                  </pic:nvPicPr>
                  <pic:blipFill>
                    <a:blip r:embed="rId11"/>
                    <a:stretch>
                      <a:fillRect/>
                    </a:stretch>
                  </pic:blipFill>
                  <pic:spPr>
                    <a:xfrm>
                      <a:off x="0" y="0"/>
                      <a:ext cx="5486400" cy="2286000"/>
                    </a:xfrm>
                    <a:prstGeom prst="rect"/>
                  </pic:spPr>
                </pic:pic>
              </a:graphicData>
            </a:graphic>
          </wp:inline>
        </w:drawing>
      </w:r>
    </w:p>
    <w:p>
      <w:r>
        <w:t>Figure: Linear model predictions</w:t>
      </w:r>
    </w:p>
    <w:p>
      <w:pPr>
        <w:pStyle w:val="Heading1"/>
      </w:pPr>
      <w:r>
        <w:t>5. Feature Importance (XGBoost)</w:t>
      </w:r>
    </w:p>
    <w:p>
      <w:r>
        <w:drawing>
          <wp:inline xmlns:a="http://schemas.openxmlformats.org/drawingml/2006/main" xmlns:pic="http://schemas.openxmlformats.org/drawingml/2006/picture">
            <wp:extent cx="5486400" cy="3291840"/>
            <wp:docPr id="4" name="Picture 4"/>
            <wp:cNvGraphicFramePr>
              <a:graphicFrameLocks noChangeAspect="1"/>
            </wp:cNvGraphicFramePr>
            <a:graphic>
              <a:graphicData uri="http://schemas.openxmlformats.org/drawingml/2006/picture">
                <pic:pic>
                  <pic:nvPicPr>
                    <pic:cNvPr id="0" name="xgboost_feature_importance.png"/>
                    <pic:cNvPicPr/>
                  </pic:nvPicPr>
                  <pic:blipFill>
                    <a:blip r:embed="rId12"/>
                    <a:stretch>
                      <a:fillRect/>
                    </a:stretch>
                  </pic:blipFill>
                  <pic:spPr>
                    <a:xfrm>
                      <a:off x="0" y="0"/>
                      <a:ext cx="5486400" cy="3291840"/>
                    </a:xfrm>
                    <a:prstGeom prst="rect"/>
                  </pic:spPr>
                </pic:pic>
              </a:graphicData>
            </a:graphic>
          </wp:inline>
        </w:drawing>
      </w:r>
    </w:p>
    <w:p>
      <w:r>
        <w:t>Figure: Relative importance of each feature</w:t>
      </w:r>
    </w:p>
    <w:p>
      <w:pPr>
        <w:pStyle w:val="Heading1"/>
      </w:pPr>
      <w:r>
        <w:t>6. Feature Coefficients (Linear Regression)</w:t>
      </w:r>
    </w:p>
    <w:p>
      <w:r>
        <w:drawing>
          <wp:inline xmlns:a="http://schemas.openxmlformats.org/drawingml/2006/main" xmlns:pic="http://schemas.openxmlformats.org/drawingml/2006/picture">
            <wp:extent cx="5486400" cy="3291840"/>
            <wp:docPr id="5" name="Picture 5"/>
            <wp:cNvGraphicFramePr>
              <a:graphicFrameLocks noChangeAspect="1"/>
            </wp:cNvGraphicFramePr>
            <a:graphic>
              <a:graphicData uri="http://schemas.openxmlformats.org/drawingml/2006/picture">
                <pic:pic>
                  <pic:nvPicPr>
                    <pic:cNvPr id="0" name="linear_feature_coefficients.png"/>
                    <pic:cNvPicPr/>
                  </pic:nvPicPr>
                  <pic:blipFill>
                    <a:blip r:embed="rId13"/>
                    <a:stretch>
                      <a:fillRect/>
                    </a:stretch>
                  </pic:blipFill>
                  <pic:spPr>
                    <a:xfrm>
                      <a:off x="0" y="0"/>
                      <a:ext cx="5486400" cy="3291840"/>
                    </a:xfrm>
                    <a:prstGeom prst="rect"/>
                  </pic:spPr>
                </pic:pic>
              </a:graphicData>
            </a:graphic>
          </wp:inline>
        </w:drawing>
      </w:r>
    </w:p>
    <w:p>
      <w:r>
        <w:t>Figure: Signed influence of each input feature</w:t>
      </w:r>
    </w:p>
    <w:p>
      <w:pPr>
        <w:pStyle w:val="Heading1"/>
      </w:pPr>
      <w:r>
        <w:t>7. Prophet Model Components</w:t>
      </w:r>
    </w:p>
    <w:p>
      <w:r>
        <w:drawing>
          <wp:inline xmlns:a="http://schemas.openxmlformats.org/drawingml/2006/main" xmlns:pic="http://schemas.openxmlformats.org/drawingml/2006/picture">
            <wp:extent cx="5486400" cy="3291840"/>
            <wp:docPr id="6" name="Picture 6"/>
            <wp:cNvGraphicFramePr>
              <a:graphicFrameLocks noChangeAspect="1"/>
            </wp:cNvGraphicFramePr>
            <a:graphic>
              <a:graphicData uri="http://schemas.openxmlformats.org/drawingml/2006/picture">
                <pic:pic>
                  <pic:nvPicPr>
                    <pic:cNvPr id="0" name="prophet_components_plot.png"/>
                    <pic:cNvPicPr/>
                  </pic:nvPicPr>
                  <pic:blipFill>
                    <a:blip r:embed="rId14"/>
                    <a:stretch>
                      <a:fillRect/>
                    </a:stretch>
                  </pic:blipFill>
                  <pic:spPr>
                    <a:xfrm>
                      <a:off x="0" y="0"/>
                      <a:ext cx="5486400" cy="3291840"/>
                    </a:xfrm>
                    <a:prstGeom prst="rect"/>
                  </pic:spPr>
                </pic:pic>
              </a:graphicData>
            </a:graphic>
          </wp:inline>
        </w:drawing>
      </w:r>
    </w:p>
    <w:p>
      <w:r>
        <w:t>Figure: Prophet trend and daily seasonality components</w:t>
      </w:r>
    </w:p>
    <w:p>
      <w:r>
        <w:t>The above plot illustrates the components learned by Prophet, including overall trend and repeating daily cycles. These cycles reflect typical human activity patterns, such as energy use peaks during working hours.</w:t>
      </w:r>
    </w:p>
    <w:p>
      <w:pPr>
        <w:pStyle w:val="Heading1"/>
      </w:pPr>
      <w:r>
        <w:t>8. Conclusion</w:t>
      </w:r>
    </w:p>
    <w:p>
      <w:r>
        <w:t>Among the evaluated models, XGBoost produced the best performance, achieving the lowest error across all metrics. Its effectiveness is attributed to strong use of time-based features and lagged values. Prophet offered strong interpretability through trend and seasonality decomposition. Linear Regression served as a useful but limited benchmark. All models were trained and assessed using metric units for real-world applicability.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